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8"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QUARTERLY REPORT PURSUANT TO SECTION 13 OR 15(d) OF THE SECURITIES EXCHANGE ACT OF 1934</w:t>
      </w:r>
    </w:p>
    <w:p>
      <w:pPr>
        <w:spacing w:after="0" w:line="217" w:lineRule="exact"/>
        <w:rPr>
          <w:sz w:val="24"/>
          <w:szCs w:val="24"/>
          <w:color w:val="auto"/>
        </w:rPr>
      </w:pPr>
    </w:p>
    <w:p>
      <w:pPr>
        <w:spacing w:after="0"/>
        <w:tabs>
          <w:tab w:leader="none" w:pos="3600" w:val="left"/>
        </w:tabs>
        <w:rPr>
          <w:sz w:val="20"/>
          <w:szCs w:val="20"/>
          <w:color w:val="auto"/>
        </w:rPr>
      </w:pPr>
      <w:r>
        <w:rPr>
          <w:rFonts w:ascii="Arial" w:cs="Arial" w:eastAsia="Arial" w:hAnsi="Arial"/>
          <w:sz w:val="14"/>
          <w:szCs w:val="14"/>
          <w:color w:val="auto"/>
        </w:rPr>
        <w:t>For the Quarterly Period ended September 30, 2021</w:t>
      </w:r>
      <w:r>
        <w:rPr>
          <w:sz w:val="20"/>
          <w:szCs w:val="20"/>
          <w:color w:val="auto"/>
        </w:rPr>
        <w:tab/>
      </w:r>
      <w:r>
        <w:rPr>
          <w:rFonts w:ascii="Arial" w:cs="Arial" w:eastAsia="Arial" w:hAnsi="Arial"/>
          <w:sz w:val="14"/>
          <w:szCs w:val="14"/>
          <w:color w:val="auto"/>
        </w:rPr>
        <w:t>OR</w:t>
      </w:r>
    </w:p>
    <w:p>
      <w:pPr>
        <w:spacing w:after="0" w:line="210" w:lineRule="exact"/>
        <w:rPr>
          <w:sz w:val="24"/>
          <w:szCs w:val="24"/>
          <w:color w:val="auto"/>
        </w:rPr>
      </w:pPr>
    </w:p>
    <w:p>
      <w:pPr>
        <w:ind w:right="3820" w:firstLine="6"/>
        <w:spacing w:after="0" w:line="553" w:lineRule="auto"/>
        <w:tabs>
          <w:tab w:leader="none" w:pos="172"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 (d) OF THE SECURITIES EXCHANGE ACT OF 1934 For the Transition Period from to</w:t>
      </w:r>
    </w:p>
    <w:p>
      <w:pPr>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130175</wp:posOffset>
            </wp:positionV>
            <wp:extent cx="2835275" cy="386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5275" cy="386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CAPITAL BANCORP INC.</w:t>
            </w:r>
          </w:p>
        </w:tc>
        <w:tc>
          <w:tcPr>
            <w:tcW w:w="4280" w:type="dxa"/>
            <w:vAlign w:val="bottom"/>
          </w:tcPr>
          <w:p>
            <w:pPr>
              <w:spacing w:after="0"/>
              <w:rPr>
                <w:sz w:val="17"/>
                <w:szCs w:val="17"/>
                <w:color w:val="auto"/>
              </w:rPr>
            </w:pPr>
          </w:p>
        </w:tc>
      </w:tr>
      <w:tr>
        <w:trPr>
          <w:trHeight w:val="144"/>
        </w:trPr>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560" w:type="dxa"/>
            <w:vAlign w:val="bottom"/>
            <w:gridSpan w:val="7"/>
          </w:tcPr>
          <w:p>
            <w:pPr>
              <w:jc w:val="center"/>
              <w:ind w:right="4047"/>
              <w:spacing w:after="0"/>
              <w:rPr>
                <w:sz w:val="20"/>
                <w:szCs w:val="20"/>
                <w:color w:val="auto"/>
              </w:rPr>
            </w:pPr>
            <w:r>
              <w:rPr>
                <w:rFonts w:ascii="Arial" w:cs="Arial" w:eastAsia="Arial" w:hAnsi="Arial"/>
                <w:sz w:val="11"/>
                <w:szCs w:val="11"/>
                <w:color w:val="auto"/>
                <w:w w:val="96"/>
              </w:rPr>
              <w:t>(Exact name of registrant as specified in its charter)</w:t>
            </w:r>
          </w:p>
        </w:tc>
      </w:tr>
      <w:tr>
        <w:trPr>
          <w:trHeight w:val="231"/>
        </w:trPr>
        <w:tc>
          <w:tcPr>
            <w:tcW w:w="3200" w:type="dxa"/>
            <w:vAlign w:val="bottom"/>
          </w:tcPr>
          <w:p>
            <w:pPr>
              <w:jc w:val="center"/>
              <w:ind w:left="2151"/>
              <w:spacing w:after="0"/>
              <w:rPr>
                <w:sz w:val="20"/>
                <w:szCs w:val="20"/>
                <w:color w:val="auto"/>
              </w:rPr>
            </w:pPr>
            <w:r>
              <w:rPr>
                <w:rFonts w:ascii="Arial" w:cs="Arial" w:eastAsia="Arial" w:hAnsi="Arial"/>
                <w:sz w:val="16"/>
                <w:szCs w:val="16"/>
                <w:b w:val="1"/>
                <w:bCs w:val="1"/>
                <w:color w:val="auto"/>
                <w:w w:val="99"/>
              </w:rPr>
              <w:t>Maryland</w:t>
            </w:r>
          </w:p>
        </w:tc>
        <w:tc>
          <w:tcPr>
            <w:tcW w:w="880" w:type="dxa"/>
            <w:vAlign w:val="bottom"/>
          </w:tcPr>
          <w:p>
            <w:pPr>
              <w:spacing w:after="0"/>
              <w:rPr>
                <w:sz w:val="20"/>
                <w:szCs w:val="20"/>
                <w:color w:val="auto"/>
              </w:rPr>
            </w:pPr>
          </w:p>
        </w:tc>
        <w:tc>
          <w:tcPr>
            <w:tcW w:w="6560" w:type="dxa"/>
            <w:vAlign w:val="bottom"/>
            <w:gridSpan w:val="7"/>
          </w:tcPr>
          <w:p>
            <w:pPr>
              <w:jc w:val="right"/>
              <w:ind w:right="1987"/>
              <w:spacing w:after="0"/>
              <w:rPr>
                <w:sz w:val="20"/>
                <w:szCs w:val="20"/>
                <w:color w:val="auto"/>
              </w:rPr>
            </w:pPr>
            <w:r>
              <w:rPr>
                <w:rFonts w:ascii="Arial" w:cs="Arial" w:eastAsia="Arial" w:hAnsi="Arial"/>
                <w:sz w:val="16"/>
                <w:szCs w:val="16"/>
                <w:b w:val="1"/>
                <w:bCs w:val="1"/>
                <w:color w:val="auto"/>
              </w:rPr>
              <w:t>52-2083046</w:t>
            </w:r>
          </w:p>
        </w:tc>
      </w:tr>
      <w:tr>
        <w:trPr>
          <w:trHeight w:val="134"/>
        </w:trPr>
        <w:tc>
          <w:tcPr>
            <w:tcW w:w="4080" w:type="dxa"/>
            <w:vAlign w:val="bottom"/>
            <w:tcBorders>
              <w:top w:val="single" w:sz="8" w:color="auto"/>
            </w:tcBorders>
            <w:gridSpan w:val="2"/>
          </w:tcPr>
          <w:p>
            <w:pPr>
              <w:jc w:val="center"/>
              <w:ind w:left="1271"/>
              <w:spacing w:after="0"/>
              <w:rPr>
                <w:sz w:val="20"/>
                <w:szCs w:val="20"/>
                <w:color w:val="auto"/>
              </w:rPr>
            </w:pPr>
            <w:r>
              <w:rPr>
                <w:rFonts w:ascii="Arial" w:cs="Arial" w:eastAsia="Arial" w:hAnsi="Arial"/>
                <w:sz w:val="11"/>
                <w:szCs w:val="11"/>
                <w:color w:val="auto"/>
                <w:w w:val="96"/>
              </w:rPr>
              <w:t>(State or other jurisdiction of incorporation or organization)</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80" w:type="dxa"/>
            <w:vAlign w:val="bottom"/>
            <w:tcBorders>
              <w:top w:val="single" w:sz="8" w:color="auto"/>
            </w:tcBorders>
          </w:tcPr>
          <w:p>
            <w:pPr>
              <w:jc w:val="center"/>
              <w:ind w:right="607"/>
              <w:spacing w:after="0"/>
              <w:rPr>
                <w:sz w:val="20"/>
                <w:szCs w:val="20"/>
                <w:color w:val="auto"/>
              </w:rPr>
            </w:pPr>
            <w:r>
              <w:rPr>
                <w:rFonts w:ascii="Arial" w:cs="Arial" w:eastAsia="Arial" w:hAnsi="Arial"/>
                <w:sz w:val="11"/>
                <w:szCs w:val="11"/>
                <w:color w:val="auto"/>
                <w:w w:val="96"/>
              </w:rPr>
              <w:t>(IRS Employer Identification No.)</w:t>
            </w:r>
          </w:p>
        </w:tc>
      </w:tr>
      <w:tr>
        <w:trPr>
          <w:trHeight w:val="228"/>
        </w:trPr>
        <w:tc>
          <w:tcPr>
            <w:tcW w:w="3200" w:type="dxa"/>
            <w:vAlign w:val="bottom"/>
          </w:tcPr>
          <w:p>
            <w:pPr>
              <w:jc w:val="center"/>
              <w:ind w:right="151"/>
              <w:spacing w:after="0"/>
              <w:rPr>
                <w:sz w:val="20"/>
                <w:szCs w:val="20"/>
                <w:color w:val="auto"/>
              </w:rPr>
            </w:pPr>
            <w:r>
              <w:rPr>
                <w:rFonts w:ascii="Arial" w:cs="Arial" w:eastAsia="Arial" w:hAnsi="Arial"/>
                <w:sz w:val="16"/>
                <w:szCs w:val="16"/>
                <w:b w:val="1"/>
                <w:bCs w:val="1"/>
                <w:color w:val="auto"/>
                <w:w w:val="99"/>
              </w:rPr>
              <w:t>2275 Research Boulevard</w:t>
            </w: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Suite 600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214"/>
        </w:trPr>
        <w:tc>
          <w:tcPr>
            <w:tcW w:w="3200" w:type="dxa"/>
            <w:vAlign w:val="bottom"/>
          </w:tcPr>
          <w:p>
            <w:pPr>
              <w:jc w:val="center"/>
              <w:ind w:right="151"/>
              <w:spacing w:after="0"/>
              <w:rPr>
                <w:sz w:val="20"/>
                <w:szCs w:val="20"/>
                <w:color w:val="auto"/>
              </w:rPr>
            </w:pPr>
            <w:r>
              <w:rPr>
                <w:rFonts w:ascii="Arial" w:cs="Arial" w:eastAsia="Arial" w:hAnsi="Arial"/>
                <w:sz w:val="16"/>
                <w:szCs w:val="16"/>
                <w:b w:val="1"/>
                <w:bCs w:val="1"/>
                <w:color w:val="auto"/>
                <w:w w:val="99"/>
              </w:rPr>
              <w:t>Rockville</w:t>
            </w: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Maryland</w:t>
            </w:r>
          </w:p>
        </w:tc>
        <w:tc>
          <w:tcPr>
            <w:tcW w:w="6560" w:type="dxa"/>
            <w:vAlign w:val="bottom"/>
            <w:gridSpan w:val="7"/>
          </w:tcPr>
          <w:p>
            <w:pPr>
              <w:jc w:val="right"/>
              <w:ind w:right="2187"/>
              <w:spacing w:after="0"/>
              <w:rPr>
                <w:sz w:val="20"/>
                <w:szCs w:val="20"/>
                <w:color w:val="auto"/>
              </w:rPr>
            </w:pPr>
            <w:r>
              <w:rPr>
                <w:rFonts w:ascii="Arial" w:cs="Arial" w:eastAsia="Arial" w:hAnsi="Arial"/>
                <w:sz w:val="16"/>
                <w:szCs w:val="16"/>
                <w:b w:val="1"/>
                <w:bCs w:val="1"/>
                <w:color w:val="auto"/>
              </w:rPr>
              <w:t>20850</w:t>
            </w:r>
          </w:p>
        </w:tc>
      </w:tr>
      <w:tr>
        <w:trPr>
          <w:trHeight w:val="134"/>
        </w:trPr>
        <w:tc>
          <w:tcPr>
            <w:tcW w:w="4080" w:type="dxa"/>
            <w:vAlign w:val="bottom"/>
            <w:tcBorders>
              <w:top w:val="single" w:sz="8" w:color="auto"/>
            </w:tcBorders>
            <w:gridSpan w:val="2"/>
          </w:tcPr>
          <w:p>
            <w:pPr>
              <w:jc w:val="center"/>
              <w:ind w:left="1271"/>
              <w:spacing w:after="0"/>
              <w:rPr>
                <w:sz w:val="20"/>
                <w:szCs w:val="20"/>
                <w:color w:val="auto"/>
              </w:rPr>
            </w:pPr>
            <w:r>
              <w:rPr>
                <w:rFonts w:ascii="Arial" w:cs="Arial" w:eastAsia="Arial" w:hAnsi="Arial"/>
                <w:sz w:val="11"/>
                <w:szCs w:val="11"/>
                <w:color w:val="auto"/>
                <w:w w:val="96"/>
              </w:rPr>
              <w:t>(Address of principal executive offices)</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80" w:type="dxa"/>
            <w:vAlign w:val="bottom"/>
            <w:tcBorders>
              <w:top w:val="single" w:sz="8" w:color="auto"/>
            </w:tcBorders>
          </w:tcPr>
          <w:p>
            <w:pPr>
              <w:jc w:val="center"/>
              <w:ind w:right="607"/>
              <w:spacing w:after="0"/>
              <w:rPr>
                <w:sz w:val="20"/>
                <w:szCs w:val="20"/>
                <w:color w:val="auto"/>
              </w:rPr>
            </w:pPr>
            <w:r>
              <w:rPr>
                <w:rFonts w:ascii="Arial" w:cs="Arial" w:eastAsia="Arial" w:hAnsi="Arial"/>
                <w:sz w:val="11"/>
                <w:szCs w:val="11"/>
                <w:color w:val="auto"/>
                <w:w w:val="96"/>
              </w:rPr>
              <w:t>(Zip Code)</w:t>
            </w:r>
          </w:p>
        </w:tc>
      </w:tr>
      <w:tr>
        <w:trPr>
          <w:trHeight w:val="551"/>
        </w:trPr>
        <w:tc>
          <w:tcPr>
            <w:tcW w:w="3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(301) 468-8848</w:t>
            </w:r>
          </w:p>
        </w:tc>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21"/>
        </w:trPr>
        <w:tc>
          <w:tcPr>
            <w:tcW w:w="3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560" w:type="dxa"/>
            <w:vAlign w:val="bottom"/>
            <w:gridSpan w:val="7"/>
          </w:tcPr>
          <w:p>
            <w:pPr>
              <w:jc w:val="center"/>
              <w:ind w:right="4047"/>
              <w:spacing w:after="0" w:line="121" w:lineRule="exact"/>
              <w:rPr>
                <w:sz w:val="20"/>
                <w:szCs w:val="20"/>
                <w:color w:val="auto"/>
              </w:rPr>
            </w:pPr>
            <w:r>
              <w:rPr>
                <w:rFonts w:ascii="Arial" w:cs="Arial" w:eastAsia="Arial" w:hAnsi="Arial"/>
                <w:sz w:val="11"/>
                <w:szCs w:val="11"/>
                <w:color w:val="auto"/>
                <w:w w:val="96"/>
              </w:rPr>
              <w:t>Registrant’s telephone number, including area code</w:t>
            </w:r>
          </w:p>
        </w:tc>
      </w:tr>
    </w:tbl>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 Applicable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36" w:lineRule="exact"/>
        <w:rPr>
          <w:sz w:val="24"/>
          <w:szCs w:val="24"/>
          <w:color w:val="auto"/>
        </w:rPr>
      </w:pPr>
    </w:p>
    <w:p>
      <w:pPr>
        <w:jc w:val="both"/>
        <w:ind w:firstLine="235"/>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18" w:lineRule="exact"/>
        <w:rPr>
          <w:sz w:val="24"/>
          <w:szCs w:val="24"/>
          <w:color w:val="auto"/>
        </w:rPr>
      </w:pPr>
    </w:p>
    <w:p>
      <w:pPr>
        <w:jc w:val="both"/>
        <w:ind w:firstLine="254"/>
        <w:spacing w:after="0" w:line="23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540"/>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217" w:lineRule="exact"/>
        <w:rPr>
          <w:sz w:val="24"/>
          <w:szCs w:val="24"/>
          <w:color w:val="auto"/>
        </w:rPr>
      </w:pPr>
    </w:p>
    <w:p>
      <w:pPr>
        <w:jc w:val="both"/>
        <w:ind w:firstLine="234"/>
        <w:spacing w:after="0" w:line="24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91" w:lineRule="exact"/>
        <w:rPr>
          <w:sz w:val="24"/>
          <w:szCs w:val="24"/>
          <w:color w:val="auto"/>
        </w:rPr>
      </w:pPr>
    </w:p>
    <w:tbl>
      <w:tblPr>
        <w:tblLayout w:type="fixed"/>
        <w:tblInd w:w="2180" w:type="dxa"/>
        <w:tblCellMar>
          <w:top w:w="0" w:type="dxa"/>
          <w:left w:w="0" w:type="dxa"/>
          <w:bottom w:w="0" w:type="dxa"/>
          <w:right w:w="0" w:type="dxa"/>
        </w:tblCellMar>
      </w:tblP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80" w:type="dxa"/>
            <w:vAlign w:val="bottom"/>
          </w:tcPr>
          <w:p>
            <w:pPr>
              <w:ind w:left="100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88" w:lineRule="exact"/>
        <w:rPr>
          <w:sz w:val="24"/>
          <w:szCs w:val="24"/>
          <w:color w:val="auto"/>
        </w:rPr>
      </w:pPr>
    </w:p>
    <w:p>
      <w:pPr>
        <w:spacing w:after="0" w:line="19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982345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4" w:lineRule="exact"/>
        <w:rPr>
          <w:sz w:val="20"/>
          <w:szCs w:val="20"/>
          <w:color w:val="auto"/>
        </w:rPr>
      </w:pPr>
    </w:p>
    <w:p>
      <w:pPr>
        <w:spacing w:after="0" w:line="184" w:lineRule="exact"/>
        <w:tabs>
          <w:tab w:leader="none" w:pos="8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8" w:lineRule="exact"/>
        <w:rPr>
          <w:sz w:val="20"/>
          <w:szCs w:val="20"/>
          <w:color w:val="auto"/>
        </w:rPr>
      </w:pPr>
    </w:p>
    <w:tbl>
      <w:tblPr>
        <w:tblLayout w:type="fixed"/>
        <w:tblInd w:w="370" w:type="dxa"/>
        <w:tblCellMar>
          <w:top w:w="0" w:type="dxa"/>
          <w:left w:w="0" w:type="dxa"/>
          <w:bottom w:w="0" w:type="dxa"/>
          <w:right w:w="0" w:type="dxa"/>
        </w:tblCellMar>
      </w:tblPr>
      <w:tr>
        <w:trPr>
          <w:trHeight w:val="186"/>
        </w:trPr>
        <w:tc>
          <w:tcPr>
            <w:tcW w:w="900" w:type="dxa"/>
            <w:vAlign w:val="bottom"/>
            <w:tcBorders>
              <w:top w:val="single" w:sz="8" w:color="auto"/>
              <w:left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0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left="221"/>
              <w:spacing w:after="0"/>
              <w:rPr>
                <w:sz w:val="20"/>
                <w:szCs w:val="20"/>
                <w:color w:val="auto"/>
              </w:rPr>
            </w:pPr>
            <w:r>
              <w:rPr>
                <w:rFonts w:ascii="Arial" w:cs="Arial" w:eastAsia="Arial" w:hAnsi="Arial"/>
                <w:sz w:val="16"/>
                <w:szCs w:val="16"/>
                <w:color w:val="auto"/>
                <w:w w:val="97"/>
              </w:rPr>
              <w:t>Trading Symbol(s)</w:t>
            </w:r>
          </w:p>
        </w:tc>
        <w:tc>
          <w:tcPr>
            <w:tcW w:w="5720" w:type="dxa"/>
            <w:vAlign w:val="bottom"/>
            <w:tcBorders>
              <w:top w:val="single" w:sz="8" w:color="auto"/>
              <w:right w:val="single" w:sz="8" w:color="auto"/>
            </w:tcBorders>
            <w:gridSpan w:val="3"/>
          </w:tcPr>
          <w:p>
            <w:pPr>
              <w:jc w:val="center"/>
              <w:ind w:left="381"/>
              <w:spacing w:after="0"/>
              <w:rPr>
                <w:sz w:val="20"/>
                <w:szCs w:val="20"/>
                <w:color w:val="auto"/>
              </w:rPr>
            </w:pPr>
            <w:r>
              <w:rPr>
                <w:rFonts w:ascii="Arial" w:cs="Arial" w:eastAsia="Arial" w:hAnsi="Arial"/>
                <w:sz w:val="16"/>
                <w:szCs w:val="16"/>
                <w:color w:val="auto"/>
                <w:w w:val="99"/>
              </w:rPr>
              <w:t>Name of each exchange on which registered</w:t>
            </w: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r>
      <w:tr>
        <w:trPr>
          <w:trHeight w:val="204"/>
        </w:trPr>
        <w:tc>
          <w:tcPr>
            <w:tcW w:w="3260" w:type="dxa"/>
            <w:vAlign w:val="bottom"/>
            <w:tcBorders>
              <w:left w:val="single" w:sz="8" w:color="auto"/>
            </w:tcBorders>
            <w:gridSpan w:val="3"/>
          </w:tcPr>
          <w:p>
            <w:pPr>
              <w:jc w:val="center"/>
              <w:ind w:right="180"/>
              <w:spacing w:after="0" w:line="205" w:lineRule="exact"/>
              <w:rPr>
                <w:sz w:val="20"/>
                <w:szCs w:val="20"/>
                <w:color w:val="auto"/>
              </w:rPr>
            </w:pPr>
            <w:r>
              <w:rPr>
                <w:rFonts w:ascii="Arial" w:cs="Arial" w:eastAsia="Arial" w:hAnsi="Arial"/>
                <w:sz w:val="18"/>
                <w:szCs w:val="18"/>
                <w:color w:val="auto"/>
                <w:w w:val="98"/>
              </w:rPr>
              <w:t>Common Stock, par value $0.01 per</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12"/>
        </w:trPr>
        <w:tc>
          <w:tcPr>
            <w:tcW w:w="900" w:type="dxa"/>
            <w:vAlign w:val="bottom"/>
            <w:tcBorders>
              <w:left w:val="single" w:sz="8" w:color="auto"/>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center"/>
              <w:ind w:right="1080"/>
              <w:spacing w:after="0"/>
              <w:rPr>
                <w:sz w:val="20"/>
                <w:szCs w:val="20"/>
                <w:color w:val="auto"/>
              </w:rPr>
            </w:pPr>
            <w:r>
              <w:rPr>
                <w:rFonts w:ascii="Arial" w:cs="Arial" w:eastAsia="Arial" w:hAnsi="Arial"/>
                <w:sz w:val="18"/>
                <w:szCs w:val="18"/>
                <w:color w:val="auto"/>
                <w:w w:val="97"/>
              </w:rPr>
              <w:t>share</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CBNK</w:t>
            </w:r>
          </w:p>
        </w:tc>
        <w:tc>
          <w:tcPr>
            <w:tcW w:w="152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gridSpan w:val="2"/>
          </w:tcPr>
          <w:p>
            <w:pPr>
              <w:jc w:val="center"/>
              <w:ind w:right="1060"/>
              <w:spacing w:after="0"/>
              <w:rPr>
                <w:sz w:val="20"/>
                <w:szCs w:val="20"/>
                <w:color w:val="auto"/>
              </w:rPr>
            </w:pPr>
            <w:r>
              <w:rPr>
                <w:rFonts w:ascii="Arial" w:cs="Arial" w:eastAsia="Arial" w:hAnsi="Arial"/>
                <w:sz w:val="18"/>
                <w:szCs w:val="18"/>
                <w:color w:val="auto"/>
                <w:w w:val="97"/>
              </w:rPr>
              <w:t>NASDAQ Stock Market</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5, 2021, the Company had 13,868,387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996950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2" w:name="page3"/>
    <w:bookmarkEnd w:id="2"/>
    <w:p>
      <w:pPr>
        <w:jc w:val="center"/>
        <w:ind w:left="9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0"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Form 10-Q</w:t>
      </w:r>
    </w:p>
    <w:p>
      <w:pPr>
        <w:spacing w:after="0" w:line="10"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12065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100" w:type="dxa"/>
            <w:vAlign w:val="bottom"/>
            <w:gridSpan w:val="2"/>
          </w:tcPr>
          <w:p>
            <w:pPr>
              <w:ind w:left="660"/>
              <w:spacing w:after="0"/>
              <w:rPr>
                <w:sz w:val="20"/>
                <w:szCs w:val="20"/>
                <w:color w:val="auto"/>
              </w:rPr>
            </w:pPr>
            <w:r>
              <w:rPr>
                <w:rFonts w:ascii="Arial" w:cs="Arial" w:eastAsia="Arial" w:hAnsi="Arial"/>
                <w:sz w:val="16"/>
                <w:szCs w:val="16"/>
                <w:b w:val="1"/>
                <w:bCs w:val="1"/>
                <w:color w:val="auto"/>
              </w:rPr>
              <w:t>PART I - CONSOLIDATED FINANCIAL INFORMATION</w:t>
            </w: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Pa</w:t>
            </w:r>
          </w:p>
        </w:tc>
      </w:tr>
      <w:tr>
        <w:trPr>
          <w:trHeight w:val="227"/>
        </w:trPr>
        <w:tc>
          <w:tcPr>
            <w:tcW w:w="1560" w:type="dxa"/>
            <w:vAlign w:val="bottom"/>
          </w:tcPr>
          <w:p>
            <w:pPr>
              <w:ind w:left="660"/>
              <w:spacing w:after="0"/>
              <w:rPr>
                <w:sz w:val="20"/>
                <w:szCs w:val="20"/>
                <w:color w:val="auto"/>
              </w:rPr>
            </w:pPr>
            <w:r>
              <w:rPr>
                <w:rFonts w:ascii="Arial" w:cs="Arial" w:eastAsia="Arial" w:hAnsi="Arial"/>
                <w:sz w:val="16"/>
                <w:szCs w:val="16"/>
                <w:color w:val="auto"/>
              </w:rPr>
              <w:t>Item 1.</w:t>
            </w:r>
          </w:p>
        </w:tc>
        <w:tc>
          <w:tcPr>
            <w:tcW w:w="9540" w:type="dxa"/>
            <w:vAlign w:val="bottom"/>
          </w:tcPr>
          <w:p>
            <w:pPr>
              <w:ind w:left="320"/>
              <w:spacing w:after="0"/>
              <w:rPr>
                <w:sz w:val="20"/>
                <w:szCs w:val="20"/>
                <w:color w:val="auto"/>
              </w:rPr>
            </w:pPr>
            <w:r>
              <w:rPr>
                <w:rFonts w:ascii="Arial" w:cs="Arial" w:eastAsia="Arial" w:hAnsi="Arial"/>
                <w:sz w:val="16"/>
                <w:szCs w:val="16"/>
                <w:color w:val="auto"/>
              </w:rPr>
              <w:t>Consolidated Financial Statements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4">
              <w:r>
                <w:rPr>
                  <w:rFonts w:ascii="Arial" w:cs="Arial" w:eastAsia="Arial" w:hAnsi="Arial"/>
                  <w:sz w:val="16"/>
                  <w:szCs w:val="16"/>
                  <w:color w:val="auto"/>
                </w:rPr>
                <w:t>Consolidated Balance Sheets</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4">
              <w:r>
                <w:rPr>
                  <w:rFonts w:ascii="Arial" w:cs="Arial" w:eastAsia="Arial" w:hAnsi="Arial"/>
                  <w:sz w:val="16"/>
                  <w:szCs w:val="16"/>
                  <w:color w:val="auto"/>
                </w:rPr>
                <w:t>Consolidated Statements of Income</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5">
              <w:r>
                <w:rPr>
                  <w:rFonts w:ascii="Arial" w:cs="Arial" w:eastAsia="Arial" w:hAnsi="Arial"/>
                  <w:sz w:val="16"/>
                  <w:szCs w:val="16"/>
                  <w:color w:val="auto"/>
                </w:rPr>
                <w:t>Consolidated Statements of Comprehensive Income</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6">
              <w:r>
                <w:rPr>
                  <w:rFonts w:ascii="Arial" w:cs="Arial" w:eastAsia="Arial" w:hAnsi="Arial"/>
                  <w:sz w:val="16"/>
                  <w:szCs w:val="16"/>
                  <w:color w:val="auto"/>
                </w:rPr>
                <w:t>Consolidated Statements of Changes in Stockholders’ Equity</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7">
              <w:r>
                <w:rPr>
                  <w:rFonts w:ascii="Arial" w:cs="Arial" w:eastAsia="Arial" w:hAnsi="Arial"/>
                  <w:sz w:val="16"/>
                  <w:szCs w:val="16"/>
                  <w:color w:val="auto"/>
                </w:rPr>
                <w:t>Consolidated Statements of Cash Flows</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spacing w:after="0"/>
              <w:rPr>
                <w:sz w:val="18"/>
                <w:szCs w:val="18"/>
                <w:color w:val="auto"/>
              </w:rPr>
            </w:pPr>
          </w:p>
        </w:tc>
        <w:tc>
          <w:tcPr>
            <w:tcW w:w="9540" w:type="dxa"/>
            <w:vAlign w:val="bottom"/>
          </w:tcPr>
          <w:p>
            <w:pPr>
              <w:ind w:left="640"/>
              <w:spacing w:after="0"/>
              <w:rPr>
                <w:rFonts w:ascii="Arial" w:cs="Arial" w:eastAsia="Arial" w:hAnsi="Arial"/>
                <w:sz w:val="16"/>
                <w:szCs w:val="16"/>
                <w:color w:val="auto"/>
              </w:rPr>
            </w:pPr>
            <w:hyperlink w:anchor="page9">
              <w:r>
                <w:rPr>
                  <w:rFonts w:ascii="Arial" w:cs="Arial" w:eastAsia="Arial" w:hAnsi="Arial"/>
                  <w:sz w:val="16"/>
                  <w:szCs w:val="16"/>
                  <w:color w:val="auto"/>
                </w:rPr>
                <w:t>Notes to Consolidated Financial Statements</w:t>
              </w:r>
            </w:hyperlink>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2.</w:t>
            </w:r>
          </w:p>
        </w:tc>
        <w:tc>
          <w:tcPr>
            <w:tcW w:w="9540" w:type="dxa"/>
            <w:vAlign w:val="bottom"/>
          </w:tcPr>
          <w:p>
            <w:pPr>
              <w:ind w:left="3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3.</w:t>
            </w:r>
          </w:p>
        </w:tc>
        <w:tc>
          <w:tcPr>
            <w:tcW w:w="9540" w:type="dxa"/>
            <w:vAlign w:val="bottom"/>
          </w:tcPr>
          <w:p>
            <w:pPr>
              <w:ind w:left="320"/>
              <w:spacing w:after="0"/>
              <w:rPr>
                <w:sz w:val="20"/>
                <w:szCs w:val="20"/>
                <w:color w:val="auto"/>
              </w:rPr>
            </w:pPr>
            <w:r>
              <w:rPr>
                <w:rFonts w:ascii="Arial" w:cs="Arial" w:eastAsia="Arial" w:hAnsi="Arial"/>
                <w:sz w:val="16"/>
                <w:szCs w:val="16"/>
                <w:color w:val="auto"/>
              </w:rPr>
              <w:t>Quantitative and Qualitative Disclosures about Market Risk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4.</w:t>
            </w:r>
          </w:p>
        </w:tc>
        <w:tc>
          <w:tcPr>
            <w:tcW w:w="9540" w:type="dxa"/>
            <w:vAlign w:val="bottom"/>
          </w:tcPr>
          <w:p>
            <w:pPr>
              <w:ind w:left="320"/>
              <w:spacing w:after="0"/>
              <w:rPr>
                <w:sz w:val="20"/>
                <w:szCs w:val="20"/>
                <w:color w:val="auto"/>
              </w:rPr>
            </w:pPr>
            <w:r>
              <w:rPr>
                <w:rFonts w:ascii="Arial" w:cs="Arial" w:eastAsia="Arial" w:hAnsi="Arial"/>
                <w:sz w:val="16"/>
                <w:szCs w:val="16"/>
                <w:color w:val="auto"/>
              </w:rPr>
              <w:t>Controls and Procedures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1100" w:type="dxa"/>
            <w:vAlign w:val="bottom"/>
            <w:gridSpan w:val="2"/>
          </w:tcPr>
          <w:p>
            <w:pPr>
              <w:ind w:left="660"/>
              <w:spacing w:after="0"/>
              <w:rPr>
                <w:sz w:val="20"/>
                <w:szCs w:val="20"/>
                <w:color w:val="auto"/>
              </w:rPr>
            </w:pPr>
            <w:r>
              <w:rPr>
                <w:rFonts w:ascii="Arial" w:cs="Arial" w:eastAsia="Arial" w:hAnsi="Arial"/>
                <w:sz w:val="16"/>
                <w:szCs w:val="16"/>
                <w:b w:val="1"/>
                <w:bCs w:val="1"/>
                <w:color w:val="auto"/>
              </w:rPr>
              <w:t>PART II - OTHER INFORMATION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1.</w:t>
            </w:r>
          </w:p>
        </w:tc>
        <w:tc>
          <w:tcPr>
            <w:tcW w:w="9540" w:type="dxa"/>
            <w:vAlign w:val="bottom"/>
          </w:tcPr>
          <w:p>
            <w:pPr>
              <w:ind w:left="320"/>
              <w:spacing w:after="0"/>
              <w:rPr>
                <w:sz w:val="20"/>
                <w:szCs w:val="20"/>
                <w:color w:val="auto"/>
              </w:rPr>
            </w:pPr>
            <w:r>
              <w:rPr>
                <w:rFonts w:ascii="Arial" w:cs="Arial" w:eastAsia="Arial" w:hAnsi="Arial"/>
                <w:sz w:val="16"/>
                <w:szCs w:val="16"/>
                <w:color w:val="auto"/>
              </w:rPr>
              <w:t>Legal Proceedings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1A.</w:t>
            </w:r>
          </w:p>
        </w:tc>
        <w:tc>
          <w:tcPr>
            <w:tcW w:w="9540" w:type="dxa"/>
            <w:vAlign w:val="bottom"/>
          </w:tcPr>
          <w:p>
            <w:pPr>
              <w:ind w:left="320"/>
              <w:spacing w:after="0"/>
              <w:rPr>
                <w:sz w:val="20"/>
                <w:szCs w:val="20"/>
                <w:color w:val="auto"/>
              </w:rPr>
            </w:pPr>
            <w:r>
              <w:rPr>
                <w:rFonts w:ascii="Arial" w:cs="Arial" w:eastAsia="Arial" w:hAnsi="Arial"/>
                <w:sz w:val="16"/>
                <w:szCs w:val="16"/>
                <w:color w:val="auto"/>
              </w:rPr>
              <w:t>Risk Factors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2.</w:t>
            </w:r>
          </w:p>
        </w:tc>
        <w:tc>
          <w:tcPr>
            <w:tcW w:w="9540" w:type="dxa"/>
            <w:vAlign w:val="bottom"/>
          </w:tcPr>
          <w:p>
            <w:pPr>
              <w:ind w:left="320"/>
              <w:spacing w:after="0"/>
              <w:rPr>
                <w:sz w:val="20"/>
                <w:szCs w:val="20"/>
                <w:color w:val="auto"/>
              </w:rPr>
            </w:pPr>
            <w:r>
              <w:rPr>
                <w:rFonts w:ascii="Arial" w:cs="Arial" w:eastAsia="Arial" w:hAnsi="Arial"/>
                <w:sz w:val="16"/>
                <w:szCs w:val="16"/>
                <w:color w:val="auto"/>
              </w:rPr>
              <w:t>Unregistered Sales of Equity Securities and Use of Proceeds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3.</w:t>
            </w:r>
          </w:p>
        </w:tc>
        <w:tc>
          <w:tcPr>
            <w:tcW w:w="9540" w:type="dxa"/>
            <w:vAlign w:val="bottom"/>
          </w:tcPr>
          <w:p>
            <w:pPr>
              <w:ind w:left="320"/>
              <w:spacing w:after="0"/>
              <w:rPr>
                <w:sz w:val="20"/>
                <w:szCs w:val="20"/>
                <w:color w:val="auto"/>
              </w:rPr>
            </w:pPr>
            <w:r>
              <w:rPr>
                <w:rFonts w:ascii="Arial" w:cs="Arial" w:eastAsia="Arial" w:hAnsi="Arial"/>
                <w:sz w:val="16"/>
                <w:szCs w:val="16"/>
                <w:color w:val="auto"/>
              </w:rPr>
              <w:t>Defaults upon Senior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4.</w:t>
            </w:r>
          </w:p>
        </w:tc>
        <w:tc>
          <w:tcPr>
            <w:tcW w:w="9540" w:type="dxa"/>
            <w:vAlign w:val="bottom"/>
          </w:tcPr>
          <w:p>
            <w:pPr>
              <w:ind w:left="320"/>
              <w:spacing w:after="0"/>
              <w:rPr>
                <w:sz w:val="20"/>
                <w:szCs w:val="20"/>
                <w:color w:val="auto"/>
              </w:rPr>
            </w:pPr>
            <w:r>
              <w:rPr>
                <w:rFonts w:ascii="Arial" w:cs="Arial" w:eastAsia="Arial" w:hAnsi="Arial"/>
                <w:sz w:val="16"/>
                <w:szCs w:val="16"/>
                <w:color w:val="auto"/>
              </w:rPr>
              <w:t>Mine Safety Disclosures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5.</w:t>
            </w:r>
          </w:p>
        </w:tc>
        <w:tc>
          <w:tcPr>
            <w:tcW w:w="9540" w:type="dxa"/>
            <w:vAlign w:val="bottom"/>
          </w:tcPr>
          <w:p>
            <w:pPr>
              <w:ind w:left="320"/>
              <w:spacing w:after="0"/>
              <w:rPr>
                <w:sz w:val="20"/>
                <w:szCs w:val="20"/>
                <w:color w:val="auto"/>
              </w:rPr>
            </w:pPr>
            <w:r>
              <w:rPr>
                <w:rFonts w:ascii="Arial" w:cs="Arial" w:eastAsia="Arial" w:hAnsi="Arial"/>
                <w:sz w:val="16"/>
                <w:szCs w:val="16"/>
                <w:color w:val="auto"/>
              </w:rPr>
              <w:t>Other Information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560" w:type="dxa"/>
            <w:vAlign w:val="bottom"/>
          </w:tcPr>
          <w:p>
            <w:pPr>
              <w:ind w:left="660"/>
              <w:spacing w:after="0"/>
              <w:rPr>
                <w:sz w:val="20"/>
                <w:szCs w:val="20"/>
                <w:color w:val="auto"/>
              </w:rPr>
            </w:pPr>
            <w:r>
              <w:rPr>
                <w:rFonts w:ascii="Arial" w:cs="Arial" w:eastAsia="Arial" w:hAnsi="Arial"/>
                <w:sz w:val="16"/>
                <w:szCs w:val="16"/>
                <w:color w:val="auto"/>
              </w:rPr>
              <w:t>Item 6.</w:t>
            </w:r>
          </w:p>
        </w:tc>
        <w:tc>
          <w:tcPr>
            <w:tcW w:w="9540" w:type="dxa"/>
            <w:vAlign w:val="bottom"/>
          </w:tcPr>
          <w:p>
            <w:pPr>
              <w:ind w:left="320"/>
              <w:spacing w:after="0"/>
              <w:rPr>
                <w:sz w:val="20"/>
                <w:szCs w:val="20"/>
                <w:color w:val="auto"/>
              </w:rPr>
            </w:pPr>
            <w:r>
              <w:rPr>
                <w:rFonts w:ascii="Arial" w:cs="Arial" w:eastAsia="Arial" w:hAnsi="Arial"/>
                <w:sz w:val="16"/>
                <w:szCs w:val="16"/>
                <w:color w:val="auto"/>
              </w:rPr>
              <w:t>Exhibits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18"/>
        </w:trPr>
        <w:tc>
          <w:tcPr>
            <w:tcW w:w="156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37" w:right="239" w:bottom="1440" w:gutter="0" w:footer="0" w:header="0"/>
        </w:sectPr>
      </w:pPr>
    </w:p>
    <w:bookmarkStart w:id="3" w:name="page4"/>
    <w:bookmarkEnd w:id="3"/>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134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5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rPr>
              <w:t>September 30, 2021</w:t>
            </w:r>
          </w:p>
        </w:tc>
        <w:tc>
          <w:tcPr>
            <w:tcW w:w="12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2"/>
                <w:szCs w:val="12"/>
                <w:b w:val="1"/>
                <w:bCs w:val="1"/>
                <w:color w:val="auto"/>
              </w:rPr>
              <w:t>December 31, 2020</w:t>
            </w:r>
          </w:p>
        </w:tc>
      </w:tr>
      <w:tr>
        <w:trPr>
          <w:trHeight w:val="166"/>
        </w:trPr>
        <w:tc>
          <w:tcPr>
            <w:tcW w:w="8560" w:type="dxa"/>
            <w:vAlign w:val="bottom"/>
          </w:tcPr>
          <w:p>
            <w:pPr>
              <w:ind w:left="20"/>
              <w:spacing w:after="0"/>
              <w:rPr>
                <w:sz w:val="20"/>
                <w:szCs w:val="20"/>
                <w:color w:val="auto"/>
              </w:rPr>
            </w:pPr>
            <w:r>
              <w:rPr>
                <w:rFonts w:ascii="Arial" w:cs="Arial" w:eastAsia="Arial" w:hAnsi="Arial"/>
                <w:sz w:val="11"/>
                <w:szCs w:val="11"/>
                <w:color w:val="auto"/>
              </w:rPr>
              <w:t>(in thousands except share data)</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rPr>
              <w:t>(unaudited)</w:t>
            </w:r>
          </w:p>
        </w:tc>
        <w:tc>
          <w:tcPr>
            <w:tcW w:w="220" w:type="dxa"/>
            <w:vAlign w:val="bottom"/>
          </w:tcPr>
          <w:p>
            <w:pPr>
              <w:spacing w:after="0"/>
              <w:rPr>
                <w:sz w:val="14"/>
                <w:szCs w:val="14"/>
                <w:color w:val="auto"/>
              </w:rPr>
            </w:pPr>
          </w:p>
        </w:tc>
        <w:tc>
          <w:tcPr>
            <w:tcW w:w="1020" w:type="dxa"/>
            <w:vAlign w:val="bottom"/>
          </w:tcPr>
          <w:p>
            <w:pPr>
              <w:jc w:val="right"/>
              <w:ind w:right="290"/>
              <w:spacing w:after="0"/>
              <w:rPr>
                <w:sz w:val="20"/>
                <w:szCs w:val="20"/>
                <w:color w:val="auto"/>
              </w:rPr>
            </w:pPr>
            <w:r>
              <w:rPr>
                <w:rFonts w:ascii="Arial" w:cs="Arial" w:eastAsia="Arial" w:hAnsi="Arial"/>
                <w:sz w:val="12"/>
                <w:szCs w:val="12"/>
                <w:b w:val="1"/>
                <w:bCs w:val="1"/>
                <w:color w:val="auto"/>
              </w:rPr>
              <w:t>(audited)</w:t>
            </w:r>
          </w:p>
        </w:tc>
      </w:tr>
      <w:tr>
        <w:trPr>
          <w:trHeight w:val="172"/>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85"/>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23,650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18,456</w:t>
            </w: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color w:val="auto"/>
              </w:rPr>
              <w:t>Interest bearing deposits at other financial institutions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299,033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126,081</w:t>
            </w:r>
          </w:p>
        </w:tc>
      </w:tr>
      <w:tr>
        <w:trPr>
          <w:trHeight w:val="186"/>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funds sold</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w:t>
            </w:r>
          </w:p>
        </w:tc>
      </w:tr>
      <w:tr>
        <w:trPr>
          <w:trHeight w:val="179"/>
        </w:trPr>
        <w:tc>
          <w:tcPr>
            <w:tcW w:w="8560" w:type="dxa"/>
            <w:vAlign w:val="bottom"/>
          </w:tcPr>
          <w:p>
            <w:pPr>
              <w:ind w:left="500"/>
              <w:spacing w:after="0"/>
              <w:rPr>
                <w:sz w:val="20"/>
                <w:szCs w:val="20"/>
                <w:color w:val="auto"/>
              </w:rPr>
            </w:pPr>
            <w:r>
              <w:rPr>
                <w:rFonts w:ascii="Arial" w:cs="Arial" w:eastAsia="Arial" w:hAnsi="Arial"/>
                <w:sz w:val="14"/>
                <w:szCs w:val="14"/>
                <w:color w:val="auto"/>
              </w:rPr>
              <w:t>Total cash and cash equivalents</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323,998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146,910</w:t>
            </w:r>
          </w:p>
        </w:tc>
      </w:tr>
      <w:tr>
        <w:trPr>
          <w:trHeight w:val="186"/>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securities available for sale</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189,165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99,787</w:t>
            </w: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color w:val="auto"/>
              </w:rPr>
              <w:t>Marketable equity securities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245</w:t>
            </w:r>
          </w:p>
        </w:tc>
      </w:tr>
      <w:tr>
        <w:trPr>
          <w:trHeight w:val="185"/>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investments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w:t>
            </w: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color w:val="auto"/>
              </w:rPr>
              <w:t>Loans held for sale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36,005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107,154</w:t>
            </w:r>
          </w:p>
        </w:tc>
      </w:tr>
      <w:tr>
        <w:trPr>
          <w:trHeight w:val="185"/>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Small Business Administration Payroll Protection Program loans receivable, net of fees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137,178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201,018</w:t>
            </w: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color w:val="auto"/>
              </w:rPr>
              <w:t>Portfolio loans receivable, net of deferred fees and costs and net of allowance for loan losses of $24,753 and $23,434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1,420,373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1,292,068</w:t>
            </w:r>
          </w:p>
        </w:tc>
      </w:tr>
      <w:tr>
        <w:trPr>
          <w:trHeight w:val="186"/>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3,690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4,464</w:t>
            </w:r>
          </w:p>
        </w:tc>
      </w:tr>
      <w:tr>
        <w:trPr>
          <w:trHeight w:val="185"/>
        </w:trPr>
        <w:tc>
          <w:tcPr>
            <w:tcW w:w="8560" w:type="dxa"/>
            <w:vAlign w:val="bottom"/>
          </w:tcPr>
          <w:p>
            <w:pPr>
              <w:ind w:left="20"/>
              <w:spacing w:after="0"/>
              <w:rPr>
                <w:sz w:val="20"/>
                <w:szCs w:val="20"/>
                <w:color w:val="auto"/>
              </w:rPr>
            </w:pPr>
            <w:r>
              <w:rPr>
                <w:rFonts w:ascii="Arial" w:cs="Arial" w:eastAsia="Arial" w:hAnsi="Arial"/>
                <w:sz w:val="14"/>
                <w:szCs w:val="14"/>
                <w:color w:val="auto"/>
              </w:rPr>
              <w:t>Accrued interest receivable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7,828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8,134</w:t>
            </w:r>
          </w:p>
        </w:tc>
      </w:tr>
      <w:tr>
        <w:trPr>
          <w:trHeight w:val="186"/>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7,172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6,818</w:t>
            </w:r>
          </w:p>
        </w:tc>
      </w:tr>
      <w:tr>
        <w:trPr>
          <w:trHeight w:val="185"/>
        </w:trPr>
        <w:tc>
          <w:tcPr>
            <w:tcW w:w="8560" w:type="dxa"/>
            <w:vAlign w:val="bottom"/>
          </w:tcPr>
          <w:p>
            <w:pPr>
              <w:ind w:left="20"/>
              <w:spacing w:after="0"/>
              <w:rPr>
                <w:sz w:val="20"/>
                <w:szCs w:val="20"/>
                <w:color w:val="auto"/>
              </w:rPr>
            </w:pPr>
            <w:r>
              <w:rPr>
                <w:rFonts w:ascii="Arial" w:cs="Arial" w:eastAsia="Arial" w:hAnsi="Arial"/>
                <w:sz w:val="14"/>
                <w:szCs w:val="14"/>
                <w:color w:val="auto"/>
              </w:rPr>
              <w:t>Foreclosed real estate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3,236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3,326</w:t>
            </w:r>
          </w:p>
        </w:tc>
      </w:tr>
      <w:tr>
        <w:trPr>
          <w:trHeight w:val="186"/>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owned life insurance</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35,268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2,956</w:t>
            </w:r>
          </w:p>
        </w:tc>
      </w:tr>
      <w:tr>
        <w:trPr>
          <w:trHeight w:val="204"/>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2,169,556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1,876,593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6"/>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5"/>
        </w:trPr>
        <w:tc>
          <w:tcPr>
            <w:tcW w:w="8560" w:type="dxa"/>
            <w:vAlign w:val="bottom"/>
          </w:tcPr>
          <w:p>
            <w:pPr>
              <w:ind w:left="20"/>
              <w:spacing w:after="0"/>
              <w:rPr>
                <w:sz w:val="20"/>
                <w:szCs w:val="20"/>
                <w:color w:val="auto"/>
              </w:rPr>
            </w:pPr>
            <w:r>
              <w:rPr>
                <w:rFonts w:ascii="Arial" w:cs="Arial" w:eastAsia="Arial" w:hAnsi="Arial"/>
                <w:sz w:val="14"/>
                <w:szCs w:val="14"/>
                <w:color w:val="auto"/>
              </w:rPr>
              <w:t>Deposits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8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Noninterest-bearing, including related party balances of $38,514 and $17,848</w:t>
            </w: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833,187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608,559</w:t>
            </w:r>
          </w:p>
        </w:tc>
      </w:tr>
      <w:tr>
        <w:trPr>
          <w:trHeight w:val="185"/>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Interest-bearing, including related party balances of $83,963 and $130,586</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1,088,051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1,043,569</w:t>
            </w:r>
          </w:p>
        </w:tc>
      </w:tr>
      <w:tr>
        <w:trPr>
          <w:trHeight w:val="179"/>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deposits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1,921,238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1,652,128</w:t>
            </w:r>
          </w:p>
        </w:tc>
      </w:tr>
      <w:tr>
        <w:trPr>
          <w:trHeight w:val="185"/>
        </w:trPr>
        <w:tc>
          <w:tcPr>
            <w:tcW w:w="8560" w:type="dxa"/>
            <w:vAlign w:val="bottom"/>
          </w:tcPr>
          <w:p>
            <w:pPr>
              <w:ind w:left="20"/>
              <w:spacing w:after="0"/>
              <w:rPr>
                <w:sz w:val="20"/>
                <w:szCs w:val="20"/>
                <w:color w:val="auto"/>
              </w:rPr>
            </w:pPr>
            <w:r>
              <w:rPr>
                <w:rFonts w:ascii="Arial" w:cs="Arial" w:eastAsia="Arial" w:hAnsi="Arial"/>
                <w:sz w:val="14"/>
                <w:szCs w:val="14"/>
                <w:color w:val="auto"/>
              </w:rPr>
              <w:t>Federal Home Loan Bank advances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22,000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22,000</w:t>
            </w:r>
          </w:p>
        </w:tc>
      </w:tr>
      <w:tr>
        <w:trPr>
          <w:trHeight w:val="185"/>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borrowed funds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12,062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14,016</w:t>
            </w:r>
          </w:p>
        </w:tc>
      </w:tr>
      <w:tr>
        <w:trPr>
          <w:trHeight w:val="185"/>
        </w:trPr>
        <w:tc>
          <w:tcPr>
            <w:tcW w:w="8560" w:type="dxa"/>
            <w:vAlign w:val="bottom"/>
          </w:tcPr>
          <w:p>
            <w:pPr>
              <w:ind w:left="20"/>
              <w:spacing w:after="0"/>
              <w:rPr>
                <w:sz w:val="20"/>
                <w:szCs w:val="20"/>
                <w:color w:val="auto"/>
              </w:rPr>
            </w:pPr>
            <w:r>
              <w:rPr>
                <w:rFonts w:ascii="Arial" w:cs="Arial" w:eastAsia="Arial" w:hAnsi="Arial"/>
                <w:sz w:val="14"/>
                <w:szCs w:val="14"/>
                <w:color w:val="auto"/>
              </w:rPr>
              <w:t>Accrued interest payable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1,134</w:t>
            </w:r>
          </w:p>
        </w:tc>
      </w:tr>
      <w:tr>
        <w:trPr>
          <w:trHeight w:val="186"/>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24,337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28,004</w:t>
            </w:r>
          </w:p>
        </w:tc>
      </w:tr>
      <w:tr>
        <w:trPr>
          <w:trHeight w:val="179"/>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1,980,476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1,717,282</w:t>
            </w:r>
          </w:p>
        </w:tc>
      </w:tr>
      <w:tr>
        <w:trPr>
          <w:trHeight w:val="192"/>
        </w:trPr>
        <w:tc>
          <w:tcPr>
            <w:tcW w:w="8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8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Common stock, $.01 par value; 49,000,000 shares authorized; 13,801,936 and 13,753,529 issued and outstanding</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185"/>
        </w:trPr>
        <w:tc>
          <w:tcPr>
            <w:tcW w:w="856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52,123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50,602</w:t>
            </w:r>
          </w:p>
        </w:tc>
      </w:tr>
      <w:tr>
        <w:trPr>
          <w:trHeight w:val="185"/>
        </w:trPr>
        <w:tc>
          <w:tcPr>
            <w:tcW w:w="8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135,906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106,854</w:t>
            </w:r>
          </w:p>
        </w:tc>
      </w:tr>
      <w:tr>
        <w:trPr>
          <w:trHeight w:val="185"/>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1,717</w:t>
            </w:r>
          </w:p>
        </w:tc>
      </w:tr>
      <w:tr>
        <w:trPr>
          <w:trHeight w:val="179"/>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189,080</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159,311</w:t>
            </w:r>
          </w:p>
        </w:tc>
      </w:tr>
      <w:tr>
        <w:trPr>
          <w:trHeight w:val="179"/>
        </w:trPr>
        <w:tc>
          <w:tcPr>
            <w:tcW w:w="856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2,169,556</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1,876,593</w:t>
            </w: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-179070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line="197" w:lineRule="auto"/>
        <w:rPr>
          <w:sz w:val="20"/>
          <w:szCs w:val="20"/>
          <w:color w:val="auto"/>
        </w:rPr>
      </w:pPr>
      <w:r>
        <w:rPr>
          <w:rFonts w:ascii="Arial" w:cs="Arial" w:eastAsia="Arial" w:hAnsi="Arial"/>
          <w:sz w:val="14"/>
          <w:szCs w:val="14"/>
          <w:b w:val="1"/>
          <w:bCs w:val="1"/>
          <w:color w:val="auto"/>
        </w:rPr>
        <w:t>Consolidated Statements of Income</w:t>
      </w:r>
    </w:p>
    <w:p>
      <w:pPr>
        <w:ind w:left="66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4445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5"/>
          </w:tcPr>
          <w:p>
            <w:pPr>
              <w:ind w:left="140"/>
              <w:spacing w:after="0"/>
              <w:rPr>
                <w:sz w:val="20"/>
                <w:szCs w:val="20"/>
                <w:color w:val="auto"/>
              </w:rPr>
            </w:pPr>
            <w:r>
              <w:rPr>
                <w:rFonts w:ascii="Arial" w:cs="Arial" w:eastAsia="Arial" w:hAnsi="Arial"/>
                <w:sz w:val="12"/>
                <w:szCs w:val="12"/>
                <w:b w:val="1"/>
                <w:bCs w:val="1"/>
                <w:color w:val="auto"/>
              </w:rPr>
              <w:t>Three Months Ended September 30,</w:t>
            </w:r>
          </w:p>
        </w:tc>
        <w:tc>
          <w:tcPr>
            <w:tcW w:w="240" w:type="dxa"/>
            <w:vAlign w:val="bottom"/>
          </w:tcPr>
          <w:p>
            <w:pPr>
              <w:spacing w:after="0"/>
              <w:rPr>
                <w:sz w:val="14"/>
                <w:szCs w:val="14"/>
                <w:color w:val="auto"/>
              </w:rPr>
            </w:pPr>
          </w:p>
        </w:tc>
        <w:tc>
          <w:tcPr>
            <w:tcW w:w="2600" w:type="dxa"/>
            <w:vAlign w:val="bottom"/>
            <w:gridSpan w:val="4"/>
          </w:tcPr>
          <w:p>
            <w:pPr>
              <w:jc w:val="right"/>
              <w:ind w:right="329"/>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 except per share data)</w:t>
            </w: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20" w:type="dxa"/>
            <w:vAlign w:val="bottom"/>
          </w:tcPr>
          <w:p>
            <w:pPr>
              <w:ind w:left="140"/>
              <w:spacing w:after="0"/>
              <w:rPr>
                <w:sz w:val="20"/>
                <w:szCs w:val="20"/>
                <w:color w:val="auto"/>
              </w:rPr>
            </w:pPr>
            <w:r>
              <w:rPr>
                <w:rFonts w:ascii="Arial" w:cs="Arial" w:eastAsia="Arial" w:hAnsi="Arial"/>
                <w:sz w:val="14"/>
                <w:szCs w:val="14"/>
                <w:color w:val="auto"/>
              </w:rPr>
              <w:t>Loans, including fees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32,840</w:t>
            </w:r>
          </w:p>
        </w:tc>
        <w:tc>
          <w:tcPr>
            <w:tcW w:w="12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24,836</w:t>
            </w:r>
          </w:p>
        </w:tc>
        <w:tc>
          <w:tcPr>
            <w:tcW w:w="1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87,549</w:t>
            </w:r>
          </w:p>
        </w:tc>
        <w:tc>
          <w:tcPr>
            <w:tcW w:w="12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67,520</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securities available for sale</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86"/>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Federal funds sold and other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79"/>
        </w:trPr>
        <w:tc>
          <w:tcPr>
            <w:tcW w:w="54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interest income</w:t>
            </w: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33,528</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25,189</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89,455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68,933</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420" w:type="dxa"/>
            <w:vAlign w:val="bottom"/>
          </w:tcPr>
          <w:p>
            <w:pPr>
              <w:ind w:left="140"/>
              <w:spacing w:after="0" w:line="151" w:lineRule="exact"/>
              <w:rPr>
                <w:sz w:val="20"/>
                <w:szCs w:val="20"/>
                <w:color w:val="auto"/>
              </w:rPr>
            </w:pPr>
            <w:r>
              <w:rPr>
                <w:rFonts w:ascii="Arial" w:cs="Arial" w:eastAsia="Arial" w:hAnsi="Arial"/>
                <w:sz w:val="14"/>
                <w:szCs w:val="14"/>
                <w:color w:val="auto"/>
              </w:rPr>
              <w:t>Deposits, includes payments to related parties of $41 and $167 for the three and</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20" w:type="dxa"/>
            <w:vAlign w:val="bottom"/>
          </w:tcPr>
          <w:p>
            <w:pPr>
              <w:ind w:left="300"/>
              <w:spacing w:after="0" w:line="133" w:lineRule="exact"/>
              <w:rPr>
                <w:sz w:val="20"/>
                <w:szCs w:val="20"/>
                <w:color w:val="auto"/>
              </w:rPr>
            </w:pPr>
            <w:r>
              <w:rPr>
                <w:rFonts w:ascii="Arial" w:cs="Arial" w:eastAsia="Arial" w:hAnsi="Arial"/>
                <w:sz w:val="14"/>
                <w:szCs w:val="14"/>
                <w:color w:val="auto"/>
              </w:rPr>
              <w:t>nine months ended September 30, 2021, respectively, and $184 and $862 for the</w:t>
            </w:r>
          </w:p>
        </w:tc>
        <w:tc>
          <w:tcPr>
            <w:tcW w:w="2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1,285</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9"/>
              <w:spacing w:after="0"/>
              <w:rPr>
                <w:sz w:val="20"/>
                <w:szCs w:val="20"/>
                <w:color w:val="auto"/>
              </w:rPr>
            </w:pPr>
            <w:r>
              <w:rPr>
                <w:rFonts w:ascii="Arial" w:cs="Arial" w:eastAsia="Arial" w:hAnsi="Arial"/>
                <w:sz w:val="14"/>
                <w:szCs w:val="14"/>
                <w:color w:val="auto"/>
              </w:rPr>
              <w:t>2,634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4,874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9,201</w:t>
            </w:r>
          </w:p>
        </w:tc>
        <w:tc>
          <w:tcPr>
            <w:tcW w:w="0" w:type="dxa"/>
            <w:vAlign w:val="bottom"/>
          </w:tcPr>
          <w:p>
            <w:pPr>
              <w:spacing w:after="0"/>
              <w:rPr>
                <w:sz w:val="1"/>
                <w:szCs w:val="1"/>
                <w:color w:val="auto"/>
              </w:rPr>
            </w:pPr>
          </w:p>
        </w:tc>
      </w:tr>
      <w:tr>
        <w:trPr>
          <w:trHeight w:val="168"/>
        </w:trPr>
        <w:tc>
          <w:tcPr>
            <w:tcW w:w="5420" w:type="dxa"/>
            <w:vAlign w:val="bottom"/>
          </w:tcPr>
          <w:p>
            <w:pPr>
              <w:ind w:left="300"/>
              <w:spacing w:after="0"/>
              <w:rPr>
                <w:sz w:val="20"/>
                <w:szCs w:val="20"/>
                <w:color w:val="auto"/>
              </w:rPr>
            </w:pPr>
            <w:r>
              <w:rPr>
                <w:rFonts w:ascii="Arial" w:cs="Arial" w:eastAsia="Arial" w:hAnsi="Arial"/>
                <w:sz w:val="14"/>
                <w:szCs w:val="14"/>
                <w:color w:val="auto"/>
              </w:rPr>
              <w:t>three and nine months ended September 30, 2020, respectively.</w:t>
            </w: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Borrowed funds</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0" w:type="dxa"/>
            <w:vAlign w:val="bottom"/>
          </w:tcPr>
          <w:p>
            <w:pPr>
              <w:spacing w:after="0"/>
              <w:rPr>
                <w:sz w:val="1"/>
                <w:szCs w:val="1"/>
                <w:color w:val="auto"/>
              </w:rPr>
            </w:pPr>
          </w:p>
        </w:tc>
      </w:tr>
      <w:tr>
        <w:trPr>
          <w:trHeight w:val="179"/>
        </w:trPr>
        <w:tc>
          <w:tcPr>
            <w:tcW w:w="54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interest expense</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3,150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5,433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10,583</w:t>
            </w:r>
          </w:p>
        </w:tc>
        <w:tc>
          <w:tcPr>
            <w:tcW w:w="0" w:type="dxa"/>
            <w:vAlign w:val="bottom"/>
          </w:tcPr>
          <w:p>
            <w:pPr>
              <w:spacing w:after="0"/>
              <w:rPr>
                <w:sz w:val="1"/>
                <w:szCs w:val="1"/>
                <w:color w:val="auto"/>
              </w:rPr>
            </w:pPr>
          </w:p>
        </w:tc>
      </w:tr>
      <w:tr>
        <w:trPr>
          <w:trHeight w:val="192"/>
        </w:trPr>
        <w:tc>
          <w:tcPr>
            <w:tcW w:w="5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32,059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22,039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84,022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58,350</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loan losses</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975</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3,500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2,259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9,209</w:t>
            </w:r>
          </w:p>
        </w:tc>
        <w:tc>
          <w:tcPr>
            <w:tcW w:w="0" w:type="dxa"/>
            <w:vAlign w:val="bottom"/>
          </w:tcPr>
          <w:p>
            <w:pPr>
              <w:spacing w:after="0"/>
              <w:rPr>
                <w:sz w:val="1"/>
                <w:szCs w:val="1"/>
                <w:color w:val="auto"/>
              </w:rPr>
            </w:pPr>
          </w:p>
        </w:tc>
      </w:tr>
      <w:tr>
        <w:trPr>
          <w:trHeight w:val="17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31,084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18,539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81,763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49,141</w:t>
            </w:r>
          </w:p>
        </w:tc>
        <w:tc>
          <w:tcPr>
            <w:tcW w:w="0" w:type="dxa"/>
            <w:vAlign w:val="bottom"/>
          </w:tcPr>
          <w:p>
            <w:pPr>
              <w:spacing w:after="0"/>
              <w:rPr>
                <w:sz w:val="1"/>
                <w:szCs w:val="1"/>
                <w:color w:val="auto"/>
              </w:rPr>
            </w:pPr>
          </w:p>
        </w:tc>
      </w:tr>
      <w:tr>
        <w:trPr>
          <w:trHeight w:val="192"/>
        </w:trPr>
        <w:tc>
          <w:tcPr>
            <w:tcW w:w="5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charges on deposits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86"/>
        </w:trPr>
        <w:tc>
          <w:tcPr>
            <w:tcW w:w="5420" w:type="dxa"/>
            <w:vAlign w:val="bottom"/>
          </w:tcPr>
          <w:p>
            <w:pPr>
              <w:ind w:left="140"/>
              <w:spacing w:after="0"/>
              <w:rPr>
                <w:sz w:val="20"/>
                <w:szCs w:val="20"/>
                <w:color w:val="auto"/>
              </w:rPr>
            </w:pPr>
            <w:r>
              <w:rPr>
                <w:rFonts w:ascii="Arial" w:cs="Arial" w:eastAsia="Arial" w:hAnsi="Arial"/>
                <w:sz w:val="14"/>
                <w:szCs w:val="14"/>
                <w:color w:val="auto"/>
              </w:rPr>
              <w:t>Credit card fees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7,554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5,773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21,208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10,694</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banking revenue</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4,465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10,690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17,478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20,984</w:t>
            </w:r>
          </w:p>
        </w:tc>
        <w:tc>
          <w:tcPr>
            <w:tcW w:w="0" w:type="dxa"/>
            <w:vAlign w:val="bottom"/>
          </w:tcPr>
          <w:p>
            <w:pPr>
              <w:spacing w:after="0"/>
              <w:rPr>
                <w:sz w:val="1"/>
                <w:szCs w:val="1"/>
                <w:color w:val="auto"/>
              </w:rPr>
            </w:pPr>
          </w:p>
        </w:tc>
      </w:tr>
      <w:tr>
        <w:trPr>
          <w:trHeight w:val="186"/>
        </w:trPr>
        <w:tc>
          <w:tcPr>
            <w:tcW w:w="5420" w:type="dxa"/>
            <w:vAlign w:val="bottom"/>
          </w:tcPr>
          <w:p>
            <w:pPr>
              <w:ind w:left="140"/>
              <w:spacing w:after="0"/>
              <w:rPr>
                <w:sz w:val="20"/>
                <w:szCs w:val="20"/>
                <w:color w:val="auto"/>
              </w:rPr>
            </w:pPr>
            <w:r>
              <w:rPr>
                <w:rFonts w:ascii="Arial" w:cs="Arial" w:eastAsia="Arial" w:hAnsi="Arial"/>
                <w:sz w:val="14"/>
                <w:szCs w:val="14"/>
                <w:color w:val="auto"/>
              </w:rPr>
              <w:t>Gain on sale of investment securities available for sale, net</w:t>
            </w:r>
          </w:p>
        </w:tc>
        <w:tc>
          <w:tcPr>
            <w:tcW w:w="2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fees and charges</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418</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179"/>
        </w:trPr>
        <w:tc>
          <w:tcPr>
            <w:tcW w:w="54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noninterest income</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12,597</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17,477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34,114</w:t>
            </w:r>
          </w:p>
        </w:tc>
        <w:tc>
          <w:tcPr>
            <w:tcW w:w="0" w:type="dxa"/>
            <w:vAlign w:val="bottom"/>
          </w:tcPr>
          <w:p>
            <w:pPr>
              <w:spacing w:after="0"/>
              <w:rPr>
                <w:sz w:val="1"/>
                <w:szCs w:val="1"/>
                <w:color w:val="auto"/>
              </w:rPr>
            </w:pPr>
          </w:p>
        </w:tc>
      </w:tr>
      <w:tr>
        <w:trPr>
          <w:trHeight w:val="192"/>
        </w:trPr>
        <w:tc>
          <w:tcPr>
            <w:tcW w:w="5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Salaries and employee benefits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9,962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8,940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27,279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24,849</w:t>
            </w:r>
          </w:p>
        </w:tc>
        <w:tc>
          <w:tcPr>
            <w:tcW w:w="0" w:type="dxa"/>
            <w:vAlign w:val="bottom"/>
          </w:tcPr>
          <w:p>
            <w:pPr>
              <w:spacing w:after="0"/>
              <w:rPr>
                <w:sz w:val="1"/>
                <w:szCs w:val="1"/>
                <w:color w:val="auto"/>
              </w:rPr>
            </w:pPr>
          </w:p>
        </w:tc>
      </w:tr>
      <w:tr>
        <w:trPr>
          <w:trHeight w:val="185"/>
        </w:trPr>
        <w:tc>
          <w:tcPr>
            <w:tcW w:w="5420" w:type="dxa"/>
            <w:vAlign w:val="bottom"/>
          </w:tcPr>
          <w:p>
            <w:pPr>
              <w:ind w:left="140"/>
              <w:spacing w:after="0"/>
              <w:rPr>
                <w:sz w:val="20"/>
                <w:szCs w:val="20"/>
                <w:color w:val="auto"/>
              </w:rPr>
            </w:pPr>
            <w:r>
              <w:rPr>
                <w:rFonts w:ascii="Arial" w:cs="Arial" w:eastAsia="Arial" w:hAnsi="Arial"/>
                <w:sz w:val="14"/>
                <w:szCs w:val="14"/>
                <w:color w:val="auto"/>
              </w:rPr>
              <w:t>Occupancy and equipment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998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1,328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3,322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3,658</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5,542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w:t>
            </w:r>
          </w:p>
        </w:tc>
        <w:tc>
          <w:tcPr>
            <w:tcW w:w="0" w:type="dxa"/>
            <w:vAlign w:val="bottom"/>
          </w:tcPr>
          <w:p>
            <w:pPr>
              <w:spacing w:after="0"/>
              <w:rPr>
                <w:sz w:val="1"/>
                <w:szCs w:val="1"/>
                <w:color w:val="auto"/>
              </w:rPr>
            </w:pPr>
          </w:p>
        </w:tc>
      </w:tr>
      <w:tr>
        <w:trPr>
          <w:trHeight w:val="185"/>
        </w:trPr>
        <w:tc>
          <w:tcPr>
            <w:tcW w:w="5420" w:type="dxa"/>
            <w:vAlign w:val="bottom"/>
          </w:tcPr>
          <w:p>
            <w:pPr>
              <w:ind w:left="140"/>
              <w:spacing w:after="0"/>
              <w:rPr>
                <w:sz w:val="20"/>
                <w:szCs w:val="20"/>
                <w:color w:val="auto"/>
              </w:rPr>
            </w:pPr>
            <w:r>
              <w:rPr>
                <w:rFonts w:ascii="Arial" w:cs="Arial" w:eastAsia="Arial" w:hAnsi="Arial"/>
                <w:sz w:val="14"/>
                <w:szCs w:val="14"/>
                <w:color w:val="auto"/>
              </w:rPr>
              <w:t>Data processing</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10,161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7,880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29,594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17,664</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185"/>
        </w:trPr>
        <w:tc>
          <w:tcPr>
            <w:tcW w:w="5420" w:type="dxa"/>
            <w:vAlign w:val="bottom"/>
          </w:tcPr>
          <w:p>
            <w:pPr>
              <w:ind w:left="140"/>
              <w:spacing w:after="0"/>
              <w:rPr>
                <w:sz w:val="20"/>
                <w:szCs w:val="20"/>
                <w:color w:val="auto"/>
              </w:rPr>
            </w:pPr>
            <w:r>
              <w:rPr>
                <w:rFonts w:ascii="Arial" w:cs="Arial" w:eastAsia="Arial" w:hAnsi="Arial"/>
                <w:sz w:val="14"/>
                <w:szCs w:val="14"/>
                <w:color w:val="auto"/>
              </w:rPr>
              <w:t>Loan processing</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1,264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2,670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186"/>
        </w:trPr>
        <w:tc>
          <w:tcPr>
            <w:tcW w:w="54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Foreclosed real estate expenses, net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operating</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3,089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7,548</w:t>
            </w:r>
          </w:p>
        </w:tc>
        <w:tc>
          <w:tcPr>
            <w:tcW w:w="0" w:type="dxa"/>
            <w:vAlign w:val="bottom"/>
          </w:tcPr>
          <w:p>
            <w:pPr>
              <w:spacing w:after="0"/>
              <w:rPr>
                <w:sz w:val="1"/>
                <w:szCs w:val="1"/>
                <w:color w:val="auto"/>
              </w:rPr>
            </w:pPr>
          </w:p>
        </w:tc>
      </w:tr>
      <w:tr>
        <w:trPr>
          <w:trHeight w:val="179"/>
        </w:trPr>
        <w:tc>
          <w:tcPr>
            <w:tcW w:w="54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noninterest expenses</w:t>
            </w: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28,627</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24,450</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81,599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61,153</w:t>
            </w:r>
          </w:p>
        </w:tc>
        <w:tc>
          <w:tcPr>
            <w:tcW w:w="0" w:type="dxa"/>
            <w:vAlign w:val="bottom"/>
          </w:tcPr>
          <w:p>
            <w:pPr>
              <w:spacing w:after="0"/>
              <w:rPr>
                <w:sz w:val="1"/>
                <w:szCs w:val="1"/>
                <w:color w:val="auto"/>
              </w:rPr>
            </w:pPr>
          </w:p>
        </w:tc>
      </w:tr>
      <w:tr>
        <w:trPr>
          <w:trHeight w:val="179"/>
        </w:trPr>
        <w:tc>
          <w:tcPr>
            <w:tcW w:w="54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15,054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11,566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40,183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22,102</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3,877</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3,128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10,376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5,968</w:t>
            </w:r>
          </w:p>
        </w:tc>
        <w:tc>
          <w:tcPr>
            <w:tcW w:w="0" w:type="dxa"/>
            <w:vAlign w:val="bottom"/>
          </w:tcPr>
          <w:p>
            <w:pPr>
              <w:spacing w:after="0"/>
              <w:rPr>
                <w:sz w:val="1"/>
                <w:szCs w:val="1"/>
                <w:color w:val="auto"/>
              </w:rPr>
            </w:pPr>
          </w:p>
        </w:tc>
      </w:tr>
      <w:tr>
        <w:trPr>
          <w:trHeight w:val="179"/>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11,177</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8,438</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29,807</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16,134</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Arial" w:cs="Arial" w:eastAsia="Arial" w:hAnsi="Arial"/>
                <w:sz w:val="14"/>
                <w:szCs w:val="14"/>
                <w:color w:val="auto"/>
              </w:rPr>
              <w:t>Basic earnings per share</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0.81</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0.61</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0.79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0.61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14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13,793,087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13,794,628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13,772,261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13,829,341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14,228,497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13,794,628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14,110,789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13,832,176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5" w:name="page6"/>
    <w:bookmarkEnd w:id="5"/>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69951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ind w:left="340"/>
        <w:spacing w:after="0" w:line="197" w:lineRule="auto"/>
        <w:rPr>
          <w:sz w:val="20"/>
          <w:szCs w:val="20"/>
          <w:color w:val="auto"/>
        </w:rPr>
      </w:pPr>
      <w:r>
        <w:rPr>
          <w:rFonts w:ascii="Arial" w:cs="Arial" w:eastAsia="Arial" w:hAnsi="Arial"/>
          <w:sz w:val="14"/>
          <w:szCs w:val="14"/>
          <w:b w:val="1"/>
          <w:bCs w:val="1"/>
          <w:color w:val="auto"/>
        </w:rPr>
        <w:t>Consolidated Statements of Comprehensive Income</w:t>
      </w:r>
    </w:p>
    <w:p>
      <w:pPr>
        <w:ind w:left="3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20" w:type="dxa"/>
            <w:vAlign w:val="bottom"/>
          </w:tcPr>
          <w:p>
            <w:pPr>
              <w:spacing w:after="0"/>
              <w:rPr>
                <w:sz w:val="14"/>
                <w:szCs w:val="1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2"/>
                <w:szCs w:val="12"/>
                <w:b w:val="1"/>
                <w:bCs w:val="1"/>
                <w:color w:val="auto"/>
              </w:rPr>
              <w:t>Nine Months Ended September 30,</w:t>
            </w:r>
          </w:p>
        </w:tc>
      </w:tr>
      <w:tr>
        <w:trPr>
          <w:trHeight w:val="186"/>
        </w:trPr>
        <w:tc>
          <w:tcPr>
            <w:tcW w:w="432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2020</w:t>
            </w:r>
          </w:p>
        </w:tc>
      </w:tr>
      <w:tr>
        <w:trPr>
          <w:trHeight w:val="192"/>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Net income</w:t>
            </w:r>
          </w:p>
        </w:tc>
        <w:tc>
          <w:tcPr>
            <w:tcW w:w="114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11,177</w:t>
            </w:r>
          </w:p>
        </w:tc>
        <w:tc>
          <w:tcPr>
            <w:tcW w:w="1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29,807</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r>
    </w:tbl>
    <w:p>
      <w:pPr>
        <w:spacing w:after="0" w:line="194" w:lineRule="exact"/>
        <w:rPr>
          <w:sz w:val="20"/>
          <w:szCs w:val="20"/>
          <w:color w:val="auto"/>
        </w:rPr>
      </w:pPr>
    </w:p>
    <w:p>
      <w:pPr>
        <w:sectPr>
          <w:pgSz w:w="11900" w:h="16838" w:orient="portrait"/>
          <w:cols w:equalWidth="0" w:num="1">
            <w:col w:w="11020"/>
          </w:cols>
          <w:pgMar w:left="640" w:top="612" w:right="239" w:bottom="1440" w:gutter="0" w:footer="0" w:header="0"/>
        </w:sectPr>
      </w:pPr>
    </w:p>
    <w:p>
      <w:pPr>
        <w:ind w:left="340"/>
        <w:spacing w:after="0"/>
        <w:rPr>
          <w:sz w:val="20"/>
          <w:szCs w:val="20"/>
          <w:color w:val="auto"/>
        </w:rPr>
      </w:pPr>
      <w:r>
        <w:rPr>
          <w:rFonts w:ascii="Arial" w:cs="Arial" w:eastAsia="Arial" w:hAnsi="Arial"/>
          <w:sz w:val="16"/>
          <w:szCs w:val="16"/>
          <w:b w:val="1"/>
          <w:bCs w:val="1"/>
          <w:color w:val="auto"/>
        </w:rPr>
        <w:t>Other comprehensive income (loss):</w:t>
      </w:r>
    </w:p>
    <w:p>
      <w:pPr>
        <w:spacing w:after="0" w:line="48" w:lineRule="exact"/>
        <w:rPr>
          <w:sz w:val="20"/>
          <w:szCs w:val="20"/>
          <w:color w:val="auto"/>
        </w:rPr>
      </w:pPr>
    </w:p>
    <w:p>
      <w:pPr>
        <w:ind w:left="180" w:right="600" w:hanging="158"/>
        <w:spacing w:after="0" w:line="228" w:lineRule="auto"/>
        <w:rPr>
          <w:sz w:val="20"/>
          <w:szCs w:val="20"/>
          <w:color w:val="auto"/>
        </w:rPr>
      </w:pPr>
      <w:r>
        <w:rPr>
          <w:rFonts w:ascii="Arial" w:cs="Arial" w:eastAsia="Arial" w:hAnsi="Arial"/>
          <w:sz w:val="16"/>
          <w:szCs w:val="16"/>
          <w:color w:val="auto"/>
        </w:rPr>
        <w:t>Unrealized gain (loss) on investment securities available for sale</w:t>
      </w:r>
    </w:p>
    <w:p>
      <w:pPr>
        <w:spacing w:after="0" w:line="21" w:lineRule="exact"/>
        <w:rPr>
          <w:sz w:val="20"/>
          <w:szCs w:val="20"/>
          <w:color w:val="auto"/>
        </w:rPr>
      </w:pPr>
    </w:p>
    <w:p>
      <w:pPr>
        <w:ind w:left="180" w:right="1020" w:hanging="158"/>
        <w:spacing w:after="0" w:line="228" w:lineRule="auto"/>
        <w:rPr>
          <w:sz w:val="20"/>
          <w:szCs w:val="20"/>
          <w:color w:val="auto"/>
        </w:rPr>
      </w:pPr>
      <w:r>
        <w:rPr>
          <w:rFonts w:ascii="Arial" w:cs="Arial" w:eastAsia="Arial" w:hAnsi="Arial"/>
          <w:sz w:val="16"/>
          <w:szCs w:val="16"/>
          <w:color w:val="auto"/>
        </w:rPr>
        <w:t>Reclassification of realized gain on sale of investment securities available for sale</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tabs>
          <w:tab w:leader="none" w:pos="1940" w:val="left"/>
          <w:tab w:leader="none" w:pos="3440" w:val="left"/>
          <w:tab w:leader="none" w:pos="5260" w:val="left"/>
        </w:tabs>
        <w:rPr>
          <w:sz w:val="20"/>
          <w:szCs w:val="20"/>
          <w:color w:val="auto"/>
        </w:rPr>
      </w:pPr>
      <w:r>
        <w:rPr>
          <w:rFonts w:ascii="Arial" w:cs="Arial" w:eastAsia="Arial" w:hAnsi="Arial"/>
          <w:sz w:val="14"/>
          <w:szCs w:val="14"/>
          <w:b w:val="1"/>
          <w:bCs w:val="1"/>
          <w:color w:val="auto"/>
        </w:rPr>
        <w:t>1,051</w:t>
      </w:r>
      <w:r>
        <w:rPr>
          <w:sz w:val="20"/>
          <w:szCs w:val="20"/>
          <w:color w:val="auto"/>
        </w:rPr>
        <w:tab/>
      </w:r>
      <w:r>
        <w:rPr>
          <w:rFonts w:ascii="Arial" w:cs="Arial" w:eastAsia="Arial" w:hAnsi="Arial"/>
          <w:sz w:val="14"/>
          <w:szCs w:val="14"/>
          <w:color w:val="auto"/>
        </w:rPr>
        <w:t>37</w:t>
      </w:r>
      <w:r>
        <w:rPr>
          <w:sz w:val="20"/>
          <w:szCs w:val="20"/>
          <w:color w:val="auto"/>
        </w:rPr>
        <w:tab/>
      </w:r>
      <w:r>
        <w:rPr>
          <w:rFonts w:ascii="Arial" w:cs="Arial" w:eastAsia="Arial" w:hAnsi="Arial"/>
          <w:sz w:val="14"/>
          <w:szCs w:val="14"/>
          <w:b w:val="1"/>
          <w:bCs w:val="1"/>
          <w:color w:val="auto"/>
        </w:rPr>
        <w:t>(1,219)</w:t>
      </w:r>
      <w:r>
        <w:rPr>
          <w:sz w:val="20"/>
          <w:szCs w:val="20"/>
          <w:color w:val="auto"/>
        </w:rPr>
        <w:tab/>
      </w: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-353695</wp:posOffset>
            </wp:positionV>
            <wp:extent cx="699516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34620"/>
                    </a:xfrm>
                    <a:prstGeom prst="rect">
                      <a:avLst/>
                    </a:prstGeom>
                    <a:noFill/>
                  </pic:spPr>
                </pic:pic>
              </a:graphicData>
            </a:graphic>
          </wp:anchor>
        </w:drawing>
        <w:drawing>
          <wp:anchor simplePos="0" relativeHeight="251657728" behindDoc="1" locked="0" layoutInCell="0" allowOverlap="1">
            <wp:simplePos x="0" y="0"/>
            <wp:positionH relativeFrom="column">
              <wp:posOffset>-3514725</wp:posOffset>
            </wp:positionH>
            <wp:positionV relativeFrom="paragraph">
              <wp:posOffset>15875</wp:posOffset>
            </wp:positionV>
            <wp:extent cx="6995160" cy="235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35585"/>
                    </a:xfrm>
                    <a:prstGeom prst="rect">
                      <a:avLst/>
                    </a:prstGeom>
                    <a:noFill/>
                  </pic:spPr>
                </pic:pic>
              </a:graphicData>
            </a:graphic>
          </wp:anchor>
        </w:drawing>
      </w:r>
    </w:p>
    <w:p>
      <w:pPr>
        <w:spacing w:after="0" w:line="190" w:lineRule="exact"/>
        <w:rPr>
          <w:sz w:val="20"/>
          <w:szCs w:val="20"/>
          <w:color w:val="auto"/>
        </w:rPr>
      </w:pPr>
    </w:p>
    <w:p>
      <w:pPr>
        <w:ind w:left="220"/>
        <w:spacing w:after="0"/>
        <w:tabs>
          <w:tab w:leader="none" w:pos="1960" w:val="left"/>
          <w:tab w:leader="none" w:pos="362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b w:val="1"/>
          <w:bCs w:val="1"/>
          <w:color w:val="auto"/>
        </w:rPr>
        <w:t>153</w:t>
      </w:r>
    </w:p>
    <w:p>
      <w:pPr>
        <w:spacing w:after="0" w:line="24" w:lineRule="exact"/>
        <w:rPr>
          <w:sz w:val="20"/>
          <w:szCs w:val="20"/>
          <w:color w:val="auto"/>
        </w:rPr>
      </w:pPr>
    </w:p>
    <w:p>
      <w:pPr>
        <w:sectPr>
          <w:pgSz w:w="11900" w:h="16838" w:orient="portrait"/>
          <w:cols w:equalWidth="0" w:num="2">
            <w:col w:w="4820" w:space="720"/>
            <w:col w:w="5480"/>
          </w:cols>
          <w:pgMar w:left="640" w:top="612"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43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1,051</w:t>
            </w: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(1,066)</w:t>
            </w: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 relating to the items above</w:t>
            </w:r>
          </w:p>
        </w:tc>
        <w:tc>
          <w:tcPr>
            <w:tcW w:w="7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2"/>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 comprehensive income</w:t>
            </w:r>
          </w:p>
        </w:tc>
        <w:tc>
          <w:tcPr>
            <w:tcW w:w="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765</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(804)</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04"/>
        </w:trPr>
        <w:tc>
          <w:tcPr>
            <w:tcW w:w="4320" w:type="dxa"/>
            <w:vAlign w:val="bottom"/>
            <w:tcBorders>
              <w:bottom w:val="single" w:sz="8" w:color="CCEEFF"/>
            </w:tcBorders>
            <w:shd w:val="clear" w:color="auto" w:fill="CCEEFF"/>
          </w:tcPr>
          <w:p>
            <w:pPr>
              <w:ind w:left="340"/>
              <w:spacing w:after="0" w:line="179" w:lineRule="exact"/>
              <w:rPr>
                <w:sz w:val="20"/>
                <w:szCs w:val="20"/>
                <w:color w:val="auto"/>
              </w:rPr>
            </w:pPr>
            <w:r>
              <w:rPr>
                <w:rFonts w:ascii="Arial" w:cs="Arial" w:eastAsia="Arial" w:hAnsi="Arial"/>
                <w:sz w:val="16"/>
                <w:szCs w:val="16"/>
                <w:b w:val="1"/>
                <w:bCs w:val="1"/>
                <w:color w:val="auto"/>
              </w:rPr>
              <w:t>Comprehensive income</w:t>
            </w:r>
          </w:p>
        </w:tc>
        <w:tc>
          <w:tcPr>
            <w:tcW w:w="7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11,942</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8,465</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29,003</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12" w:right="239" w:bottom="1440" w:gutter="0" w:footer="0" w:header="0"/>
          <w:type w:val="continuous"/>
        </w:sectPr>
      </w:pPr>
    </w:p>
    <w:bookmarkStart w:id="6" w:name="page7"/>
    <w:bookmarkEnd w:id="6"/>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340"/>
        <w:spacing w:after="0" w:line="197" w:lineRule="auto"/>
        <w:rPr>
          <w:sz w:val="20"/>
          <w:szCs w:val="20"/>
          <w:color w:val="auto"/>
        </w:rPr>
      </w:pPr>
      <w:r>
        <w:rPr>
          <w:rFonts w:ascii="Arial" w:cs="Arial" w:eastAsia="Arial" w:hAnsi="Arial"/>
          <w:sz w:val="14"/>
          <w:szCs w:val="14"/>
          <w:b w:val="1"/>
          <w:bCs w:val="1"/>
          <w:color w:val="auto"/>
        </w:rPr>
        <w:t>Consolidated Statements of Changes in Stockholders’ Equity</w:t>
      </w:r>
    </w:p>
    <w:p>
      <w:pPr>
        <w:ind w:left="3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00" w:type="dxa"/>
            <w:vAlign w:val="bottom"/>
          </w:tcPr>
          <w:p>
            <w:pPr>
              <w:spacing w:after="0"/>
              <w:rPr>
                <w:sz w:val="14"/>
                <w:szCs w:val="14"/>
                <w:color w:val="auto"/>
              </w:rPr>
            </w:pPr>
          </w:p>
        </w:tc>
        <w:tc>
          <w:tcPr>
            <w:tcW w:w="2560" w:type="dxa"/>
            <w:vAlign w:val="bottom"/>
            <w:gridSpan w:val="5"/>
          </w:tcPr>
          <w:p>
            <w:pPr>
              <w:ind w:left="940"/>
              <w:spacing w:after="0"/>
              <w:rPr>
                <w:sz w:val="20"/>
                <w:szCs w:val="20"/>
                <w:color w:val="auto"/>
              </w:rPr>
            </w:pPr>
            <w:r>
              <w:rPr>
                <w:rFonts w:ascii="Arial" w:cs="Arial" w:eastAsia="Arial" w:hAnsi="Arial"/>
                <w:sz w:val="12"/>
                <w:szCs w:val="12"/>
                <w:b w:val="1"/>
                <w:bCs w:val="1"/>
                <w:color w:val="auto"/>
              </w:rPr>
              <w:t>Common Stock</w:t>
            </w:r>
          </w:p>
        </w:tc>
        <w:tc>
          <w:tcPr>
            <w:tcW w:w="42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Additional</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Retained</w:t>
            </w:r>
          </w:p>
        </w:tc>
        <w:tc>
          <w:tcPr>
            <w:tcW w:w="1620" w:type="dxa"/>
            <w:vAlign w:val="bottom"/>
            <w:gridSpan w:val="3"/>
            <w:vMerge w:val="restart"/>
          </w:tcPr>
          <w:p>
            <w:pPr>
              <w:ind w:left="360"/>
              <w:spacing w:after="0"/>
              <w:rPr>
                <w:sz w:val="20"/>
                <w:szCs w:val="20"/>
                <w:color w:val="auto"/>
              </w:rPr>
            </w:pPr>
            <w:r>
              <w:rPr>
                <w:rFonts w:ascii="Arial" w:cs="Arial" w:eastAsia="Arial" w:hAnsi="Arial"/>
                <w:sz w:val="12"/>
                <w:szCs w:val="12"/>
                <w:b w:val="1"/>
                <w:bCs w:val="1"/>
                <w:color w:val="auto"/>
              </w:rPr>
              <w:t>Accumulated Other</w:t>
            </w:r>
          </w:p>
        </w:tc>
        <w:tc>
          <w:tcPr>
            <w:tcW w:w="5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1260" w:type="dxa"/>
            <w:vAlign w:val="bottom"/>
            <w:gridSpan w:val="2"/>
            <w:vMerge w:val="restart"/>
          </w:tcPr>
          <w:p>
            <w:pPr>
              <w:ind w:left="54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0"/>
                <w:szCs w:val="10"/>
                <w:color w:val="auto"/>
              </w:rPr>
            </w:pPr>
          </w:p>
        </w:tc>
        <w:tc>
          <w:tcPr>
            <w:tcW w:w="9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Paid-in</w:t>
            </w:r>
          </w:p>
        </w:tc>
        <w:tc>
          <w:tcPr>
            <w:tcW w:w="4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1320" w:type="dxa"/>
            <w:vAlign w:val="bottom"/>
            <w:gridSpan w:val="2"/>
          </w:tcPr>
          <w:p>
            <w:pPr>
              <w:ind w:left="340"/>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2700" w:type="dxa"/>
            <w:vAlign w:val="bottom"/>
          </w:tcPr>
          <w:p>
            <w:pPr>
              <w:ind w:left="340"/>
              <w:spacing w:after="0"/>
              <w:rPr>
                <w:sz w:val="20"/>
                <w:szCs w:val="20"/>
                <w:color w:val="auto"/>
              </w:rPr>
            </w:pPr>
            <w:r>
              <w:rPr>
                <w:rFonts w:ascii="Arial" w:cs="Arial" w:eastAsia="Arial" w:hAnsi="Arial"/>
                <w:sz w:val="11"/>
                <w:szCs w:val="11"/>
                <w:color w:val="auto"/>
              </w:rPr>
              <w:t>(dollars in thousands)</w:t>
            </w:r>
          </w:p>
        </w:tc>
        <w:tc>
          <w:tcPr>
            <w:tcW w:w="12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Capital</w:t>
            </w:r>
          </w:p>
        </w:tc>
        <w:tc>
          <w:tcPr>
            <w:tcW w:w="1420" w:type="dxa"/>
            <w:vAlign w:val="bottom"/>
            <w:gridSpan w:val="3"/>
          </w:tcPr>
          <w:p>
            <w:pPr>
              <w:ind w:left="400"/>
              <w:spacing w:after="0"/>
              <w:rPr>
                <w:sz w:val="20"/>
                <w:szCs w:val="20"/>
                <w:color w:val="auto"/>
              </w:rPr>
            </w:pPr>
            <w:r>
              <w:rPr>
                <w:rFonts w:ascii="Arial" w:cs="Arial" w:eastAsia="Arial" w:hAnsi="Arial"/>
                <w:sz w:val="12"/>
                <w:szCs w:val="12"/>
                <w:b w:val="1"/>
                <w:bCs w:val="1"/>
                <w:color w:val="auto"/>
              </w:rPr>
              <w:t>Earnings</w:t>
            </w:r>
          </w:p>
        </w:tc>
        <w:tc>
          <w:tcPr>
            <w:tcW w:w="1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Comprehensive Income</w:t>
            </w:r>
          </w:p>
        </w:tc>
        <w:tc>
          <w:tcPr>
            <w:tcW w:w="500" w:type="dxa"/>
            <w:vAlign w:val="bottom"/>
          </w:tcPr>
          <w:p>
            <w:pPr>
              <w:spacing w:after="0"/>
              <w:rPr>
                <w:sz w:val="14"/>
                <w:szCs w:val="14"/>
                <w:color w:val="auto"/>
              </w:rPr>
            </w:pPr>
          </w:p>
        </w:tc>
        <w:tc>
          <w:tcPr>
            <w:tcW w:w="820" w:type="dxa"/>
            <w:vAlign w:val="bottom"/>
          </w:tcPr>
          <w:p>
            <w:pPr>
              <w:jc w:val="right"/>
              <w:ind w:right="31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7"/>
        </w:trPr>
        <w:tc>
          <w:tcPr>
            <w:tcW w:w="27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00" w:type="dxa"/>
            <w:vAlign w:val="bottom"/>
          </w:tcPr>
          <w:p>
            <w:pPr>
              <w:ind w:left="340"/>
              <w:spacing w:after="0"/>
              <w:rPr>
                <w:sz w:val="20"/>
                <w:szCs w:val="20"/>
                <w:color w:val="auto"/>
              </w:rPr>
            </w:pPr>
            <w:r>
              <w:rPr>
                <w:rFonts w:ascii="Arial" w:cs="Arial" w:eastAsia="Arial" w:hAnsi="Arial"/>
                <w:sz w:val="14"/>
                <w:szCs w:val="14"/>
                <w:b w:val="1"/>
                <w:bCs w:val="1"/>
                <w:color w:val="auto"/>
              </w:rPr>
              <w:t>Balance, December 31, 2019</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13,894,842</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51,561</w:t>
            </w:r>
          </w:p>
        </w:tc>
        <w:tc>
          <w:tcPr>
            <w:tcW w:w="120" w:type="dxa"/>
            <w:vAlign w:val="bottom"/>
          </w:tcPr>
          <w:p>
            <w:pPr>
              <w:spacing w:after="0"/>
              <w:rPr>
                <w:sz w:val="16"/>
                <w:szCs w:val="16"/>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81,618</w:t>
            </w:r>
          </w:p>
        </w:tc>
        <w:tc>
          <w:tcPr>
            <w:tcW w:w="100" w:type="dxa"/>
            <w:vAlign w:val="bottom"/>
          </w:tcPr>
          <w:p>
            <w:pPr>
              <w:spacing w:after="0"/>
              <w:rPr>
                <w:sz w:val="16"/>
                <w:szCs w:val="16"/>
                <w:color w:val="auto"/>
              </w:rPr>
            </w:pPr>
          </w:p>
        </w:tc>
        <w:tc>
          <w:tcPr>
            <w:tcW w:w="74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133,33</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line="151" w:lineRule="exact"/>
              <w:rPr>
                <w:sz w:val="20"/>
                <w:szCs w:val="20"/>
                <w:color w:val="auto"/>
              </w:rPr>
            </w:pPr>
            <w:r>
              <w:rPr>
                <w:rFonts w:ascii="Arial" w:cs="Arial" w:eastAsia="Arial" w:hAnsi="Arial"/>
                <w:sz w:val="14"/>
                <w:szCs w:val="14"/>
                <w:color w:val="auto"/>
              </w:rPr>
              <w:t>Unrealized gain on investment securities</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Stock options exercised, net of</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34,015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repurchased shares</w:t>
            </w: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 and retired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(112,134)</w:t>
            </w: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79"/>
        </w:trPr>
        <w:tc>
          <w:tcPr>
            <w:tcW w:w="2700" w:type="dxa"/>
            <w:vAlign w:val="bottom"/>
          </w:tcPr>
          <w:p>
            <w:pPr>
              <w:ind w:left="340"/>
              <w:spacing w:after="0"/>
              <w:rPr>
                <w:sz w:val="20"/>
                <w:szCs w:val="20"/>
                <w:color w:val="auto"/>
              </w:rPr>
            </w:pPr>
            <w:r>
              <w:rPr>
                <w:rFonts w:ascii="Arial" w:cs="Arial" w:eastAsia="Arial" w:hAnsi="Arial"/>
                <w:sz w:val="14"/>
                <w:szCs w:val="14"/>
                <w:b w:val="1"/>
                <w:bCs w:val="1"/>
                <w:color w:val="auto"/>
              </w:rPr>
              <w:t>Balance, March 31, 2020</w:t>
            </w:r>
          </w:p>
        </w:tc>
        <w:tc>
          <w:tcPr>
            <w:tcW w:w="1160" w:type="dxa"/>
            <w:vAlign w:val="bottom"/>
          </w:tcPr>
          <w:p>
            <w:pPr>
              <w:jc w:val="right"/>
              <w:spacing w:after="0"/>
              <w:rPr>
                <w:sz w:val="20"/>
                <w:szCs w:val="20"/>
                <w:color w:val="auto"/>
              </w:rPr>
            </w:pPr>
            <w:r>
              <w:rPr>
                <w:rFonts w:ascii="Arial" w:cs="Arial" w:eastAsia="Arial" w:hAnsi="Arial"/>
                <w:sz w:val="14"/>
                <w:szCs w:val="14"/>
                <w:color w:val="auto"/>
              </w:rPr>
              <w:t>13,816,723</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50,786</w:t>
            </w:r>
          </w:p>
        </w:tc>
        <w:tc>
          <w:tcPr>
            <w:tcW w:w="12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84,389</w:t>
            </w:r>
          </w:p>
        </w:tc>
        <w:tc>
          <w:tcPr>
            <w:tcW w:w="100" w:type="dxa"/>
            <w:vAlign w:val="bottom"/>
          </w:tcPr>
          <w:p>
            <w:pPr>
              <w:spacing w:after="0"/>
              <w:rPr>
                <w:sz w:val="15"/>
                <w:szCs w:val="15"/>
                <w:color w:val="auto"/>
              </w:rPr>
            </w:pPr>
          </w:p>
        </w:tc>
        <w:tc>
          <w:tcPr>
            <w:tcW w:w="740" w:type="dxa"/>
            <w:vAlign w:val="bottom"/>
          </w:tcPr>
          <w:p>
            <w:pPr>
              <w:ind w:left="3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5"/>
                <w:szCs w:val="15"/>
                <w:color w:val="auto"/>
              </w:rPr>
            </w:pPr>
          </w:p>
        </w:tc>
        <w:tc>
          <w:tcPr>
            <w:tcW w:w="500" w:type="dxa"/>
            <w:vAlign w:val="bottom"/>
          </w:tcPr>
          <w:p>
            <w:pPr>
              <w:ind w:left="3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136,08</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line="151" w:lineRule="exact"/>
              <w:rPr>
                <w:sz w:val="20"/>
                <w:szCs w:val="20"/>
                <w:color w:val="auto"/>
              </w:rPr>
            </w:pPr>
            <w:r>
              <w:rPr>
                <w:rFonts w:ascii="Arial" w:cs="Arial" w:eastAsia="Arial" w:hAnsi="Arial"/>
                <w:sz w:val="14"/>
                <w:szCs w:val="14"/>
                <w:color w:val="auto"/>
              </w:rPr>
              <w:t>Unrealized gain on investment securities</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 and retired</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2700" w:type="dxa"/>
            <w:vAlign w:val="bottom"/>
          </w:tcPr>
          <w:p>
            <w:pPr>
              <w:ind w:left="340"/>
              <w:spacing w:after="0"/>
              <w:rPr>
                <w:sz w:val="20"/>
                <w:szCs w:val="20"/>
                <w:color w:val="auto"/>
              </w:rPr>
            </w:pPr>
            <w:r>
              <w:rPr>
                <w:rFonts w:ascii="Arial" w:cs="Arial" w:eastAsia="Arial" w:hAnsi="Arial"/>
                <w:sz w:val="14"/>
                <w:szCs w:val="14"/>
                <w:b w:val="1"/>
                <w:bCs w:val="1"/>
                <w:color w:val="auto"/>
              </w:rPr>
              <w:t>Balance, June 30, 2020</w:t>
            </w:r>
          </w:p>
        </w:tc>
        <w:tc>
          <w:tcPr>
            <w:tcW w:w="1160" w:type="dxa"/>
            <w:vAlign w:val="bottom"/>
          </w:tcPr>
          <w:p>
            <w:pPr>
              <w:jc w:val="right"/>
              <w:spacing w:after="0"/>
              <w:rPr>
                <w:sz w:val="20"/>
                <w:szCs w:val="20"/>
                <w:color w:val="auto"/>
              </w:rPr>
            </w:pPr>
            <w:r>
              <w:rPr>
                <w:rFonts w:ascii="Arial" w:cs="Arial" w:eastAsia="Arial" w:hAnsi="Arial"/>
                <w:sz w:val="14"/>
                <w:szCs w:val="14"/>
                <w:color w:val="auto"/>
              </w:rPr>
              <w:t>13,818,223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51,052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89,151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142,10</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8,43</w:t>
            </w: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line="151" w:lineRule="exact"/>
              <w:rPr>
                <w:sz w:val="20"/>
                <w:szCs w:val="20"/>
                <w:color w:val="auto"/>
              </w:rPr>
            </w:pPr>
            <w:r>
              <w:rPr>
                <w:rFonts w:ascii="Arial" w:cs="Arial" w:eastAsia="Arial" w:hAnsi="Arial"/>
                <w:sz w:val="14"/>
                <w:szCs w:val="14"/>
                <w:color w:val="auto"/>
              </w:rPr>
              <w:t>Unrealized gain on investment securities</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repurchased and retired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152"/>
        </w:trPr>
        <w:tc>
          <w:tcPr>
            <w:tcW w:w="2700" w:type="dxa"/>
            <w:vAlign w:val="bottom"/>
          </w:tcPr>
          <w:p>
            <w:pPr>
              <w:ind w:left="340"/>
              <w:spacing w:after="0" w:line="152" w:lineRule="exact"/>
              <w:rPr>
                <w:sz w:val="20"/>
                <w:szCs w:val="20"/>
                <w:color w:val="auto"/>
              </w:rPr>
            </w:pPr>
            <w:r>
              <w:rPr>
                <w:rFonts w:ascii="Arial" w:cs="Arial" w:eastAsia="Arial" w:hAnsi="Arial"/>
                <w:sz w:val="14"/>
                <w:szCs w:val="14"/>
                <w:b w:val="1"/>
                <w:bCs w:val="1"/>
                <w:color w:val="auto"/>
              </w:rPr>
              <w:t>Balance, September 30, 2020</w:t>
            </w:r>
          </w:p>
        </w:tc>
        <w:tc>
          <w:tcPr>
            <w:tcW w:w="11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13,682,198</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137</w:t>
            </w:r>
          </w:p>
        </w:tc>
        <w:tc>
          <w:tcPr>
            <w:tcW w:w="1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49,866</w:t>
            </w: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10"/>
              <w:spacing w:after="0" w:line="15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97,580</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340"/>
              <w:spacing w:after="0" w:line="15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1,794</w:t>
            </w:r>
          </w:p>
        </w:tc>
        <w:tc>
          <w:tcPr>
            <w:tcW w:w="100" w:type="dxa"/>
            <w:vAlign w:val="bottom"/>
          </w:tcPr>
          <w:p>
            <w:pPr>
              <w:spacing w:after="0"/>
              <w:rPr>
                <w:sz w:val="13"/>
                <w:szCs w:val="13"/>
                <w:color w:val="auto"/>
              </w:rPr>
            </w:pPr>
          </w:p>
        </w:tc>
        <w:tc>
          <w:tcPr>
            <w:tcW w:w="500" w:type="dxa"/>
            <w:vAlign w:val="bottom"/>
            <w:tcBorders>
              <w:top w:val="single" w:sz="8" w:color="auto"/>
              <w:bottom w:val="single" w:sz="8" w:color="auto"/>
            </w:tcBorders>
          </w:tcPr>
          <w:p>
            <w:pPr>
              <w:ind w:left="340"/>
              <w:spacing w:after="0" w:line="152"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149,37</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7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00" w:type="dxa"/>
            <w:vAlign w:val="bottom"/>
          </w:tcPr>
          <w:p>
            <w:pPr>
              <w:ind w:left="340"/>
              <w:spacing w:after="0"/>
              <w:rPr>
                <w:sz w:val="20"/>
                <w:szCs w:val="20"/>
                <w:color w:val="auto"/>
              </w:rPr>
            </w:pPr>
            <w:r>
              <w:rPr>
                <w:rFonts w:ascii="Arial" w:cs="Arial" w:eastAsia="Arial" w:hAnsi="Arial"/>
                <w:sz w:val="14"/>
                <w:szCs w:val="14"/>
                <w:b w:val="1"/>
                <w:bCs w:val="1"/>
                <w:color w:val="auto"/>
              </w:rPr>
              <w:t>Balance, December 31, 2020</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13,753,529</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50,602</w:t>
            </w:r>
          </w:p>
        </w:tc>
        <w:tc>
          <w:tcPr>
            <w:tcW w:w="120" w:type="dxa"/>
            <w:vAlign w:val="bottom"/>
          </w:tcPr>
          <w:p>
            <w:pPr>
              <w:spacing w:after="0"/>
              <w:rPr>
                <w:sz w:val="16"/>
                <w:szCs w:val="16"/>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106,854</w:t>
            </w:r>
          </w:p>
        </w:tc>
        <w:tc>
          <w:tcPr>
            <w:tcW w:w="100" w:type="dxa"/>
            <w:vAlign w:val="bottom"/>
          </w:tcPr>
          <w:p>
            <w:pPr>
              <w:spacing w:after="0"/>
              <w:rPr>
                <w:sz w:val="16"/>
                <w:szCs w:val="16"/>
                <w:color w:val="auto"/>
              </w:rPr>
            </w:pPr>
          </w:p>
        </w:tc>
        <w:tc>
          <w:tcPr>
            <w:tcW w:w="74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1,717</w:t>
            </w:r>
          </w:p>
        </w:tc>
        <w:tc>
          <w:tcPr>
            <w:tcW w:w="10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159,31</w:t>
            </w: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line="151" w:lineRule="exact"/>
              <w:rPr>
                <w:sz w:val="20"/>
                <w:szCs w:val="20"/>
                <w:color w:val="auto"/>
              </w:rPr>
            </w:pPr>
            <w:r>
              <w:rPr>
                <w:rFonts w:ascii="Arial" w:cs="Arial" w:eastAsia="Arial" w:hAnsi="Arial"/>
                <w:sz w:val="14"/>
                <w:szCs w:val="14"/>
                <w:color w:val="auto"/>
              </w:rPr>
              <w:t>Unrealized loss on investment securities</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(1,699)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Stock options exercised, net of</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5,689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repurchased shares</w:t>
            </w:r>
          </w:p>
        </w:tc>
        <w:tc>
          <w:tcPr>
            <w:tcW w:w="11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9"/>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Balance, March 31, 2021</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13,759,218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51,042</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167,00</w:t>
            </w:r>
          </w:p>
        </w:tc>
        <w:tc>
          <w:tcPr>
            <w:tcW w:w="0" w:type="dxa"/>
            <w:vAlign w:val="bottom"/>
          </w:tcPr>
          <w:p>
            <w:pPr>
              <w:spacing w:after="0"/>
              <w:rPr>
                <w:sz w:val="1"/>
                <w:szCs w:val="1"/>
                <w:color w:val="auto"/>
              </w:rPr>
            </w:pPr>
          </w:p>
        </w:tc>
      </w:tr>
      <w:tr>
        <w:trPr>
          <w:trHeight w:val="186"/>
        </w:trPr>
        <w:tc>
          <w:tcPr>
            <w:tcW w:w="270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9,648</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50"/>
        </w:trPr>
        <w:tc>
          <w:tcPr>
            <w:tcW w:w="27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Unrealized gain on investment securities</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line="151" w:lineRule="exact"/>
              <w:rPr>
                <w:sz w:val="20"/>
                <w:szCs w:val="20"/>
                <w:color w:val="auto"/>
              </w:rPr>
            </w:pPr>
            <w:r>
              <w:rPr>
                <w:rFonts w:ascii="Arial" w:cs="Arial" w:eastAsia="Arial" w:hAnsi="Arial"/>
                <w:sz w:val="14"/>
                <w:szCs w:val="14"/>
                <w:color w:val="auto"/>
              </w:rPr>
              <w:t>Stock options exercised, net of</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10,301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4"/>
                <w:szCs w:val="14"/>
                <w:color w:val="auto"/>
              </w:rPr>
              <w:t>repurchased shares</w:t>
            </w: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9"/>
        </w:trPr>
        <w:tc>
          <w:tcPr>
            <w:tcW w:w="2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Balance, June 30,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13,771,615</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51,487</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125,431</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177,20</w:t>
            </w:r>
          </w:p>
        </w:tc>
        <w:tc>
          <w:tcPr>
            <w:tcW w:w="0" w:type="dxa"/>
            <w:vAlign w:val="bottom"/>
          </w:tcPr>
          <w:p>
            <w:pPr>
              <w:spacing w:after="0"/>
              <w:rPr>
                <w:sz w:val="1"/>
                <w:szCs w:val="1"/>
                <w:color w:val="auto"/>
              </w:rPr>
            </w:pPr>
          </w:p>
        </w:tc>
      </w:tr>
      <w:tr>
        <w:trPr>
          <w:trHeight w:val="185"/>
        </w:trPr>
        <w:tc>
          <w:tcPr>
            <w:tcW w:w="270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11,177</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50"/>
        </w:trPr>
        <w:tc>
          <w:tcPr>
            <w:tcW w:w="27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Unrealized gain on investment securities</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 for sale, net of income taxes</w:t>
            </w:r>
          </w:p>
        </w:tc>
        <w:tc>
          <w:tcPr>
            <w:tcW w:w="126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line="151" w:lineRule="exact"/>
              <w:rPr>
                <w:sz w:val="20"/>
                <w:szCs w:val="20"/>
                <w:color w:val="auto"/>
              </w:rPr>
            </w:pPr>
            <w:r>
              <w:rPr>
                <w:rFonts w:ascii="Arial" w:cs="Arial" w:eastAsia="Arial" w:hAnsi="Arial"/>
                <w:sz w:val="14"/>
                <w:szCs w:val="14"/>
                <w:color w:val="auto"/>
              </w:rPr>
              <w:t>Stock options exercised, net of</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30,321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8"/>
        </w:trPr>
        <w:tc>
          <w:tcPr>
            <w:tcW w:w="2700" w:type="dxa"/>
            <w:vAlign w:val="bottom"/>
          </w:tcPr>
          <w:p>
            <w:pPr>
              <w:ind w:left="180"/>
              <w:spacing w:after="0"/>
              <w:rPr>
                <w:sz w:val="20"/>
                <w:szCs w:val="20"/>
                <w:color w:val="auto"/>
              </w:rPr>
            </w:pPr>
            <w:r>
              <w:rPr>
                <w:rFonts w:ascii="Arial" w:cs="Arial" w:eastAsia="Arial" w:hAnsi="Arial"/>
                <w:sz w:val="14"/>
                <w:szCs w:val="14"/>
                <w:color w:val="auto"/>
              </w:rPr>
              <w:t>repurchased shares</w:t>
            </w: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9"/>
        </w:trPr>
        <w:tc>
          <w:tcPr>
            <w:tcW w:w="2700" w:type="dxa"/>
            <w:vAlign w:val="bottom"/>
          </w:tcPr>
          <w:p>
            <w:pPr>
              <w:ind w:left="340"/>
              <w:spacing w:after="0"/>
              <w:rPr>
                <w:sz w:val="20"/>
                <w:szCs w:val="20"/>
                <w:color w:val="auto"/>
              </w:rPr>
            </w:pPr>
            <w:r>
              <w:rPr>
                <w:rFonts w:ascii="Arial" w:cs="Arial" w:eastAsia="Arial" w:hAnsi="Arial"/>
                <w:sz w:val="14"/>
                <w:szCs w:val="14"/>
                <w:b w:val="1"/>
                <w:bCs w:val="1"/>
                <w:color w:val="auto"/>
              </w:rPr>
              <w:t>Balance, September 30, 2021</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13,801,936</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52,123</w:t>
            </w:r>
          </w:p>
        </w:tc>
        <w:tc>
          <w:tcPr>
            <w:tcW w:w="1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135,906</w:t>
            </w: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913</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189,08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12" w:right="2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34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97" w:lineRule="auto"/>
        <w:rPr>
          <w:sz w:val="20"/>
          <w:szCs w:val="20"/>
          <w:color w:val="auto"/>
        </w:rPr>
      </w:pPr>
      <w:r>
        <w:rPr>
          <w:rFonts w:ascii="Arial" w:cs="Arial" w:eastAsia="Arial" w:hAnsi="Arial"/>
          <w:sz w:val="14"/>
          <w:szCs w:val="14"/>
          <w:b w:val="1"/>
          <w:bCs w:val="1"/>
          <w:color w:val="auto"/>
        </w:rPr>
        <w:t>Consolidated Statements of Cash Flows</w:t>
      </w:r>
    </w:p>
    <w:p>
      <w:pPr>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700"/>
        <w:spacing w:after="0"/>
        <w:rPr>
          <w:sz w:val="20"/>
          <w:szCs w:val="20"/>
          <w:color w:val="auto"/>
        </w:rPr>
      </w:pPr>
      <w:r>
        <w:rPr>
          <w:rFonts w:ascii="Arial" w:cs="Arial" w:eastAsia="Arial" w:hAnsi="Arial"/>
          <w:sz w:val="12"/>
          <w:szCs w:val="12"/>
          <w:b w:val="1"/>
          <w:bCs w:val="1"/>
          <w:color w:val="auto"/>
        </w:rPr>
        <w:t>Nine Months Ended 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19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29,807</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16,134</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(used for)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Provision for loan losses</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2,259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9,209</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losses on mortgage loans sold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Provision for (reversal of) off balance sheet credit commitments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on investments,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1,013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1,401</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cash surrender value of bank-owned life insurance policies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1,006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736</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Director and employee compensation paid in stock</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Deferred income tax expense (benefit)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expense</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Gain on sale of securities available for sale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sale of foreclosed real estate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Mortgage banking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(17,478)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(20,984)</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loans held for sale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925,093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880,942</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Originations of loans held for sale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(836,466)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(926,645)</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20" w:type="dxa"/>
            <w:vAlign w:val="bottom"/>
          </w:tcPr>
          <w:p>
            <w:pPr>
              <w:ind w:left="340"/>
              <w:spacing w:after="0"/>
              <w:rPr>
                <w:sz w:val="20"/>
                <w:szCs w:val="20"/>
                <w:color w:val="auto"/>
              </w:rPr>
            </w:pPr>
            <w:r>
              <w:rPr>
                <w:rFonts w:ascii="Arial" w:cs="Arial" w:eastAsia="Arial" w:hAnsi="Arial"/>
                <w:sz w:val="16"/>
                <w:szCs w:val="16"/>
                <w:color w:val="auto"/>
              </w:rPr>
              <w:t>Decrease (increase) in accrued interest receivable</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306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(2,908)</w:t>
            </w:r>
          </w:p>
        </w:tc>
      </w:tr>
      <w:tr>
        <w:trPr>
          <w:trHeight w:val="212"/>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Decrease in other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2"/>
        </w:trPr>
        <w:tc>
          <w:tcPr>
            <w:tcW w:w="8220" w:type="dxa"/>
            <w:vAlign w:val="bottom"/>
          </w:tcPr>
          <w:p>
            <w:pPr>
              <w:ind w:left="340"/>
              <w:spacing w:after="0"/>
              <w:rPr>
                <w:sz w:val="20"/>
                <w:szCs w:val="20"/>
                <w:color w:val="auto"/>
              </w:rPr>
            </w:pPr>
            <w:r>
              <w:rPr>
                <w:rFonts w:ascii="Arial" w:cs="Arial" w:eastAsia="Arial" w:hAnsi="Arial"/>
                <w:sz w:val="16"/>
                <w:szCs w:val="16"/>
                <w:color w:val="auto"/>
              </w:rPr>
              <w:t>Decrease in accrued interest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2"/>
        </w:trPr>
        <w:tc>
          <w:tcPr>
            <w:tcW w:w="8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Decrease (increase) in 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5,175</w:t>
            </w:r>
          </w:p>
        </w:tc>
      </w:tr>
      <w:tr>
        <w:trPr>
          <w:trHeight w:val="205"/>
        </w:trPr>
        <w:tc>
          <w:tcPr>
            <w:tcW w:w="82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for) operating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102,533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(35,888)</w:t>
            </w:r>
          </w:p>
        </w:tc>
      </w:tr>
      <w:tr>
        <w:trPr>
          <w:trHeight w:val="192"/>
        </w:trPr>
        <w:tc>
          <w:tcPr>
            <w:tcW w:w="8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securities available for sale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(169,672)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Maturities, calls and principal paydowns of securities available for sale</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12,231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11,078</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securities available for sale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66,534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Sales of restricted investments</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473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bank-owned life insurance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Decrease (increase) in SBA-PPP loans receivable, net</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63,840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(233,349)</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portfolio loans receivable,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(130,564)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(74,928)</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Purchases of premises and equipment,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of foreclosed real estate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82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for investing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(192,335)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(299,521)</w:t>
            </w:r>
          </w:p>
        </w:tc>
      </w:tr>
      <w:tr>
        <w:trPr>
          <w:trHeight w:val="179"/>
        </w:trPr>
        <w:tc>
          <w:tcPr>
            <w:tcW w:w="8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increase (decrease)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Noninterest-bearing deposits</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224,628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304,461</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Interest-bearing deposits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44,482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132,328</w:t>
            </w:r>
          </w:p>
        </w:tc>
      </w:tr>
      <w:tr>
        <w:trPr>
          <w:trHeight w:val="212"/>
        </w:trPr>
        <w:tc>
          <w:tcPr>
            <w:tcW w:w="8220" w:type="dxa"/>
            <w:vAlign w:val="bottom"/>
          </w:tcPr>
          <w:p>
            <w:pPr>
              <w:ind w:left="220"/>
              <w:spacing w:after="0"/>
              <w:rPr>
                <w:sz w:val="20"/>
                <w:szCs w:val="20"/>
                <w:color w:val="auto"/>
              </w:rPr>
            </w:pPr>
            <w:r>
              <w:rPr>
                <w:rFonts w:ascii="Arial" w:cs="Arial" w:eastAsia="Arial" w:hAnsi="Arial"/>
                <w:sz w:val="16"/>
                <w:szCs w:val="16"/>
                <w:color w:val="auto"/>
              </w:rPr>
              <w:t>Federal Home Loan Bank advances, net</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12"/>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advances from Federal Reserve Bank</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r>
      <w:tr>
        <w:trPr>
          <w:trHeight w:val="212"/>
        </w:trPr>
        <w:tc>
          <w:tcPr>
            <w:tcW w:w="822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(2,798)</w:t>
            </w:r>
          </w:p>
        </w:tc>
      </w:tr>
      <w:tr>
        <w:trPr>
          <w:trHeight w:val="212"/>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proceeds from exercise of stock options (repurchase of option shares)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05"/>
        </w:trPr>
        <w:tc>
          <w:tcPr>
            <w:tcW w:w="82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266,890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426,102</w:t>
            </w:r>
          </w:p>
        </w:tc>
      </w:tr>
      <w:tr>
        <w:trPr>
          <w:trHeight w:val="179"/>
        </w:trPr>
        <w:tc>
          <w:tcPr>
            <w:tcW w:w="8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243205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254" w:right="35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348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97" w:lineRule="auto"/>
        <w:rPr>
          <w:sz w:val="20"/>
          <w:szCs w:val="20"/>
          <w:color w:val="auto"/>
        </w:rPr>
      </w:pPr>
      <w:r>
        <w:rPr>
          <w:rFonts w:ascii="Arial" w:cs="Arial" w:eastAsia="Arial" w:hAnsi="Arial"/>
          <w:sz w:val="14"/>
          <w:szCs w:val="14"/>
          <w:b w:val="1"/>
          <w:bCs w:val="1"/>
          <w:color w:val="auto"/>
        </w:rPr>
        <w:t>Consolidated Statements of Cash Flows</w:t>
      </w:r>
    </w:p>
    <w:p>
      <w:pPr>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700"/>
        <w:spacing w:after="0"/>
        <w:rPr>
          <w:sz w:val="20"/>
          <w:szCs w:val="20"/>
          <w:color w:val="auto"/>
        </w:rPr>
      </w:pPr>
      <w:r>
        <w:rPr>
          <w:rFonts w:ascii="Arial" w:cs="Arial" w:eastAsia="Arial" w:hAnsi="Arial"/>
          <w:sz w:val="12"/>
          <w:szCs w:val="12"/>
          <w:b w:val="1"/>
          <w:bCs w:val="1"/>
          <w:color w:val="auto"/>
        </w:rPr>
        <w:t>Nine Months Ended September 30,</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8200" w:type="dxa"/>
            <w:vAlign w:val="bottom"/>
          </w:tcPr>
          <w:p>
            <w:pPr>
              <w:spacing w:after="0"/>
              <w:rPr>
                <w:sz w:val="20"/>
                <w:szCs w:val="20"/>
                <w:color w:val="auto"/>
              </w:rPr>
            </w:pPr>
            <w:r>
              <w:rPr>
                <w:rFonts w:ascii="Arial" w:cs="Arial" w:eastAsia="Arial" w:hAnsi="Arial"/>
                <w:sz w:val="11"/>
                <w:szCs w:val="11"/>
                <w:color w:val="auto"/>
              </w:rPr>
              <w:t>(in thousands)</w:t>
            </w:r>
          </w:p>
        </w:tc>
        <w:tc>
          <w:tcPr>
            <w:tcW w:w="1500" w:type="dxa"/>
            <w:vAlign w:val="bottom"/>
            <w:tcBorders>
              <w:top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top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-635</wp:posOffset>
            </wp:positionV>
            <wp:extent cx="18929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ectPr>
          <w:pgSz w:w="11900" w:h="16838" w:orient="portrait"/>
          <w:cols w:equalWidth="0" w:num="1">
            <w:col w:w="11200"/>
          </w:cols>
          <w:pgMar w:left="340" w:top="254" w:right="359" w:bottom="1440" w:gutter="0" w:footer="0" w:header="0"/>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17715"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7715" cy="134620"/>
                    </a:xfrm>
                    <a:prstGeom prst="rect">
                      <a:avLst/>
                    </a:prstGeom>
                    <a:noFill/>
                  </pic:spPr>
                </pic:pic>
              </a:graphicData>
            </a:graphic>
          </wp:anchor>
        </w:drawing>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17715"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7715" cy="134620"/>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17715"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7715" cy="134620"/>
                    </a:xfrm>
                    <a:prstGeom prst="rect">
                      <a:avLst/>
                    </a:prstGeom>
                    <a:noFill/>
                  </pic:spPr>
                </pic:pic>
              </a:graphicData>
            </a:graphic>
          </wp:anchor>
        </w:drawing>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Noncash activities:</w:t>
      </w:r>
    </w:p>
    <w:p>
      <w:pPr>
        <w:spacing w:after="0" w:line="20" w:lineRule="exact"/>
        <w:rPr>
          <w:sz w:val="20"/>
          <w:szCs w:val="20"/>
          <w:color w:val="auto"/>
        </w:rPr>
      </w:pPr>
      <w:r>
        <w:rPr>
          <w:sz w:val="20"/>
          <w:szCs w:val="20"/>
          <w:color w:val="auto"/>
        </w:rPr>
        <w:br w:type="column"/>
      </w:r>
    </w:p>
    <w:p>
      <w:pPr>
        <w:jc w:val="both"/>
        <w:ind w:left="780"/>
        <w:spacing w:after="0"/>
        <w:tabs>
          <w:tab w:leader="none" w:pos="2400" w:val="left"/>
        </w:tabs>
        <w:rPr>
          <w:sz w:val="20"/>
          <w:szCs w:val="20"/>
          <w:color w:val="auto"/>
        </w:rPr>
      </w:pPr>
      <w:r>
        <w:rPr>
          <w:rFonts w:ascii="Arial" w:cs="Arial" w:eastAsia="Arial" w:hAnsi="Arial"/>
          <w:sz w:val="16"/>
          <w:szCs w:val="16"/>
          <w:b w:val="1"/>
          <w:bCs w:val="1"/>
          <w:color w:val="auto"/>
        </w:rPr>
        <w:t>177,088</w:t>
      </w:r>
      <w:r>
        <w:rPr>
          <w:sz w:val="20"/>
          <w:szCs w:val="20"/>
          <w:color w:val="auto"/>
        </w:rPr>
        <w:tab/>
      </w:r>
      <w:r>
        <w:rPr>
          <w:rFonts w:ascii="Arial" w:cs="Arial" w:eastAsia="Arial" w:hAnsi="Arial"/>
          <w:sz w:val="16"/>
          <w:szCs w:val="16"/>
          <w:color w:val="auto"/>
        </w:rPr>
        <w:t>90,693</w:t>
      </w:r>
    </w:p>
    <w:p>
      <w:pPr>
        <w:spacing w:after="0" w:line="240" w:lineRule="exact"/>
        <w:rPr>
          <w:sz w:val="20"/>
          <w:szCs w:val="20"/>
          <w:color w:val="auto"/>
        </w:rPr>
      </w:pPr>
    </w:p>
    <w:p>
      <w:pPr>
        <w:jc w:val="both"/>
        <w:ind w:left="780"/>
        <w:spacing w:after="0"/>
        <w:tabs>
          <w:tab w:leader="none" w:pos="2300" w:val="left"/>
        </w:tabs>
        <w:rPr>
          <w:sz w:val="20"/>
          <w:szCs w:val="20"/>
          <w:color w:val="auto"/>
        </w:rPr>
      </w:pPr>
      <w:r>
        <w:rPr>
          <w:rFonts w:ascii="Arial" w:cs="Arial" w:eastAsia="Arial" w:hAnsi="Arial"/>
          <w:sz w:val="16"/>
          <w:szCs w:val="16"/>
          <w:b w:val="1"/>
          <w:bCs w:val="1"/>
          <w:color w:val="auto"/>
        </w:rPr>
        <w:t>146,910</w:t>
      </w:r>
      <w:r>
        <w:rPr>
          <w:sz w:val="20"/>
          <w:szCs w:val="20"/>
          <w:color w:val="auto"/>
        </w:rPr>
        <w:tab/>
      </w:r>
      <w:r>
        <w:rPr>
          <w:rFonts w:ascii="Arial" w:cs="Arial" w:eastAsia="Arial" w:hAnsi="Arial"/>
          <w:sz w:val="16"/>
          <w:szCs w:val="16"/>
          <w:color w:val="auto"/>
        </w:rPr>
        <w:t>114,824</w:t>
      </w:r>
    </w:p>
    <w:p>
      <w:pPr>
        <w:spacing w:after="0" w:line="240" w:lineRule="exact"/>
        <w:rPr>
          <w:sz w:val="20"/>
          <w:szCs w:val="20"/>
          <w:color w:val="auto"/>
        </w:rPr>
      </w:pPr>
    </w:p>
    <w:p>
      <w:pPr>
        <w:spacing w:after="0"/>
        <w:tabs>
          <w:tab w:leader="none" w:pos="760" w:val="left"/>
          <w:tab w:leader="none" w:pos="1540" w:val="left"/>
          <w:tab w:leader="none" w:pos="23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323,998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205,517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20955</wp:posOffset>
            </wp:positionV>
            <wp:extent cx="18929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498" w:lineRule="exact"/>
        <w:rPr>
          <w:sz w:val="20"/>
          <w:szCs w:val="20"/>
          <w:color w:val="auto"/>
        </w:rPr>
      </w:pPr>
    </w:p>
    <w:p>
      <w:pPr>
        <w:sectPr>
          <w:pgSz w:w="11900" w:h="16838" w:orient="portrait"/>
          <w:cols w:equalWidth="0" w:num="2">
            <w:col w:w="7520" w:space="720"/>
            <w:col w:w="2960"/>
          </w:cols>
          <w:pgMar w:left="340" w:top="254" w:right="35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transferred to foreclosed real estate</w:t>
            </w:r>
          </w:p>
        </w:tc>
        <w:tc>
          <w:tcPr>
            <w:tcW w:w="500" w:type="dxa"/>
            <w:vAlign w:val="bottom"/>
            <w:shd w:val="clear" w:color="auto" w:fill="CCEEFF"/>
          </w:tcPr>
          <w:p>
            <w:pPr>
              <w:jc w:val="right"/>
              <w:ind w:right="301"/>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8220" w:type="dxa"/>
            <w:vAlign w:val="bottom"/>
          </w:tcPr>
          <w:p>
            <w:pPr>
              <w:ind w:left="140"/>
              <w:spacing w:after="0" w:line="158" w:lineRule="exact"/>
              <w:rPr>
                <w:sz w:val="20"/>
                <w:szCs w:val="20"/>
                <w:color w:val="auto"/>
              </w:rPr>
            </w:pPr>
            <w:r>
              <w:rPr>
                <w:rFonts w:ascii="Arial" w:cs="Arial" w:eastAsia="Arial" w:hAnsi="Arial"/>
                <w:sz w:val="16"/>
                <w:szCs w:val="16"/>
                <w:color w:val="auto"/>
              </w:rPr>
              <w:t>Change in unrealized gains (losses) on investments</w:t>
            </w:r>
          </w:p>
        </w:tc>
        <w:tc>
          <w:tcPr>
            <w:tcW w:w="500" w:type="dxa"/>
            <w:vAlign w:val="bottom"/>
            <w:tcBorders>
              <w:bottom w:val="single" w:sz="8" w:color="auto"/>
            </w:tcBorders>
          </w:tcPr>
          <w:p>
            <w:pPr>
              <w:jc w:val="right"/>
              <w:ind w:right="301"/>
              <w:spacing w:after="0" w:line="158"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(1,066)</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ind w:right="301"/>
              <w:spacing w:after="0" w:line="158"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6"/>
                <w:szCs w:val="16"/>
                <w:color w:val="auto"/>
              </w:rPr>
              <w:t>2,458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8"/>
        </w:trPr>
        <w:tc>
          <w:tcPr>
            <w:tcW w:w="8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Taxes</w:t>
            </w:r>
          </w:p>
        </w:tc>
        <w:tc>
          <w:tcPr>
            <w:tcW w:w="5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12,596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8220" w:type="dxa"/>
            <w:vAlign w:val="bottom"/>
          </w:tcPr>
          <w:p>
            <w:pPr>
              <w:ind w:left="140"/>
              <w:spacing w:after="0"/>
              <w:rPr>
                <w:sz w:val="20"/>
                <w:szCs w:val="20"/>
                <w:color w:val="auto"/>
              </w:rPr>
            </w:pPr>
            <w:r>
              <w:rPr>
                <w:rFonts w:ascii="Arial" w:cs="Arial" w:eastAsia="Arial" w:hAnsi="Arial"/>
                <w:sz w:val="16"/>
                <w:szCs w:val="16"/>
                <w:color w:val="auto"/>
              </w:rPr>
              <w:t>Interest</w:t>
            </w: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5,728</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10,861</w:t>
            </w:r>
          </w:p>
        </w:tc>
      </w:tr>
      <w:tr>
        <w:trPr>
          <w:trHeight w:val="20"/>
        </w:trPr>
        <w:tc>
          <w:tcPr>
            <w:tcW w:w="8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243205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254" w:right="359" w:bottom="1440" w:gutter="0" w:footer="0" w:header="0"/>
          <w:type w:val="continuous"/>
        </w:sectPr>
      </w:pPr>
    </w:p>
    <w:bookmarkStart w:id="9" w:name="page10"/>
    <w:bookmarkEnd w:id="9"/>
    <w:p>
      <w:pPr>
        <w:ind w:left="98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-173990</wp:posOffset>
            </wp:positionV>
            <wp:extent cx="65373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239"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Capital Bancorp, Inc. is a Maryland corporation and the bank holding company (the “Company”) for Capital Bank, N.A. (the “Bank”). The Company's primary operations are conducted by the Bank, which operates branches in Rockville, and Columbia,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the Bank’s residential mortgage banking arm, and issues credit cards through OpenSky</w:t>
      </w:r>
      <w:r>
        <w:rPr>
          <w:rFonts w:ascii="Arial" w:cs="Arial" w:eastAsia="Arial" w:hAnsi="Arial"/>
          <w:sz w:val="22"/>
          <w:szCs w:val="22"/>
          <w:color w:val="auto"/>
          <w:vertAlign w:val="superscript"/>
        </w:rPr>
        <w:t>®</w:t>
      </w:r>
      <w:r>
        <w:rPr>
          <w:rFonts w:ascii="Arial" w:cs="Arial" w:eastAsia="Arial" w:hAnsi="Arial"/>
          <w:sz w:val="18"/>
          <w:szCs w:val="18"/>
          <w:color w:val="auto"/>
        </w:rPr>
        <w:t>, a secured, digitally-driven nationwide credit card platform.</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 At September 30, 2021, Church Street Capital had loans totaling $5.9 million.</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3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and include the activity of the Company and its wholly-owned subsidiaries, the Bank and Church Street Capital. The statements do not include all of the information and footnotes required by GAAP for complete financials statements. All adjustments have been made which, in the opinion of management, are necessary for a fair presentation of the results for the interim periods presented. Such adjustments are all of a normal and recurring nature. All significant inter-company accounts and transactions have been eliminated in consolidation. Certain prior period amounts have been reclassified to conform to the current period presentation. The results of operations for the three and nine months ended September 30, 2021 are not necessarily indicative of the results that may be expected for the full year. These consolidated financial statements should be read in conjunction with the Company’s audited financial statements and the notes thereto as of December 31, 2020, included in the Company’s Annual Report on Form 10-K for the fiscal year ended December 31, 2020.</w:t>
      </w:r>
    </w:p>
    <w:p>
      <w:pPr>
        <w:spacing w:after="0" w:line="19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reports its activities as four business segments. In determining the appropriateness of segment definition, the Company considers components of the business about which financial information is available and regularly evaluated relative to resource allocation and performance assessment.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Risks and Uncertainties</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has been, and may continue to be, impacted by the coronavirus disease 2019 pandemic (“COVID-19”). In recent months, COVID-19 vaccination rates have been increasing and restrictive measures have been eased in certain areas. However, uncertainty remains about the duration of the pandemic and the timing and strength of the global economy’s recovery. To address the economic impact of the pandemic in the U.S., multiple stimulus packages have been enacted to provide economic relief to individuals and businesses, including the Coronavirus Aid, Relief and Economic Security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 w:name="page11"/>
    <w:bookmarkEnd w:id="10"/>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(“CARES Act”), which established the Small Business Administration Paycheck Protection Program (“SBA-PPP”) and the American Rescue Plan Act of 2021 which was enacted in March 2021.</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the pandemic evolves, the Company continues to evaluate processes in place to execute our business continuity plan and promote the health and safety of our employees.</w:t>
      </w:r>
    </w:p>
    <w:p>
      <w:pPr>
        <w:spacing w:after="0" w:line="20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Although the macroeconomic and public health outlooks improved in the U.S. during the third quarter of 2021, the future direct and indirect impact of the pandemic on the Company’s businesses, results of operations and financial condition remains uncertain. Should current economic conditions deteriorate or if the pandemic worsens, including as the result of the spread of the more easily communicable variants of COVID-19, the macroeconomic environment could have an adverse effect on our businesses,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Significant Accounting Policies:</w:t>
      </w:r>
    </w:p>
    <w:p>
      <w:pPr>
        <w:spacing w:after="0" w:line="23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historical experience and assumptions believed to be reasonable regarding the carrying value of certain assets and liabilities that are not readily available from other sources. Estimates are evaluated on an ongoing basis. Actual results may materially differ from these estimates under different assumptions or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financial institutions, interest bearing deposits with financial institutions and federal funds sold. Generally, federal funds are sold for one-day periods.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are charged to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Marketable Equity Securities</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Marketable equity securities are carried at fair value with realized gains and losses included in earnings. Premiums and discounts on investment securities are amortized or accreted using the interest method. Changes in the fair value of equity securities are also included in earnings as gain or loss on marketable equity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1" w:name="page12"/>
    <w:bookmarkEnd w:id="11"/>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sales are determined by the specific-identification method. The Company’s current practice is to sell residential mortgage loans on a servicing released basis, and, therefore, it has no servicing rights recorded for the value of such servicing. Interest on loans held for sale is credited to income based on the principal amounts outstanding.</w:t>
      </w:r>
    </w:p>
    <w:p>
      <w:pPr>
        <w:spacing w:after="0" w:line="206" w:lineRule="exact"/>
        <w:rPr>
          <w:sz w:val="20"/>
          <w:szCs w:val="20"/>
          <w:color w:val="auto"/>
        </w:rPr>
      </w:pPr>
    </w:p>
    <w:p>
      <w:pPr>
        <w:jc w:val="both"/>
        <w:ind w:firstLine="318"/>
        <w:spacing w:after="0" w:line="212"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21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elects to measure loans held for sale at fair value to better align reported results with the underlying economic changes in value of the loans on the Company’s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Small Business Administration Paycheck Protection Program</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SBA-PPP is one of the centerpieces of the CARES Act which was passed on March 27, 2020 in response to the outbreak of COVID-19 and was supplemented with subsequent legislation. Overseen by the United States (“U.S.”) Treasury Department, the SBA-PPP offered cash-flow assistance to nonprofit and small business employers through guaranteed loans. Borrowers are eligible for forgiveness of principal and accrued interest on SBA-PPP loans to the extent that the proceeds are used to cover eligible payroll costs, interest costs, rent, and utility costs over a period between eight and twenty four weeks after the loan is made as long as the borrower retains its employees and their compensation levels. The CARES Act authorized the SBA to fully guarantee these loans.</w:t>
      </w:r>
    </w:p>
    <w:p>
      <w:pPr>
        <w:spacing w:after="0" w:line="2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December 27, 2020, the Consolidated Appropriations Act, 2021 (“CAA”) was signed into law. The CAA provides several amendments to the SBA-PPP, including additional funding for the first and second draws of PPP loans up to March 13, 2021. On March 30, 2021, the PPP Extension Act of 2021 was signed into law, which extended the program to May 31, 2021.</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adjustment to yield using the effective interest method. SBA-PPP loans receivable as of September 30, 2021 totaled $141.4 million with $4.3 million of net unearned fees. SBA-PPP loans generated interest income of $1.5 million for the three months ended September 30, 2021 and $6.3 million for the nine months ended September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Loans and the Allowance for Loan Losses</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Loans are stated at the principal amount outstanding, adjusted for deferred origination fees and costs, discounts on loans acquired, and the allowance for loan losses. Interest is accrued based on the loan principal balances and stated interest rates. Origination fees and costs are recognized as an adjustment to the related loan yield using approximate interest methods. The Company discontinues the accrual of interest when any portion of the principal and/or interest is 90 days past due, or when it is probable that not all principal and interest payments will be collected, and collateral is insufficient to discharge the debt in full. Generally, interest payments on nonaccrual loans are recorded as a reduction of the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(“TDR”) status. If collection of principal is evaluated as doubtful, all payments are applied to principal. A modification of a loan is considered a TDR when a borrower is experiencing financial difficulty and the modification constitutes a concession; however, the CARES Act provides financial institutions optional temporary relief from TDR and impairment accounting for certain loan modifications related to the COVID-19 pandemic. Under Section 4013 of the CARES Act, banks may suspend (1) the requirement under GAAP for certain modifications that would otherwise be categorized as a TDR and (2) any determination that such loan modifications would be considered a TDR, including the related impairment for accounting purposes. To be eligible, each loan modification must be (1) related to the COVID-19 event; (2) executed on a loan that was not more than 30 days past due as of December 31, 2019; and (3) executed between March 1, 2020, and the earlier of (A) 60 days after the date of termination of the National Emergency or (B) December 31, 2020. The December 31, 2020 deadline was subsequently extended to January 1, 2022, by the CAA.</w:t>
      </w:r>
    </w:p>
    <w:p>
      <w:pPr>
        <w:spacing w:after="0" w:line="21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All other short-term modifications made on a good faith basis in response to COVID-19 to borrowers who were current prior to any relief, are not TDRs. This includes short-term modifications such as payment deferrals, fee waivers, extensions of repayment terms, or other delays in payment that are insignificant. Borrowers considered current are those that are less than 30 days past due on their contractual payments at the time a modification program is implemented.</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projected beyond reasonable time frames, client bankruptcy and lack of assets, and/or collateral deficiencies.</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with qualitative factors such as: trends in volume and terms of loans; levels of, and trends in, delinquencies and non-accruals; effects of any changes in lending policies, experience, ability and depth of management; national and local economic trends and conditions (with a specific evaluation of COVID-19 impact); commitments and concentrations of credit; changes in the quality of the Company’s loan review system; and the volume of loans with identified incomplete financial documentation. Actual loan performance may differ materially from those estimates. A loss is recognized as a charge to the allowance when management believes that collection of the loan is unlikely. Collections of loans previously charged off are added to the allowance at the time of recovery.</w:t>
      </w:r>
    </w:p>
    <w:p>
      <w:pPr>
        <w:spacing w:after="0" w:line="21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determines the allowance for loan losses based on the accumulation of various components that are calculated independently in accordance with Financial Accounting Standards Board (“FASB”) Accounting Standards Codification (“ASC”) 450 for pools of loans, and ASC 310 for TDRs and for individually evaluated loans. The process for determining an appropriate allowance for loan losses is based on a comprehensive and consistently applied analysis of the loan portfolio. The analysis considers all significant factors that affect the collectibility of the portfolio and supports the credit losses estimated by this process. It is important to recognize that the related process, methodology, and underlying assumptions require a substantial degree of judgment. Additional disclosure on the allowance for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3" w:name="page14"/>
    <w:bookmarkEnd w:id="13"/>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losses, qualitative factors, and the potential COVID-19 impact can be found in Part II, Item 1A - Risk Factors and </w:t>
      </w:r>
      <w:r>
        <w:rPr>
          <w:rFonts w:ascii="Arial" w:cs="Arial" w:eastAsia="Arial" w:hAnsi="Arial"/>
          <w:sz w:val="18"/>
          <w:szCs w:val="18"/>
          <w:i w:val="1"/>
          <w:iCs w:val="1"/>
          <w:color w:val="auto"/>
        </w:rPr>
        <w:t>Note 5 - Portfolio Loans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w:t>
      </w:r>
      <w:r>
        <w:rPr>
          <w:rFonts w:ascii="Arial" w:cs="Arial" w:eastAsia="Arial" w:hAnsi="Arial"/>
          <w:sz w:val="18"/>
          <w:szCs w:val="18"/>
          <w:color w:val="auto"/>
        </w:rPr>
        <w:t>.</w:t>
      </w:r>
    </w:p>
    <w:p>
      <w:pPr>
        <w:spacing w:after="0" w:line="18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allowance for loan losses for SBA-PPP loans were separately evaluated given the explicit government guarantee. This analysis, which incorporated historical experience with similar SBA guarantees and underwriting, concluded that the likelihood of loss was remote and therefore no allowance for loan losses was assigned to these loans.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w:t>
      </w:r>
    </w:p>
    <w:p>
      <w:pPr>
        <w:spacing w:after="0" w:line="21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Premises and equipment are stated at cost less accumulated depreciation and amortization over two to seven years. Depreciation and amortization are computed using the straight-line method over the estimated useful lives of the related property. Leasehold improvements are amortized over the estimated useful lives of the improvements, approximately ten years, or the term of the lease, whichever is less. Expenditures for maintenance, repairs, and minor replacements are charged to noninterest expenses as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1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Company accounts for leases according to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9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ASC 815-10,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as amended. The Company recognizes all derivatives as either assets or liabilities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measures those instruments at fair value. Changes in fair value of derivatives designated and accounted for as cash flow hedges, to the extent they are effective as hedges, are recorded in other comprehensive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of deferred taxes. Any hedge ineffectiveness would be recognized in the income statement line item pertaining to the hedged item.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17" w:lineRule="exact"/>
        <w:rPr>
          <w:sz w:val="20"/>
          <w:szCs w:val="20"/>
          <w:color w:val="auto"/>
        </w:rPr>
      </w:pPr>
    </w:p>
    <w:p>
      <w:pPr>
        <w:jc w:val="both"/>
        <w:ind w:right="40" w:firstLine="318"/>
        <w:spacing w:after="0" w:line="246"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spacing w:after="0" w:line="211" w:lineRule="exact"/>
        <w:rPr>
          <w:sz w:val="20"/>
          <w:szCs w:val="20"/>
          <w:color w:val="auto"/>
        </w:rPr>
      </w:pPr>
    </w:p>
    <w:p>
      <w:pPr>
        <w:jc w:val="both"/>
        <w:ind w:right="40" w:firstLine="318"/>
        <w:spacing w:after="0" w:line="247"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20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w:t>
      </w:r>
      <w:r>
        <w:rPr>
          <w:rFonts w:ascii="Arial" w:cs="Arial" w:eastAsia="Arial" w:hAnsi="Arial"/>
          <w:sz w:val="18"/>
          <w:szCs w:val="18"/>
          <w:i w:val="1"/>
          <w:iCs w:val="1"/>
          <w:color w:val="auto"/>
        </w:rPr>
        <w:t>Note 8 - Fair Value</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per share:</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September 30, 2020, there were 510,550 stock options excluded from the calculation as their effect would have been anti-dilutive, whereas at September 30, 2021 there were 147 such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Company's only component of other comprehensive income is unrealized gains and losses on investment securities available for sale, net of income taxes. Information concerning the Company's accumulated other comprehensive income as of September 30, 2021 and December 31, 2020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December 31, 2020</w:t>
            </w:r>
          </w:p>
        </w:tc>
      </w:tr>
      <w:tr>
        <w:trPr>
          <w:trHeight w:val="208"/>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gains on securities available for sale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w:t>
            </w:r>
          </w:p>
        </w:tc>
      </w:tr>
      <w:tr>
        <w:trPr>
          <w:trHeight w:val="212"/>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tax expense</w:t>
            </w: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r>
      <w:tr>
        <w:trPr>
          <w:trHeight w:val="230"/>
        </w:trPr>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accumulated comprehensive income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accounting pronouncements:</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June 2016, the FASB issued guidance to change the accounting for credit losses and modify the impairment model for certain debt securities. The FASB subsequently revised ASU 2019-10, which delayed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 reserve for credit losses. The Company is continuing to evaluate the extent of the potential impact and expects that portfolio composition and economic conditions at the time of adoption will be a factor.</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November 2019, the FASB issued guidance to defer the effective dates for private companies, not-for-profit organizations, and certain smaller reporting companies to apply standards on current expected loan losses (“CECL”). The new effective dates will be fiscal years beginning after December 15, 2022 including interim periods within those fiscal years. In addition, the FASB issued guidance that addresses issues raised by stakeholders during the implementation of ASU 2016-13, “Financial Instruments-loan losses (Topic 326): Measurement of Loan Losses on Financial Instruments.” The amendments affect a variety of Topics in the Accounting Standards Codification. For entities that have not yet adopted the amendments in ASU 2016-13, the amendments are effective for fiscal years beginning after December 15, 2022 including interim periods within those fiscal years. Early adoption is permitted in any interim period as long as an entity has adopted the amendments in ASU 2016-13. While the Company does not expect these amendments to have a material effect on its financial statements, the Company is continuing to evaluate the extent of the potential impact and expects that portfolio composition and economic conditions at the time of adoption will be a factor.</w:t>
      </w:r>
    </w:p>
    <w:p>
      <w:pPr>
        <w:spacing w:after="0" w:line="21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will apply the ASU through a cumulative-effect adjustment to beginning retained earnings in the year of adoption. While early adoption has been permitted since first quarter 2019, the Company does not expect to early adopt. In addition to the allowance for loan losses, the Company will also record an allowance for credit losses on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 April 2019, the FASB issued codification improvements to ASU Topic 326 - Financial Instruments - Credit Loss, Topic 815 - Derivatives and Hedging, and Subtopic 825-10 - Financial Instruments. This codification provides technical corrections and clarifies issues related to fair value hedges. The Company early adopted this guidance upon issuance, and it did not have a material impact on the Company’s consolidated financial statements.</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2019, the FASB issued guidance to simplify accounting for income taxes by removing specific technical exceptions that often produce information investors have a hard time understanding. The amendments also improve consistent application of and simplify GAAP for other areas of Topic 740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3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by clarifying and amending existing guidance. The amendments are effective for fiscal years beginning after December 15, 2020, including interim periods within those fiscal years. The Company adopted the guidance during the first quarter of 2021 and it did not have a material impact on the Company’s financial statements.</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new ASU provides temporary optional expedients and exceptions to GAAP guidance with regard to contract modifications and hedge accounting to ease the financial reporting burdens of the expected market transition from the London Interbank Offered Rate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the ability to elect its temporary optional expedients and exceptions are effective for the Company as of March 12, 2020 through December 31, 2022. The adoption of ASU 2020-04 Topic 848 is not expected to have a material impact on the Company’s financial statements.</w:t>
      </w:r>
    </w:p>
    <w:p>
      <w:pPr>
        <w:spacing w:after="0" w:line="21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March 2020, various regulatory agencies, including the Board of Governors of the Federal Reserve System and the Federal Deposit Insurance Corporation (“agencies”), issued an interagency statement on loan modifications and reporting for financial institutions working with customers affected by COVID-19. The interagency statement was effective immediately and impacted accounting for loan modifications. Under ASC 310-40, “Receivables - Troubled Debt Restructurings by Creditors,” a restructuring of debt constitutes a TDR if the creditor, for economic or legal reasons related to the debtor’s financial difficulties, grants a concession to the debtor that it would not otherwise consider. The agencies confirmed with the FASB that short-term modifications made on a good faith basis in response to COVID-19 to borrowers who were current prior to any relief, are not to be considered TDRs. Such modifications include short-term (e.g., six months) modifications that include payment deferrals of (i) principal and interest, (ii) interest only and (iii) principal only, fee waivers, extensions of repayment terms, or other delays in payment that are deemed insignificant. Borrowers considered current are those that are less than 30 days past due on their contractual payments at the time a modification program is implemented. As of September 30, 2021, the Company has offered payment deferrals for commercial and consumer customers for up to six months. The loan modifications offered to borrowers provided the borrower with payment relief in the form of reduced or deferred payments for up to 90 days (six months in selected instances) during which time interest is continuing to accrue. It is not expected that this interagency guidance will have a material impact on the Company’s financial statements; however, this impact cannot be quantified at this time.</w:t>
      </w:r>
    </w:p>
    <w:p>
      <w:pPr>
        <w:spacing w:after="0" w:line="21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23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Certain reclassifications have been made to amounts reported in prior periods to conform to the current period presentation. The reclassifications had no material effect on net income or total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17" w:name="page18"/>
    <w:bookmarkEnd w:id="17"/>
    <w:p>
      <w:pPr>
        <w:ind w:left="5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-180340</wp:posOffset>
            </wp:positionV>
            <wp:extent cx="65373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39"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through the date the financial statements were available to be issued and no subsequent events occurred requiring accrual or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Cash and cash equivalents include cash and amounts due from banks, interest bearing deposits and federal funds sold. The Bank is required by regulations to maintain an average cash reserve balance based on a percentage of deposits. At September 30, 2021 and December 31, 2020, the requirements were satisfied by amounts on deposit with the Federal Reserve Bank and cash on hand.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39"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amortized cost and estimated fair value of investment securities at September 30, 2021 and December 31, 2020 are summarized as follows: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Investment Securities Available for Sale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1"/>
          <w:szCs w:val="11"/>
          <w:color w:val="auto"/>
        </w:rPr>
        <w:t>(in thousands)</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2021</w:t>
            </w:r>
          </w:p>
        </w:tc>
        <w:tc>
          <w:tcPr>
            <w:tcW w:w="5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89"/>
              <w:spacing w:after="0" w:line="159"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ind w:left="140"/>
              <w:spacing w:after="0" w:line="15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69"/>
              <w:spacing w:after="0" w:line="15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09"/>
              <w:spacing w:after="0" w:line="15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358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2"/>
          </w:tcPr>
          <w:p>
            <w:pPr>
              <w:ind w:left="180"/>
              <w:spacing w:after="0" w:line="146" w:lineRule="exact"/>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2"/>
                <w:szCs w:val="12"/>
                <w:color w:val="auto"/>
              </w:rPr>
            </w:pPr>
          </w:p>
        </w:tc>
        <w:tc>
          <w:tcPr>
            <w:tcW w:w="130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2"/>
                <w:szCs w:val="12"/>
                <w:color w:val="auto"/>
              </w:rPr>
            </w:pPr>
          </w:p>
        </w:tc>
        <w:tc>
          <w:tcPr>
            <w:tcW w:w="1320" w:type="dxa"/>
            <w:vAlign w:val="bottom"/>
            <w:gridSpan w:val="2"/>
          </w:tcPr>
          <w:p>
            <w:pPr>
              <w:ind w:left="100"/>
              <w:spacing w:after="0" w:line="146" w:lineRule="exact"/>
              <w:rPr>
                <w:sz w:val="20"/>
                <w:szCs w:val="20"/>
                <w:color w:val="auto"/>
              </w:rPr>
            </w:pPr>
            <w:r>
              <w:rPr>
                <w:rFonts w:ascii="Arial" w:cs="Arial" w:eastAsia="Arial" w:hAnsi="Arial"/>
                <w:sz w:val="14"/>
                <w:szCs w:val="14"/>
                <w:b w:val="1"/>
                <w:bCs w:val="1"/>
                <w:color w:val="auto"/>
              </w:rPr>
              <w:t>Losses</w:t>
            </w:r>
          </w:p>
        </w:tc>
        <w:tc>
          <w:tcPr>
            <w:tcW w:w="560" w:type="dxa"/>
            <w:vAlign w:val="bottom"/>
          </w:tcPr>
          <w:p>
            <w:pPr>
              <w:spacing w:after="0"/>
              <w:rPr>
                <w:sz w:val="12"/>
                <w:szCs w:val="12"/>
                <w:color w:val="auto"/>
              </w:rPr>
            </w:pPr>
          </w:p>
        </w:tc>
        <w:tc>
          <w:tcPr>
            <w:tcW w:w="980" w:type="dxa"/>
            <w:vAlign w:val="bottom"/>
          </w:tcPr>
          <w:p>
            <w:pPr>
              <w:jc w:val="right"/>
              <w:ind w:right="409"/>
              <w:spacing w:after="0" w:line="146"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shd w:val="clear" w:color="auto" w:fill="CCEEFF"/>
          </w:tcPr>
          <w:p>
            <w:pPr>
              <w:spacing w:after="0"/>
              <w:rPr>
                <w:sz w:val="13"/>
                <w:szCs w:val="13"/>
                <w:color w:val="auto"/>
              </w:rPr>
            </w:pPr>
          </w:p>
        </w:tc>
        <w:tc>
          <w:tcPr>
            <w:tcW w:w="358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b w:val="1"/>
                <w:bCs w:val="1"/>
                <w:i w:val="1"/>
                <w:iCs w:val="1"/>
                <w:color w:val="auto"/>
              </w:rPr>
              <w:t>Available for sale</w:t>
            </w:r>
          </w:p>
        </w:tc>
        <w:tc>
          <w:tcPr>
            <w:tcW w:w="5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580" w:type="dxa"/>
            <w:vAlign w:val="bottom"/>
            <w:gridSpan w:val="3"/>
          </w:tcPr>
          <w:p>
            <w:pPr>
              <w:ind w:left="120"/>
              <w:spacing w:after="0"/>
              <w:rPr>
                <w:sz w:val="20"/>
                <w:szCs w:val="20"/>
                <w:color w:val="auto"/>
              </w:rPr>
            </w:pPr>
            <w:r>
              <w:rPr>
                <w:rFonts w:ascii="Arial" w:cs="Arial" w:eastAsia="Arial" w:hAnsi="Arial"/>
                <w:sz w:val="14"/>
                <w:szCs w:val="14"/>
                <w:color w:val="auto"/>
              </w:rPr>
              <w:t>U.S. Treasuries</w:t>
            </w:r>
          </w:p>
        </w:tc>
        <w:tc>
          <w:tcPr>
            <w:tcW w:w="56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132,570</w:t>
            </w:r>
          </w:p>
        </w:tc>
        <w:tc>
          <w:tcPr>
            <w:tcW w:w="12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651</w:t>
            </w:r>
          </w:p>
        </w:tc>
        <w:tc>
          <w:tcPr>
            <w:tcW w:w="1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(191)</w:t>
            </w:r>
          </w:p>
        </w:tc>
        <w:tc>
          <w:tcPr>
            <w:tcW w:w="12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133,0</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10,828</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58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5,000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10,260</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29,236</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797</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w:t>
            </w:r>
          </w:p>
        </w:tc>
        <w:tc>
          <w:tcPr>
            <w:tcW w:w="0" w:type="dxa"/>
            <w:vAlign w:val="bottom"/>
          </w:tcPr>
          <w:p>
            <w:pPr>
              <w:spacing w:after="0"/>
              <w:rPr>
                <w:sz w:val="1"/>
                <w:szCs w:val="1"/>
                <w:color w:val="auto"/>
              </w:rPr>
            </w:pPr>
          </w:p>
        </w:tc>
      </w:tr>
      <w:tr>
        <w:trPr>
          <w:trHeight w:val="204"/>
        </w:trPr>
        <w:tc>
          <w:tcPr>
            <w:tcW w:w="34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187,894</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189,1</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2300" w:type="dxa"/>
            <w:vAlign w:val="bottom"/>
            <w:tcBorders>
              <w:bottom w:val="single" w:sz="8" w:color="CCEEFF"/>
            </w:tcBorders>
            <w:gridSpan w:val="2"/>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5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Available for sale</w:t>
            </w: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58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5,759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10,839</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6"/>
        </w:trPr>
        <w:tc>
          <w:tcPr>
            <w:tcW w:w="34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70,016</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04"/>
        </w:trPr>
        <w:tc>
          <w:tcPr>
            <w:tcW w:w="340" w:type="dxa"/>
            <w:vAlign w:val="bottom"/>
            <w:tcBorders>
              <w:bottom w:val="single" w:sz="8" w:color="CCEEFF"/>
            </w:tcBorders>
            <w:shd w:val="clear" w:color="auto" w:fill="CCEEFF"/>
          </w:tcPr>
          <w:p>
            <w:pPr>
              <w:spacing w:after="0"/>
              <w:rPr>
                <w:sz w:val="17"/>
                <w:szCs w:val="17"/>
                <w:color w:val="auto"/>
              </w:rPr>
            </w:pPr>
          </w:p>
        </w:tc>
        <w:tc>
          <w:tcPr>
            <w:tcW w:w="35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97,450</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There were 28 securities sold during the nine months ended September 30, 2021. Proceeds from sales of securities sold during the nine months ended September 30, 2021 were $66.5 million. The investment sales resulted in gross realized gains of $694 thousand and gross realized losses of $541 thousand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5" w:right="239" w:bottom="1440" w:gutter="0" w:footer="0" w:header="0"/>
        </w:sectPr>
      </w:pPr>
    </w:p>
    <w:bookmarkStart w:id="18" w:name="page19"/>
    <w:bookmarkEnd w:id="18"/>
    <w:p>
      <w:pPr>
        <w:ind w:left="60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-173990</wp:posOffset>
            </wp:positionV>
            <wp:extent cx="653732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6350</wp:posOffset>
            </wp:positionV>
            <wp:extent cx="65373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00" w:right="100" w:firstLine="318"/>
        <w:spacing w:after="0" w:line="251" w:lineRule="auto"/>
        <w:rPr>
          <w:sz w:val="20"/>
          <w:szCs w:val="20"/>
          <w:color w:val="auto"/>
        </w:rPr>
      </w:pPr>
      <w:r>
        <w:rPr>
          <w:rFonts w:ascii="Arial" w:cs="Arial" w:eastAsia="Arial" w:hAnsi="Arial"/>
          <w:sz w:val="18"/>
          <w:szCs w:val="18"/>
          <w:color w:val="auto"/>
        </w:rPr>
        <w:t>Information related to unrealized losses in the investment portfolio as of September 30, 2021 and December 31, 2020 is summarized as follows:</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33"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22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460" w:type="dxa"/>
            <w:vAlign w:val="bottom"/>
          </w:tcPr>
          <w:p>
            <w:pPr>
              <w:spacing w:after="0"/>
              <w:rPr>
                <w:sz w:val="16"/>
                <w:szCs w:val="16"/>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Less than 12 months</w:t>
            </w:r>
          </w:p>
        </w:tc>
        <w:tc>
          <w:tcPr>
            <w:tcW w:w="420" w:type="dxa"/>
            <w:vAlign w:val="bottom"/>
          </w:tcPr>
          <w:p>
            <w:pPr>
              <w:spacing w:after="0"/>
              <w:rPr>
                <w:sz w:val="16"/>
                <w:szCs w:val="16"/>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12 months or longer</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Total</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2021</w:t>
            </w:r>
          </w:p>
        </w:tc>
        <w:tc>
          <w:tcPr>
            <w:tcW w:w="4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40"/>
              <w:spacing w:after="0" w:line="139" w:lineRule="exact"/>
              <w:rPr>
                <w:sz w:val="20"/>
                <w:szCs w:val="20"/>
                <w:color w:val="auto"/>
              </w:rPr>
            </w:pPr>
            <w:r>
              <w:rPr>
                <w:rFonts w:ascii="Arial" w:cs="Arial" w:eastAsia="Arial" w:hAnsi="Arial"/>
                <w:sz w:val="14"/>
                <w:szCs w:val="14"/>
                <w:b w:val="1"/>
                <w:bCs w:val="1"/>
                <w:color w:val="auto"/>
              </w:rPr>
              <w:t>Fair</w:t>
            </w:r>
          </w:p>
        </w:tc>
        <w:tc>
          <w:tcPr>
            <w:tcW w:w="4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89"/>
              <w:spacing w:after="0" w:line="13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20"/>
              <w:spacing w:after="0" w:line="139" w:lineRule="exact"/>
              <w:rPr>
                <w:sz w:val="20"/>
                <w:szCs w:val="20"/>
                <w:color w:val="auto"/>
              </w:rPr>
            </w:pPr>
            <w:r>
              <w:rPr>
                <w:rFonts w:ascii="Arial" w:cs="Arial" w:eastAsia="Arial" w:hAnsi="Arial"/>
                <w:sz w:val="14"/>
                <w:szCs w:val="14"/>
                <w:b w:val="1"/>
                <w:bCs w:val="1"/>
                <w:color w:val="auto"/>
              </w:rPr>
              <w:t>Fair</w:t>
            </w:r>
          </w:p>
        </w:tc>
        <w:tc>
          <w:tcPr>
            <w:tcW w:w="4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80"/>
              <w:spacing w:after="0" w:line="13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09"/>
              <w:spacing w:after="0" w:line="139" w:lineRule="exact"/>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2"/>
                <w:szCs w:val="12"/>
                <w:color w:val="auto"/>
              </w:rPr>
            </w:pPr>
          </w:p>
        </w:tc>
        <w:tc>
          <w:tcPr>
            <w:tcW w:w="104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Losses</w:t>
            </w:r>
          </w:p>
        </w:tc>
        <w:tc>
          <w:tcPr>
            <w:tcW w:w="420" w:type="dxa"/>
            <w:vAlign w:val="bottom"/>
          </w:tcPr>
          <w:p>
            <w:pPr>
              <w:spacing w:after="0"/>
              <w:rPr>
                <w:sz w:val="12"/>
                <w:szCs w:val="12"/>
                <w:color w:val="auto"/>
              </w:rPr>
            </w:pPr>
          </w:p>
        </w:tc>
        <w:tc>
          <w:tcPr>
            <w:tcW w:w="92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2"/>
                <w:szCs w:val="12"/>
                <w:color w:val="auto"/>
              </w:rPr>
            </w:pPr>
          </w:p>
        </w:tc>
        <w:tc>
          <w:tcPr>
            <w:tcW w:w="114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Losses</w:t>
            </w:r>
          </w:p>
        </w:tc>
        <w:tc>
          <w:tcPr>
            <w:tcW w:w="440" w:type="dxa"/>
            <w:vAlign w:val="bottom"/>
          </w:tcPr>
          <w:p>
            <w:pPr>
              <w:spacing w:after="0"/>
              <w:rPr>
                <w:sz w:val="12"/>
                <w:szCs w:val="12"/>
                <w:color w:val="auto"/>
              </w:rPr>
            </w:pPr>
          </w:p>
        </w:tc>
        <w:tc>
          <w:tcPr>
            <w:tcW w:w="880" w:type="dxa"/>
            <w:vAlign w:val="bottom"/>
          </w:tcPr>
          <w:p>
            <w:pPr>
              <w:jc w:val="right"/>
              <w:ind w:right="409"/>
              <w:spacing w:after="0" w:line="146"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ind w:right="189"/>
              <w:spacing w:after="0" w:line="146" w:lineRule="exact"/>
              <w:rPr>
                <w:sz w:val="20"/>
                <w:szCs w:val="20"/>
                <w:color w:val="auto"/>
              </w:rPr>
            </w:pPr>
            <w:r>
              <w:rPr>
                <w:rFonts w:ascii="Arial" w:cs="Arial" w:eastAsia="Arial" w:hAnsi="Arial"/>
                <w:sz w:val="14"/>
                <w:szCs w:val="14"/>
                <w:b w:val="1"/>
                <w:bCs w:val="1"/>
                <w:color w:val="auto"/>
                <w:w w:val="95"/>
              </w:rPr>
              <w:t>Losses</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580" w:type="dxa"/>
            <w:vAlign w:val="bottom"/>
            <w:gridSpan w:val="4"/>
          </w:tcPr>
          <w:p>
            <w:pPr>
              <w:ind w:left="20"/>
              <w:spacing w:after="0"/>
              <w:rPr>
                <w:sz w:val="20"/>
                <w:szCs w:val="20"/>
                <w:color w:val="auto"/>
              </w:rPr>
            </w:pPr>
            <w:r>
              <w:rPr>
                <w:rFonts w:ascii="Arial" w:cs="Arial" w:eastAsia="Arial" w:hAnsi="Arial"/>
                <w:sz w:val="14"/>
                <w:szCs w:val="14"/>
                <w:color w:val="auto"/>
              </w:rPr>
              <w:t>U.S. Treasuries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58,461</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(191)</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669"/>
              <w:spacing w:after="0"/>
              <w:rPr>
                <w:sz w:val="20"/>
                <w:szCs w:val="20"/>
                <w:color w:val="auto"/>
              </w:rPr>
            </w:pPr>
            <w:r>
              <w:rPr>
                <w:rFonts w:ascii="Arial" w:cs="Arial" w:eastAsia="Arial" w:hAnsi="Arial"/>
                <w:sz w:val="14"/>
                <w:szCs w:val="14"/>
                <w:b w:val="1"/>
                <w:bCs w:val="1"/>
                <w:color w:val="auto"/>
                <w:w w:val="99"/>
              </w:rPr>
              <w: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58,461</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Municipal</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3,148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569"/>
              <w:spacing w:after="0"/>
              <w:rPr>
                <w:sz w:val="20"/>
                <w:szCs w:val="20"/>
                <w:color w:val="auto"/>
              </w:rPr>
            </w:pPr>
            <w:r>
              <w:rPr>
                <w:rFonts w:ascii="Arial" w:cs="Arial" w:eastAsia="Arial" w:hAnsi="Arial"/>
                <w:sz w:val="14"/>
                <w:szCs w:val="14"/>
                <w:b w:val="1"/>
                <w:bCs w:val="1"/>
                <w:color w:val="auto"/>
                <w:w w:val="99"/>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3,148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4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1,988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140" w:type="dxa"/>
            <w:vAlign w:val="bottom"/>
            <w:gridSpan w:val="2"/>
          </w:tcPr>
          <w:p>
            <w:pPr>
              <w:jc w:val="center"/>
              <w:ind w:left="569"/>
              <w:spacing w:after="0"/>
              <w:rPr>
                <w:sz w:val="20"/>
                <w:szCs w:val="20"/>
                <w:color w:val="auto"/>
              </w:rPr>
            </w:pPr>
            <w:r>
              <w:rPr>
                <w:rFonts w:ascii="Arial" w:cs="Arial" w:eastAsia="Arial" w:hAnsi="Arial"/>
                <w:sz w:val="14"/>
                <w:szCs w:val="14"/>
                <w:b w:val="1"/>
                <w:bCs w:val="1"/>
                <w:color w:val="auto"/>
                <w:w w:val="99"/>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1,988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3,396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left="569"/>
              <w:spacing w:after="0"/>
              <w:rPr>
                <w:sz w:val="20"/>
                <w:szCs w:val="20"/>
                <w:color w:val="auto"/>
              </w:rPr>
            </w:pPr>
            <w:r>
              <w:rPr>
                <w:rFonts w:ascii="Arial" w:cs="Arial" w:eastAsia="Arial" w:hAnsi="Arial"/>
                <w:sz w:val="14"/>
                <w:szCs w:val="14"/>
                <w:b w:val="1"/>
                <w:bCs w:val="1"/>
                <w:color w:val="auto"/>
                <w:w w:val="99"/>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3,396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80" w:type="dxa"/>
            <w:vAlign w:val="bottom"/>
            <w:gridSpan w:val="4"/>
          </w:tcPr>
          <w:p>
            <w:pPr>
              <w:ind w:left="20"/>
              <w:spacing w:after="0"/>
              <w:rPr>
                <w:sz w:val="20"/>
                <w:szCs w:val="20"/>
                <w:color w:val="auto"/>
              </w:rPr>
            </w:pPr>
            <w:r>
              <w:rPr>
                <w:rFonts w:ascii="Arial" w:cs="Arial" w:eastAsia="Arial" w:hAnsi="Arial"/>
                <w:sz w:val="14"/>
                <w:szCs w:val="14"/>
                <w:color w:val="auto"/>
              </w:rPr>
              <w:t>Mortgage-backed securities</w:t>
            </w:r>
          </w:p>
        </w:tc>
        <w:tc>
          <w:tcPr>
            <w:tcW w:w="4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13,073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140" w:type="dxa"/>
            <w:vAlign w:val="bottom"/>
            <w:gridSpan w:val="2"/>
          </w:tcPr>
          <w:p>
            <w:pPr>
              <w:jc w:val="center"/>
              <w:ind w:left="569"/>
              <w:spacing w:after="0"/>
              <w:rPr>
                <w:sz w:val="20"/>
                <w:szCs w:val="20"/>
                <w:color w:val="auto"/>
              </w:rPr>
            </w:pPr>
            <w:r>
              <w:rPr>
                <w:rFonts w:ascii="Arial" w:cs="Arial" w:eastAsia="Arial" w:hAnsi="Arial"/>
                <w:sz w:val="14"/>
                <w:szCs w:val="14"/>
                <w:b w:val="1"/>
                <w:bCs w:val="1"/>
                <w:color w:val="auto"/>
                <w:w w:val="99"/>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13,073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4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80,066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center"/>
              <w:ind w:left="669"/>
              <w:spacing w:after="0"/>
              <w:rPr>
                <w:sz w:val="20"/>
                <w:szCs w:val="20"/>
                <w:color w:val="auto"/>
              </w:rPr>
            </w:pPr>
            <w:r>
              <w:rPr>
                <w:rFonts w:ascii="Arial" w:cs="Arial" w:eastAsia="Arial" w:hAnsi="Arial"/>
                <w:sz w:val="14"/>
                <w:szCs w:val="14"/>
                <w:b w:val="1"/>
                <w:bCs w:val="1"/>
                <w:color w:val="auto"/>
                <w:w w:val="99"/>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80,066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960" w:type="dxa"/>
            <w:vAlign w:val="bottom"/>
            <w:tcBorders>
              <w:bottom w:val="single" w:sz="8" w:color="CCEEFF"/>
            </w:tcBorders>
            <w:gridSpan w:val="2"/>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Municipal</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3,151</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569"/>
              <w:spacing w:after="0"/>
              <w:rPr>
                <w:sz w:val="20"/>
                <w:szCs w:val="20"/>
                <w:color w:val="auto"/>
              </w:rPr>
            </w:pPr>
            <w:r>
              <w:rPr>
                <w:rFonts w:ascii="Arial" w:cs="Arial" w:eastAsia="Arial" w:hAnsi="Arial"/>
                <w:sz w:val="14"/>
                <w:szCs w:val="14"/>
                <w:color w:val="auto"/>
                <w:w w:val="99"/>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3,151</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1,994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left="649"/>
              <w:spacing w:after="0"/>
              <w:rPr>
                <w:sz w:val="20"/>
                <w:szCs w:val="20"/>
                <w:color w:val="auto"/>
              </w:rPr>
            </w:pPr>
            <w:r>
              <w:rPr>
                <w:rFonts w:ascii="Arial" w:cs="Arial" w:eastAsia="Arial" w:hAnsi="Arial"/>
                <w:sz w:val="14"/>
                <w:szCs w:val="14"/>
                <w:color w:val="auto"/>
                <w:w w:val="96"/>
              </w:rPr>
              <w:t>(16)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25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Mortgage-backed securities</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2,410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669"/>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rPr>
                <w:sz w:val="17"/>
                <w:szCs w:val="17"/>
                <w:color w:val="auto"/>
              </w:rPr>
            </w:pPr>
          </w:p>
        </w:tc>
        <w:tc>
          <w:tcPr>
            <w:tcW w:w="22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7,555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center"/>
              <w:ind w:left="649"/>
              <w:spacing w:after="0"/>
              <w:rPr>
                <w:sz w:val="20"/>
                <w:szCs w:val="20"/>
                <w:color w:val="auto"/>
              </w:rPr>
            </w:pPr>
            <w:r>
              <w:rPr>
                <w:rFonts w:ascii="Arial" w:cs="Arial" w:eastAsia="Arial" w:hAnsi="Arial"/>
                <w:sz w:val="14"/>
                <w:szCs w:val="14"/>
                <w:color w:val="auto"/>
                <w:w w:val="96"/>
              </w:rPr>
              <w:t>(16)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left="100" w:right="100" w:firstLine="318"/>
        <w:spacing w:after="0" w:line="247" w:lineRule="auto"/>
        <w:rPr>
          <w:sz w:val="20"/>
          <w:szCs w:val="20"/>
          <w:color w:val="auto"/>
        </w:rPr>
      </w:pPr>
      <w:r>
        <w:rPr>
          <w:rFonts w:ascii="Arial" w:cs="Arial" w:eastAsia="Arial" w:hAnsi="Arial"/>
          <w:sz w:val="18"/>
          <w:szCs w:val="18"/>
          <w:color w:val="auto"/>
        </w:rPr>
        <w:t>At September 30, 2021, there were no securities and at December 31, 2020 there was one security that had been in an unrealized loss position for greater than twelve months. Management believes that the unrealized loss at September 30, 2021 resulted from changes in interest rates and current market conditions and not as a result of credit deterioration. Management has the ability and the intent to hold these investment securities until maturity or until they recover in value.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pledged securities at September 30, 2021 and December 31, 2020 is shown below:</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Pledged Securities</w:t>
      </w:r>
    </w:p>
    <w:p>
      <w:pPr>
        <w:spacing w:after="0" w:line="33"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b w:val="1"/>
                <w:bCs w:val="1"/>
                <w:color w:val="auto"/>
              </w:rPr>
              <w:t>September 30, 2021</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89"/>
              <w:spacing w:after="0"/>
              <w:rPr>
                <w:sz w:val="20"/>
                <w:szCs w:val="20"/>
                <w:color w:val="auto"/>
              </w:rPr>
            </w:pPr>
            <w:r>
              <w:rPr>
                <w:rFonts w:ascii="Arial" w:cs="Arial" w:eastAsia="Arial" w:hAnsi="Arial"/>
                <w:sz w:val="14"/>
                <w:szCs w:val="14"/>
                <w:b w:val="1"/>
                <w:bCs w:val="1"/>
                <w:color w:val="auto"/>
              </w:rPr>
              <w:t>December 31, 2020</w:t>
            </w:r>
          </w:p>
        </w:tc>
      </w:tr>
      <w:tr>
        <w:trPr>
          <w:trHeight w:val="139"/>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left="169"/>
              <w:spacing w:after="0" w:line="139"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left="249"/>
              <w:spacing w:after="0" w:line="139"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9"/>
              </w:rPr>
              <w:t>Amortized</w:t>
            </w:r>
          </w:p>
        </w:tc>
        <w:tc>
          <w:tcPr>
            <w:tcW w:w="260" w:type="dxa"/>
            <w:vAlign w:val="bottom"/>
          </w:tcPr>
          <w:p>
            <w:pPr>
              <w:spacing w:after="0"/>
              <w:rPr>
                <w:sz w:val="12"/>
                <w:szCs w:val="12"/>
                <w:color w:val="auto"/>
              </w:rPr>
            </w:pPr>
          </w:p>
        </w:tc>
        <w:tc>
          <w:tcPr>
            <w:tcW w:w="960" w:type="dxa"/>
            <w:vAlign w:val="bottom"/>
          </w:tcPr>
          <w:p>
            <w:pPr>
              <w:jc w:val="center"/>
              <w:ind w:right="189"/>
              <w:spacing w:after="0" w:line="139" w:lineRule="exact"/>
              <w:rPr>
                <w:sz w:val="20"/>
                <w:szCs w:val="20"/>
                <w:color w:val="auto"/>
              </w:rPr>
            </w:pPr>
            <w:r>
              <w:rPr>
                <w:rFonts w:ascii="Arial" w:cs="Arial" w:eastAsia="Arial" w:hAnsi="Arial"/>
                <w:sz w:val="14"/>
                <w:szCs w:val="14"/>
                <w:b w:val="1"/>
                <w:bCs w:val="1"/>
                <w:color w:val="auto"/>
              </w:rPr>
              <w:t>Fair</w:t>
            </w:r>
          </w:p>
        </w:tc>
      </w:tr>
      <w:tr>
        <w:trPr>
          <w:trHeight w:val="172"/>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w w:val="96"/>
              </w:rPr>
              <w:t>Cost</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rPr>
              <w:t>Value</w:t>
            </w:r>
          </w:p>
        </w:tc>
      </w:tr>
      <w:tr>
        <w:trPr>
          <w:trHeight w:val="179"/>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Federal Home Loan Bank</w:t>
            </w:r>
          </w:p>
        </w:tc>
        <w:tc>
          <w:tcPr>
            <w:tcW w:w="980" w:type="dxa"/>
            <w:vAlign w:val="bottom"/>
            <w:shd w:val="clear" w:color="auto" w:fill="CCEEFF"/>
          </w:tcPr>
          <w:p>
            <w:pPr>
              <w:jc w:val="right"/>
              <w:ind w:right="809"/>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29"/>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1,189</w:t>
            </w:r>
          </w:p>
        </w:tc>
      </w:tr>
    </w:tbl>
    <w:p>
      <w:pPr>
        <w:spacing w:after="0" w:line="291" w:lineRule="exact"/>
        <w:rPr>
          <w:sz w:val="20"/>
          <w:szCs w:val="20"/>
          <w:color w:val="auto"/>
        </w:rPr>
      </w:pPr>
    </w:p>
    <w:p>
      <w:pPr>
        <w:jc w:val="both"/>
        <w:ind w:left="100" w:right="100" w:firstLine="318"/>
        <w:spacing w:after="0" w:line="248" w:lineRule="auto"/>
        <w:rPr>
          <w:sz w:val="20"/>
          <w:szCs w:val="20"/>
          <w:color w:val="auto"/>
        </w:rPr>
      </w:pPr>
      <w:r>
        <w:rPr>
          <w:rFonts w:ascii="Arial" w:cs="Arial" w:eastAsia="Arial" w:hAnsi="Arial"/>
          <w:sz w:val="18"/>
          <w:szCs w:val="18"/>
          <w:color w:val="auto"/>
        </w:rPr>
        <w:t>Contractual maturities of investment securities at September 30, 2021 and December 31, 2020 are shown below. Actual maturities may differ from contractual maturities because borrowers may have the right to call or prepay obligations with or without call premiums or prepayment penalties.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ntractual Maturities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4"/>
          </w:tcPr>
          <w:p>
            <w:pPr>
              <w:ind w:left="440"/>
              <w:spacing w:after="0"/>
              <w:rPr>
                <w:sz w:val="20"/>
                <w:szCs w:val="20"/>
                <w:color w:val="auto"/>
              </w:rPr>
            </w:pPr>
            <w:r>
              <w:rPr>
                <w:rFonts w:ascii="Arial" w:cs="Arial" w:eastAsia="Arial" w:hAnsi="Arial"/>
                <w:sz w:val="14"/>
                <w:szCs w:val="14"/>
                <w:b w:val="1"/>
                <w:bCs w:val="1"/>
                <w:color w:val="auto"/>
              </w:rPr>
              <w:t>September 30, 2021</w:t>
            </w:r>
          </w:p>
        </w:tc>
        <w:tc>
          <w:tcPr>
            <w:tcW w:w="2500" w:type="dxa"/>
            <w:vAlign w:val="bottom"/>
            <w:gridSpan w:val="3"/>
          </w:tcPr>
          <w:p>
            <w:pPr>
              <w:ind w:left="4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top w:val="single" w:sz="8" w:color="auto"/>
            </w:tcBorders>
            <w:gridSpan w:val="2"/>
          </w:tcPr>
          <w:p>
            <w:pPr>
              <w:ind w:left="100"/>
              <w:spacing w:after="0" w:line="139" w:lineRule="exact"/>
              <w:rPr>
                <w:sz w:val="20"/>
                <w:szCs w:val="20"/>
                <w:color w:val="auto"/>
              </w:rPr>
            </w:pPr>
            <w:r>
              <w:rPr>
                <w:rFonts w:ascii="Arial" w:cs="Arial" w:eastAsia="Arial" w:hAnsi="Arial"/>
                <w:sz w:val="14"/>
                <w:szCs w:val="14"/>
                <w:b w:val="1"/>
                <w:bCs w:val="1"/>
                <w:color w:val="auto"/>
              </w:rPr>
              <w:t>Amortized</w:t>
            </w:r>
          </w:p>
        </w:tc>
        <w:tc>
          <w:tcPr>
            <w:tcW w:w="1200" w:type="dxa"/>
            <w:vAlign w:val="bottom"/>
            <w:tcBorders>
              <w:top w:val="single" w:sz="8" w:color="auto"/>
            </w:tcBorders>
          </w:tcPr>
          <w:p>
            <w:pPr>
              <w:jc w:val="right"/>
              <w:ind w:right="549"/>
              <w:spacing w:after="0" w:line="13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300" w:type="dxa"/>
            <w:vAlign w:val="bottom"/>
            <w:tcBorders>
              <w:top w:val="single" w:sz="8" w:color="auto"/>
            </w:tcBorders>
            <w:gridSpan w:val="2"/>
          </w:tcPr>
          <w:p>
            <w:pPr>
              <w:ind w:left="100"/>
              <w:spacing w:after="0" w:line="139" w:lineRule="exact"/>
              <w:rPr>
                <w:sz w:val="20"/>
                <w:szCs w:val="20"/>
                <w:color w:val="auto"/>
              </w:rPr>
            </w:pPr>
            <w:r>
              <w:rPr>
                <w:rFonts w:ascii="Arial" w:cs="Arial" w:eastAsia="Arial" w:hAnsi="Arial"/>
                <w:sz w:val="14"/>
                <w:szCs w:val="14"/>
                <w:b w:val="1"/>
                <w:bCs w:val="1"/>
                <w:color w:val="auto"/>
              </w:rPr>
              <w:t>Amortized</w:t>
            </w:r>
          </w:p>
        </w:tc>
        <w:tc>
          <w:tcPr>
            <w:tcW w:w="1200" w:type="dxa"/>
            <w:vAlign w:val="bottom"/>
            <w:tcBorders>
              <w:top w:val="single" w:sz="8" w:color="auto"/>
            </w:tcBorders>
          </w:tcPr>
          <w:p>
            <w:pPr>
              <w:jc w:val="right"/>
              <w:ind w:right="549"/>
              <w:spacing w:after="0" w:line="13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2"/>
        </w:trPr>
        <w:tc>
          <w:tcPr>
            <w:tcW w:w="3640" w:type="dxa"/>
            <w:vAlign w:val="bottom"/>
            <w:gridSpan w:val="2"/>
          </w:tcPr>
          <w:p>
            <w:pPr>
              <w:spacing w:after="0"/>
              <w:rPr>
                <w:sz w:val="20"/>
                <w:szCs w:val="20"/>
                <w:color w:val="auto"/>
              </w:rPr>
            </w:pPr>
            <w:r>
              <w:rPr>
                <w:rFonts w:ascii="Arial" w:cs="Arial" w:eastAsia="Arial" w:hAnsi="Arial"/>
                <w:sz w:val="11"/>
                <w:szCs w:val="11"/>
                <w:color w:val="auto"/>
              </w:rPr>
              <w:t>housands)</w:t>
            </w: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40"/>
              <w:spacing w:after="0"/>
              <w:rPr>
                <w:sz w:val="20"/>
                <w:szCs w:val="20"/>
                <w:color w:val="auto"/>
              </w:rPr>
            </w:pPr>
            <w:r>
              <w:rPr>
                <w:rFonts w:ascii="Arial" w:cs="Arial" w:eastAsia="Arial" w:hAnsi="Arial"/>
                <w:sz w:val="14"/>
                <w:szCs w:val="14"/>
                <w:b w:val="1"/>
                <w:bCs w:val="1"/>
                <w:color w:val="auto"/>
              </w:rPr>
              <w:t>Cost</w:t>
            </w: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ind w:left="440"/>
              <w:spacing w:after="0"/>
              <w:rPr>
                <w:sz w:val="20"/>
                <w:szCs w:val="20"/>
                <w:color w:val="auto"/>
              </w:rPr>
            </w:pPr>
            <w:r>
              <w:rPr>
                <w:rFonts w:ascii="Arial" w:cs="Arial" w:eastAsia="Arial" w:hAnsi="Arial"/>
                <w:sz w:val="14"/>
                <w:szCs w:val="14"/>
                <w:b w:val="1"/>
                <w:bCs w:val="1"/>
                <w:color w:val="auto"/>
              </w:rPr>
              <w:t>Cost</w:t>
            </w:r>
          </w:p>
        </w:tc>
        <w:tc>
          <w:tcPr>
            <w:tcW w:w="1200" w:type="dxa"/>
            <w:vAlign w:val="bottom"/>
          </w:tcPr>
          <w:p>
            <w:pPr>
              <w:jc w:val="right"/>
              <w:ind w:right="34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40" w:type="dxa"/>
            <w:vAlign w:val="bottom"/>
            <w:gridSpan w:val="2"/>
          </w:tcPr>
          <w:p>
            <w:pPr>
              <w:spacing w:after="0"/>
              <w:rPr>
                <w:sz w:val="20"/>
                <w:szCs w:val="20"/>
                <w:color w:val="auto"/>
              </w:rPr>
            </w:pPr>
            <w:r>
              <w:rPr>
                <w:rFonts w:ascii="Arial" w:cs="Arial" w:eastAsia="Arial" w:hAnsi="Arial"/>
                <w:sz w:val="14"/>
                <w:szCs w:val="14"/>
                <w:color w:val="auto"/>
              </w:rPr>
              <w:t>hin one year</w:t>
            </w:r>
          </w:p>
        </w:tc>
        <w:tc>
          <w:tcPr>
            <w:tcW w:w="21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40" w:type="dxa"/>
            <w:vAlign w:val="bottom"/>
            <w:vMerge w:val="continue"/>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vMerge w:val="continue"/>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00" w:type="dxa"/>
            <w:vAlign w:val="bottom"/>
            <w:vMerge w:val="continue"/>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20"/>
                <w:szCs w:val="20"/>
                <w:color w:val="auto"/>
              </w:rPr>
            </w:pPr>
            <w:r>
              <w:rPr>
                <w:rFonts w:ascii="Arial" w:cs="Arial" w:eastAsia="Arial" w:hAnsi="Arial"/>
                <w:sz w:val="12"/>
                <w:szCs w:val="12"/>
                <w:color w:val="auto"/>
                <w:w w:val="74"/>
              </w:rPr>
              <w:t>er</w:t>
            </w:r>
          </w:p>
        </w:tc>
        <w:tc>
          <w:tcPr>
            <w:tcW w:w="3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one to five years</w:t>
            </w: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58,652</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58,461</w:t>
            </w: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640" w:type="dxa"/>
            <w:vAlign w:val="bottom"/>
            <w:gridSpan w:val="2"/>
          </w:tcPr>
          <w:p>
            <w:pPr>
              <w:spacing w:after="0"/>
              <w:rPr>
                <w:sz w:val="20"/>
                <w:szCs w:val="20"/>
                <w:color w:val="auto"/>
              </w:rPr>
            </w:pPr>
            <w:r>
              <w:rPr>
                <w:rFonts w:ascii="Arial" w:cs="Arial" w:eastAsia="Arial" w:hAnsi="Arial"/>
                <w:sz w:val="14"/>
                <w:szCs w:val="14"/>
                <w:color w:val="auto"/>
              </w:rPr>
              <w:t>er five to ten years</w:t>
            </w: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78,918</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79,568</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5,524</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20"/>
                <w:szCs w:val="20"/>
                <w:color w:val="auto"/>
              </w:rPr>
            </w:pPr>
            <w:r>
              <w:rPr>
                <w:rFonts w:ascii="Arial" w:cs="Arial" w:eastAsia="Arial" w:hAnsi="Arial"/>
                <w:sz w:val="12"/>
                <w:szCs w:val="12"/>
                <w:color w:val="auto"/>
                <w:w w:val="74"/>
              </w:rPr>
              <w:t>er</w:t>
            </w:r>
          </w:p>
        </w:tc>
        <w:tc>
          <w:tcPr>
            <w:tcW w:w="354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ten years</w:t>
            </w: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21,088</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21,241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22,051</w:t>
            </w:r>
          </w:p>
        </w:tc>
        <w:tc>
          <w:tcPr>
            <w:tcW w:w="0" w:type="dxa"/>
            <w:vAlign w:val="bottom"/>
          </w:tcPr>
          <w:p>
            <w:pPr>
              <w:spacing w:after="0"/>
              <w:rPr>
                <w:sz w:val="1"/>
                <w:szCs w:val="1"/>
                <w:color w:val="auto"/>
              </w:rPr>
            </w:pPr>
          </w:p>
        </w:tc>
      </w:tr>
      <w:tr>
        <w:trPr>
          <w:trHeight w:val="185"/>
        </w:trPr>
        <w:tc>
          <w:tcPr>
            <w:tcW w:w="3640" w:type="dxa"/>
            <w:vAlign w:val="bottom"/>
            <w:gridSpan w:val="2"/>
          </w:tcPr>
          <w:p>
            <w:pPr>
              <w:spacing w:after="0"/>
              <w:rPr>
                <w:sz w:val="20"/>
                <w:szCs w:val="20"/>
                <w:color w:val="auto"/>
              </w:rPr>
            </w:pPr>
            <w:r>
              <w:rPr>
                <w:rFonts w:ascii="Arial" w:cs="Arial" w:eastAsia="Arial" w:hAnsi="Arial"/>
                <w:sz w:val="14"/>
                <w:szCs w:val="14"/>
                <w:color w:val="auto"/>
              </w:rPr>
              <w:t>rtgage-backed securities</w:t>
            </w:r>
            <w:r>
              <w:rPr>
                <w:rFonts w:ascii="Arial" w:cs="Arial" w:eastAsia="Arial" w:hAnsi="Arial"/>
                <w:sz w:val="9"/>
                <w:szCs w:val="9"/>
                <w:color w:val="auto"/>
              </w:rPr>
              <w:t>(1)</w:t>
            </w: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29,236</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29,895</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70,016</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72,212</w:t>
            </w:r>
          </w:p>
        </w:tc>
        <w:tc>
          <w:tcPr>
            <w:tcW w:w="0" w:type="dxa"/>
            <w:vAlign w:val="bottom"/>
          </w:tcPr>
          <w:p>
            <w:pPr>
              <w:spacing w:after="0"/>
              <w:rPr>
                <w:sz w:val="1"/>
                <w:szCs w:val="1"/>
                <w:color w:val="auto"/>
              </w:rPr>
            </w:pPr>
          </w:p>
        </w:tc>
      </w:tr>
      <w:tr>
        <w:trPr>
          <w:trHeight w:val="212"/>
        </w:trPr>
        <w:tc>
          <w:tcPr>
            <w:tcW w:w="3640" w:type="dxa"/>
            <w:vAlign w:val="bottom"/>
            <w:gridSpan w:val="2"/>
          </w:tcPr>
          <w:p>
            <w:pPr>
              <w:spacing w:after="0"/>
              <w:rPr>
                <w:sz w:val="20"/>
                <w:szCs w:val="20"/>
                <w:color w:val="auto"/>
              </w:rPr>
            </w:pPr>
            <w:r>
              <w:rPr>
                <w:rFonts w:ascii="Arial" w:cs="Arial" w:eastAsia="Arial" w:hAnsi="Arial"/>
                <w:sz w:val="14"/>
                <w:szCs w:val="14"/>
                <w:color w:val="auto"/>
              </w:rPr>
              <w:t>otal</w:t>
            </w:r>
          </w:p>
        </w:tc>
        <w:tc>
          <w:tcPr>
            <w:tcW w:w="21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187,894$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189,165</w:t>
            </w: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97,450$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-159385</wp:posOffset>
            </wp:positionV>
            <wp:extent cx="6915785" cy="142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15785" cy="142875"/>
                    </a:xfrm>
                    <a:prstGeom prst="rect">
                      <a:avLst/>
                    </a:prstGeom>
                    <a:noFill/>
                  </pic:spPr>
                </pic:pic>
              </a:graphicData>
            </a:graphic>
          </wp:anchor>
        </w:drawing>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_______________</w:t>
      </w:r>
    </w:p>
    <w:p>
      <w:pPr>
        <w:ind w:left="260" w:hanging="154"/>
        <w:spacing w:after="0" w:line="199" w:lineRule="auto"/>
        <w:tabs>
          <w:tab w:leader="none" w:pos="260"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Mortgage-backed securities contractually repay in monthly installments.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252095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440"/>
          </w:cols>
          <w:pgMar w:left="220" w:top="604"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4 - SBA-PPP Loans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Pursuant to the CARES Act, the SBA-PPP provides forgivable loans to small businesses to enable them to maintain payroll, hire back employees who have been laid off, and cover applicable overhead. SBA-PPP loans have an interest rate of 1%, have two or five year terms, and carry a 100% guarantee of the SBA.</w:t>
      </w:r>
    </w:p>
    <w:p>
      <w:pPr>
        <w:spacing w:after="0" w:line="206"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allowance for loan losses for SBA-PPP loans was separately evaluated given the explicit government guarantee. This analysis, which incorporated historical experience with similar SBA guarantees and underwriting, concluded that the likelihood of loss was remote and therefore no allowance for loan losses was assigned to these loans.</w:t>
      </w:r>
    </w:p>
    <w:p>
      <w:pPr>
        <w:spacing w:after="0" w:line="206"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SBA-PPP gross loans receivable totaled $141.4 million at September 30, 2021, and $204.9 million at December 31, 2020, and were all rated as pass credits and were not past due, nonaccrual, TDR, or otherwise impaired. Unearned net fees associated with the SBA-PPP loans amounted to $4.3 million at September 30, 2021 compared to $3.9 million at December 31, 2020. There were no outstanding commitments to extend additional SBA-PPP loans at September 30,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Major classifications of portfolio loans as are as follows: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Portfolio Loan Categories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5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520" w:type="dxa"/>
            <w:vAlign w:val="bottom"/>
          </w:tcPr>
          <w:p>
            <w:pPr>
              <w:spacing w:after="0"/>
              <w:rPr>
                <w:sz w:val="16"/>
                <w:szCs w:val="16"/>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520" w:type="dxa"/>
            <w:vAlign w:val="bottom"/>
          </w:tcPr>
          <w:p>
            <w:pPr>
              <w:spacing w:after="0"/>
              <w:rPr>
                <w:sz w:val="16"/>
                <w:szCs w:val="16"/>
                <w:color w:val="auto"/>
              </w:rPr>
            </w:pPr>
          </w:p>
        </w:tc>
        <w:tc>
          <w:tcPr>
            <w:tcW w:w="1560" w:type="dxa"/>
            <w:vAlign w:val="bottom"/>
          </w:tcPr>
          <w:p>
            <w:pPr>
              <w:jc w:val="right"/>
              <w:ind w:right="101"/>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6580" w:type="dxa"/>
            <w:vAlign w:val="bottom"/>
          </w:tcPr>
          <w:p>
            <w:pPr>
              <w:ind w:left="340"/>
              <w:spacing w:after="0"/>
              <w:rPr>
                <w:sz w:val="20"/>
                <w:szCs w:val="20"/>
                <w:color w:val="auto"/>
              </w:rPr>
            </w:pPr>
            <w:r>
              <w:rPr>
                <w:rFonts w:ascii="Arial" w:cs="Arial" w:eastAsia="Arial" w:hAnsi="Arial"/>
                <w:sz w:val="16"/>
                <w:szCs w:val="16"/>
                <w:color w:val="auto"/>
              </w:rPr>
              <w:t>Real estate:</w:t>
            </w:r>
          </w:p>
        </w:tc>
        <w:tc>
          <w:tcPr>
            <w:tcW w:w="5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5"/>
        </w:trPr>
        <w:tc>
          <w:tcPr>
            <w:tcW w:w="6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Residential</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418,205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437,86</w:t>
            </w:r>
          </w:p>
        </w:tc>
      </w:tr>
      <w:tr>
        <w:trPr>
          <w:trHeight w:val="212"/>
        </w:trPr>
        <w:tc>
          <w:tcPr>
            <w:tcW w:w="6580" w:type="dxa"/>
            <w:vAlign w:val="bottom"/>
          </w:tcPr>
          <w:p>
            <w:pPr>
              <w:ind w:left="460"/>
              <w:spacing w:after="0"/>
              <w:rPr>
                <w:sz w:val="20"/>
                <w:szCs w:val="20"/>
                <w:color w:val="auto"/>
              </w:rPr>
            </w:pPr>
            <w:r>
              <w:rPr>
                <w:rFonts w:ascii="Arial" w:cs="Arial" w:eastAsia="Arial" w:hAnsi="Arial"/>
                <w:sz w:val="16"/>
                <w:szCs w:val="16"/>
                <w:color w:val="auto"/>
              </w:rPr>
              <w:t>Commercial</w:t>
            </w:r>
          </w:p>
        </w:tc>
        <w:tc>
          <w:tcPr>
            <w:tcW w:w="520" w:type="dxa"/>
            <w:vAlign w:val="bottom"/>
          </w:tcPr>
          <w:p>
            <w:pPr>
              <w:spacing w:after="0"/>
              <w:rPr>
                <w:sz w:val="18"/>
                <w:szCs w:val="18"/>
                <w:color w:val="auto"/>
              </w:rPr>
            </w:pPr>
          </w:p>
        </w:tc>
        <w:tc>
          <w:tcPr>
            <w:tcW w:w="1720" w:type="dxa"/>
            <w:vAlign w:val="bottom"/>
          </w:tcPr>
          <w:p>
            <w:pPr>
              <w:jc w:val="right"/>
              <w:ind w:right="1"/>
              <w:spacing w:after="0"/>
              <w:rPr>
                <w:sz w:val="20"/>
                <w:szCs w:val="20"/>
                <w:color w:val="auto"/>
              </w:rPr>
            </w:pPr>
            <w:r>
              <w:rPr>
                <w:rFonts w:ascii="Arial" w:cs="Arial" w:eastAsia="Arial" w:hAnsi="Arial"/>
                <w:sz w:val="16"/>
                <w:szCs w:val="16"/>
                <w:b w:val="1"/>
                <w:bCs w:val="1"/>
                <w:color w:val="auto"/>
              </w:rPr>
              <w:t>502,523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392,55</w:t>
            </w:r>
          </w:p>
        </w:tc>
      </w:tr>
      <w:tr>
        <w:trPr>
          <w:trHeight w:val="212"/>
        </w:trPr>
        <w:tc>
          <w:tcPr>
            <w:tcW w:w="6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Construction</w:t>
            </w: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251,256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224,90</w:t>
            </w:r>
          </w:p>
        </w:tc>
      </w:tr>
      <w:tr>
        <w:trPr>
          <w:trHeight w:val="212"/>
        </w:trPr>
        <w:tc>
          <w:tcPr>
            <w:tcW w:w="6580" w:type="dxa"/>
            <w:vAlign w:val="bottom"/>
          </w:tcPr>
          <w:p>
            <w:pPr>
              <w:ind w:left="340"/>
              <w:spacing w:after="0"/>
              <w:rPr>
                <w:sz w:val="20"/>
                <w:szCs w:val="20"/>
                <w:color w:val="auto"/>
              </w:rPr>
            </w:pPr>
            <w:r>
              <w:rPr>
                <w:rFonts w:ascii="Arial" w:cs="Arial" w:eastAsia="Arial" w:hAnsi="Arial"/>
                <w:sz w:val="16"/>
                <w:szCs w:val="16"/>
                <w:color w:val="auto"/>
              </w:rPr>
              <w:t>Commercial and Industrial</w:t>
            </w:r>
          </w:p>
        </w:tc>
        <w:tc>
          <w:tcPr>
            <w:tcW w:w="520" w:type="dxa"/>
            <w:vAlign w:val="bottom"/>
          </w:tcPr>
          <w:p>
            <w:pPr>
              <w:spacing w:after="0"/>
              <w:rPr>
                <w:sz w:val="18"/>
                <w:szCs w:val="18"/>
                <w:color w:val="auto"/>
              </w:rPr>
            </w:pPr>
          </w:p>
        </w:tc>
        <w:tc>
          <w:tcPr>
            <w:tcW w:w="1720" w:type="dxa"/>
            <w:vAlign w:val="bottom"/>
          </w:tcPr>
          <w:p>
            <w:pPr>
              <w:jc w:val="right"/>
              <w:ind w:right="1"/>
              <w:spacing w:after="0"/>
              <w:rPr>
                <w:sz w:val="20"/>
                <w:szCs w:val="20"/>
                <w:color w:val="auto"/>
              </w:rPr>
            </w:pPr>
            <w:r>
              <w:rPr>
                <w:rFonts w:ascii="Arial" w:cs="Arial" w:eastAsia="Arial" w:hAnsi="Arial"/>
                <w:sz w:val="16"/>
                <w:szCs w:val="16"/>
                <w:b w:val="1"/>
                <w:bCs w:val="1"/>
                <w:color w:val="auto"/>
              </w:rPr>
              <w:t>143,244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157,12</w:t>
            </w:r>
          </w:p>
        </w:tc>
      </w:tr>
      <w:tr>
        <w:trPr>
          <w:trHeight w:val="212"/>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Credit card</w:t>
            </w: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134,979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102,18</w:t>
            </w:r>
          </w:p>
        </w:tc>
      </w:tr>
      <w:tr>
        <w:trPr>
          <w:trHeight w:val="212"/>
        </w:trPr>
        <w:tc>
          <w:tcPr>
            <w:tcW w:w="6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consumer</w:t>
            </w: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1,425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05"/>
        </w:trPr>
        <w:tc>
          <w:tcPr>
            <w:tcW w:w="6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Portfolio loans receivable, gross</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1,451,632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1,316,27</w:t>
            </w:r>
          </w:p>
        </w:tc>
      </w:tr>
      <w:tr>
        <w:trPr>
          <w:trHeight w:val="212"/>
        </w:trPr>
        <w:tc>
          <w:tcPr>
            <w:tcW w:w="6580" w:type="dxa"/>
            <w:vAlign w:val="bottom"/>
          </w:tcPr>
          <w:p>
            <w:pPr>
              <w:ind w:left="340"/>
              <w:spacing w:after="0"/>
              <w:rPr>
                <w:sz w:val="20"/>
                <w:szCs w:val="20"/>
                <w:color w:val="auto"/>
              </w:rPr>
            </w:pPr>
            <w:r>
              <w:rPr>
                <w:rFonts w:ascii="Arial" w:cs="Arial" w:eastAsia="Arial" w:hAnsi="Arial"/>
                <w:sz w:val="16"/>
                <w:szCs w:val="16"/>
                <w:color w:val="auto"/>
              </w:rPr>
              <w:t>Deferred origination fees, net</w:t>
            </w: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(6,506)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2"/>
        </w:trPr>
        <w:tc>
          <w:tcPr>
            <w:tcW w:w="6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Allowance for loan losses</w:t>
            </w:r>
          </w:p>
        </w:tc>
        <w:tc>
          <w:tcPr>
            <w:tcW w:w="5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(24,753)</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r>
      <w:tr>
        <w:trPr>
          <w:trHeight w:val="205"/>
        </w:trPr>
        <w:tc>
          <w:tcPr>
            <w:tcW w:w="6580" w:type="dxa"/>
            <w:vAlign w:val="bottom"/>
          </w:tcPr>
          <w:p>
            <w:pPr>
              <w:ind w:left="460"/>
              <w:spacing w:after="0"/>
              <w:rPr>
                <w:sz w:val="20"/>
                <w:szCs w:val="20"/>
                <w:color w:val="auto"/>
              </w:rPr>
            </w:pPr>
            <w:r>
              <w:rPr>
                <w:rFonts w:ascii="Arial" w:cs="Arial" w:eastAsia="Arial" w:hAnsi="Arial"/>
                <w:sz w:val="16"/>
                <w:szCs w:val="16"/>
                <w:color w:val="auto"/>
              </w:rPr>
              <w:t>Portfolio loans receivable, net</w:t>
            </w: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1,420,373</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1,292,06</w:t>
            </w:r>
          </w:p>
        </w:tc>
      </w:tr>
      <w:tr>
        <w:trPr>
          <w:trHeight w:val="20"/>
        </w:trPr>
        <w:tc>
          <w:tcPr>
            <w:tcW w:w="6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Company makes loans to customers located primarily in the Washington, D.C. and Baltimore, Maryland metropolitan areas. Although the loan portfolio is diversified, its performance is influenced by the regional economy. The Company’s loan categories, excluding SBA-PPP loans, previously discussed in Note 4, are described below.</w:t>
      </w:r>
    </w:p>
    <w:p>
      <w:pPr>
        <w:spacing w:after="0" w:line="18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secured by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may be more adversely affected by conditions in the real estate markets or in the general economy. Commercial loans that are secured by owner-occupied commercial real estate and primarily collateralized by operating cash flows are also included in this category of loans. As of September 30, 2021, there were approximately $291.0 million of owner-occupied commercial real estate loans, representing approximately 57.9% of the commercial real estate portfolio. Commercial real estate loan terms are generally extended for 10 years or less and amortize generally over 25 years or less. The interest rates on commercial real estate loans generally have initial fixed rate 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spacing w:after="0" w:line="19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Exceptions are sometimes made. Semi-annual stress testing of the construction loan portfolio is conducted, and underlying real estate conditions are monitored as well as trends of sales outcomes versus underwriting valuations as part of ongoing risk management efforts. The borrowers’ progress in construction buildout is monitored to enforce the original underwriting guidelines for construction milestones and completion timelines.</w:t>
      </w:r>
    </w:p>
    <w:p>
      <w:pPr>
        <w:spacing w:after="0" w:line="18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Commercial and Industrial</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85"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Our OpenSky</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division provides credit cards on a nationwide basis to under-banked populations and those looking</w:t>
      </w:r>
      <w:r>
        <w:rPr>
          <w:rFonts w:ascii="Arial" w:cs="Arial" w:eastAsia="Arial" w:hAnsi="Arial"/>
          <w:sz w:val="18"/>
          <w:szCs w:val="18"/>
          <w:i w:val="1"/>
          <w:iCs w:val="1"/>
          <w:color w:val="auto"/>
        </w:rPr>
        <w:t xml:space="preserve"> </w:t>
      </w:r>
      <w:r>
        <w:rPr>
          <w:rFonts w:ascii="Arial" w:cs="Arial" w:eastAsia="Arial" w:hAnsi="Arial"/>
          <w:sz w:val="18"/>
          <w:szCs w:val="18"/>
          <w:color w:val="auto"/>
        </w:rPr>
        <w:t>to rebuild their credit scores through a fully digital and mobile platform. Most of the lines of credit are secured by a noninterest bearing demand account at the Bank in an amount equal to the full credit limit of the credit card. In addition, using a proprietary scoring model, which considers credit score and repayment history (typically a minimum of six months of on-time repayments, but ultimately determined on a case-by-case basis), the Bank offers certain existing customers an unsecured line in excess of their secured line of credit. Approximately $125.2 million and $98.5 million of the credit card balances were secured by savings deposits held by the Company as of September 30, 2021 and December 31, 2020, respectively.</w:t>
      </w:r>
    </w:p>
    <w:p>
      <w:pPr>
        <w:spacing w:after="0" w:line="195"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limited extent and typically as an accommodation to existing customers, personal consumer loans,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for example, term loans, car loans or boat loans are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63" w:lineRule="auto"/>
        <w:rPr>
          <w:sz w:val="20"/>
          <w:szCs w:val="20"/>
          <w:color w:val="auto"/>
        </w:rPr>
      </w:pPr>
      <w:r>
        <w:rPr>
          <w:rFonts w:ascii="Arial" w:cs="Arial" w:eastAsia="Arial" w:hAnsi="Arial"/>
          <w:sz w:val="17"/>
          <w:szCs w:val="17"/>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at acquisition, the difference between the contractually required payments and expected cash flows are recorded as a non-accretable discount. The remaining non-accretable discounts on loans acquired was $285 thousand as of September 30, 2021 and December 31, 2020. Loans with non-accretable discounts had carrying values of $821 thousand and $836 thousand as of September 30, 2021 and December 31, 2020, respectively.</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Accretable discounts on loans acquired is summarized as follows: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Borders>
              <w:bottom w:val="single" w:sz="8" w:color="auto"/>
            </w:tcBorders>
          </w:tcPr>
          <w:p>
            <w:pPr>
              <w:spacing w:after="0"/>
              <w:rPr>
                <w:sz w:val="16"/>
                <w:szCs w:val="16"/>
                <w:color w:val="auto"/>
              </w:rPr>
            </w:pPr>
          </w:p>
        </w:tc>
      </w:tr>
      <w:tr>
        <w:trPr>
          <w:trHeight w:val="179"/>
        </w:trPr>
        <w:tc>
          <w:tcPr>
            <w:tcW w:w="498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2021</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 2021</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2020</w:t>
            </w:r>
          </w:p>
        </w:tc>
      </w:tr>
      <w:tr>
        <w:trPr>
          <w:trHeight w:val="17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beginning of period</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212</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r>
      <w:tr>
        <w:trPr>
          <w:trHeight w:val="186"/>
        </w:trPr>
        <w:tc>
          <w:tcPr>
            <w:tcW w:w="4980" w:type="dxa"/>
            <w:vAlign w:val="bottom"/>
          </w:tcPr>
          <w:p>
            <w:pPr>
              <w:ind w:left="100"/>
              <w:spacing w:after="0"/>
              <w:rPr>
                <w:sz w:val="20"/>
                <w:szCs w:val="20"/>
                <w:color w:val="auto"/>
              </w:rPr>
            </w:pPr>
            <w:r>
              <w:rPr>
                <w:rFonts w:ascii="Arial" w:cs="Arial" w:eastAsia="Arial" w:hAnsi="Arial"/>
                <w:sz w:val="14"/>
                <w:szCs w:val="14"/>
                <w:color w:val="auto"/>
              </w:rPr>
              <w:t>Less: Accretion and payoff of loans</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185"/>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changes, net</w:t>
            </w:r>
          </w:p>
        </w:tc>
        <w:tc>
          <w:tcPr>
            <w:tcW w:w="3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980" w:type="dxa"/>
            <w:vAlign w:val="bottom"/>
          </w:tcPr>
          <w:p>
            <w:pPr>
              <w:ind w:left="20"/>
              <w:spacing w:after="0"/>
              <w:rPr>
                <w:sz w:val="20"/>
                <w:szCs w:val="20"/>
                <w:color w:val="auto"/>
              </w:rPr>
            </w:pPr>
            <w:r>
              <w:rPr>
                <w:rFonts w:ascii="Arial" w:cs="Arial" w:eastAsia="Arial" w:hAnsi="Arial"/>
                <w:sz w:val="14"/>
                <w:szCs w:val="14"/>
                <w:color w:val="auto"/>
              </w:rPr>
              <w:t>Accretable discount at end of period</w:t>
            </w: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189</w:t>
            </w:r>
          </w:p>
        </w:tc>
        <w:tc>
          <w:tcPr>
            <w:tcW w:w="12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ind w:right="869"/>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color w:val="auto"/>
        </w:rPr>
        <w:t>The following tables set forth the changes in the allowance for loan losses and an allocation of the allowance for loan losses by class for the three and nine months ended September 30, 2021 and September 30, 2020.</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Allowance for Loan Losses</w:t>
      </w:r>
    </w:p>
    <w:p>
      <w:pPr>
        <w:spacing w:after="0" w:line="83" w:lineRule="exact"/>
        <w:rPr>
          <w:sz w:val="20"/>
          <w:szCs w:val="20"/>
          <w:color w:val="auto"/>
        </w:rPr>
      </w:pPr>
    </w:p>
    <w:tbl>
      <w:tblPr>
        <w:tblLayout w:type="fixed"/>
        <w:tblInd w:w="320" w:type="dxa"/>
        <w:tblCellMar>
          <w:top w:w="0" w:type="dxa"/>
          <w:left w:w="0" w:type="dxa"/>
          <w:bottom w:w="0" w:type="dxa"/>
          <w:right w:w="0" w:type="dxa"/>
        </w:tblCellMar>
      </w:tblPr>
      <w:tr>
        <w:trPr>
          <w:trHeight w:val="128"/>
        </w:trPr>
        <w:tc>
          <w:tcPr>
            <w:tcW w:w="340" w:type="dxa"/>
            <w:vAlign w:val="bottom"/>
          </w:tcPr>
          <w:p>
            <w:pPr>
              <w:spacing w:after="0"/>
              <w:rPr>
                <w:sz w:val="11"/>
                <w:szCs w:val="11"/>
                <w:color w:val="auto"/>
              </w:rPr>
            </w:pPr>
          </w:p>
        </w:tc>
        <w:tc>
          <w:tcPr>
            <w:tcW w:w="332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44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Beginning</w:t>
            </w:r>
          </w:p>
        </w:tc>
        <w:tc>
          <w:tcPr>
            <w:tcW w:w="4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Provision for</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14"/>
        </w:trPr>
        <w:tc>
          <w:tcPr>
            <w:tcW w:w="340" w:type="dxa"/>
            <w:vAlign w:val="bottom"/>
          </w:tcPr>
          <w:p>
            <w:pPr>
              <w:spacing w:after="0"/>
              <w:rPr>
                <w:sz w:val="9"/>
                <w:szCs w:val="9"/>
                <w:color w:val="auto"/>
              </w:rPr>
            </w:pPr>
          </w:p>
        </w:tc>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56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Charge-Offs</w:t>
            </w:r>
          </w:p>
        </w:tc>
        <w:tc>
          <w:tcPr>
            <w:tcW w:w="48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Recoveries</w:t>
            </w: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40" w:type="dxa"/>
            <w:vAlign w:val="bottom"/>
          </w:tcPr>
          <w:p>
            <w:pPr>
              <w:spacing w:after="0"/>
              <w:rPr>
                <w:sz w:val="12"/>
                <w:szCs w:val="12"/>
                <w:color w:val="auto"/>
              </w:rPr>
            </w:pPr>
          </w:p>
        </w:tc>
        <w:tc>
          <w:tcPr>
            <w:tcW w:w="2760" w:type="dxa"/>
            <w:vAlign w:val="bottom"/>
            <w:tcBorders>
              <w:bottom w:val="single" w:sz="8" w:color="auto"/>
            </w:tcBorders>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Balance</w:t>
            </w:r>
          </w:p>
        </w:tc>
        <w:tc>
          <w:tcPr>
            <w:tcW w:w="1500" w:type="dxa"/>
            <w:vAlign w:val="bottom"/>
            <w:gridSpan w:val="3"/>
          </w:tcPr>
          <w:p>
            <w:pPr>
              <w:ind w:left="260"/>
              <w:spacing w:after="0" w:line="146" w:lineRule="exact"/>
              <w:rPr>
                <w:sz w:val="20"/>
                <w:szCs w:val="20"/>
                <w:color w:val="auto"/>
              </w:rPr>
            </w:pPr>
            <w:r>
              <w:rPr>
                <w:rFonts w:ascii="Arial" w:cs="Arial" w:eastAsia="Arial" w:hAnsi="Arial"/>
                <w:sz w:val="14"/>
                <w:szCs w:val="14"/>
                <w:b w:val="1"/>
                <w:bCs w:val="1"/>
                <w:color w:val="auto"/>
              </w:rPr>
              <w:t>Loan Losses</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149"/>
              <w:spacing w:after="0" w:line="146"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33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6,709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3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7,777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315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4,542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2,536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(409)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2,502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3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24,079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6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7,153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6,786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1,467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4,595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2,417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(256)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2,462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3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23,434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696658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96658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Allowance for Loan Losses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2020</w:t>
            </w:r>
          </w:p>
        </w:tc>
        <w:tc>
          <w:tcPr>
            <w:tcW w:w="56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Beginning</w:t>
            </w:r>
          </w:p>
        </w:tc>
        <w:tc>
          <w:tcPr>
            <w:tcW w:w="4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Provision for</w:t>
            </w:r>
          </w:p>
        </w:tc>
        <w:tc>
          <w:tcPr>
            <w:tcW w:w="44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Charge-Offs</w:t>
            </w:r>
          </w:p>
        </w:tc>
        <w:tc>
          <w:tcPr>
            <w:tcW w:w="4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Recoveries</w:t>
            </w:r>
          </w:p>
        </w:tc>
        <w:tc>
          <w:tcPr>
            <w:tcW w:w="44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51"/>
        </w:trPr>
        <w:tc>
          <w:tcPr>
            <w:tcW w:w="340" w:type="dxa"/>
            <w:vAlign w:val="bottom"/>
          </w:tcPr>
          <w:p>
            <w:pPr>
              <w:spacing w:after="0"/>
              <w:rPr>
                <w:sz w:val="12"/>
                <w:szCs w:val="12"/>
                <w:color w:val="auto"/>
              </w:rPr>
            </w:pPr>
          </w:p>
        </w:tc>
        <w:tc>
          <w:tcPr>
            <w:tcW w:w="2760" w:type="dxa"/>
            <w:vAlign w:val="bottom"/>
            <w:tcBorders>
              <w:bottom w:val="single" w:sz="8" w:color="auto"/>
            </w:tcBorders>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Balance</w:t>
            </w:r>
          </w:p>
        </w:tc>
        <w:tc>
          <w:tcPr>
            <w:tcW w:w="1500" w:type="dxa"/>
            <w:vAlign w:val="bottom"/>
            <w:gridSpan w:val="3"/>
          </w:tcPr>
          <w:p>
            <w:pPr>
              <w:ind w:left="260"/>
              <w:spacing w:after="0" w:line="146" w:lineRule="exact"/>
              <w:rPr>
                <w:sz w:val="20"/>
                <w:szCs w:val="20"/>
                <w:color w:val="auto"/>
              </w:rPr>
            </w:pPr>
            <w:r>
              <w:rPr>
                <w:rFonts w:ascii="Arial" w:cs="Arial" w:eastAsia="Arial" w:hAnsi="Arial"/>
                <w:sz w:val="14"/>
                <w:szCs w:val="14"/>
                <w:b w:val="1"/>
                <w:bCs w:val="1"/>
                <w:color w:val="auto"/>
              </w:rPr>
              <w:t>Loan Losses</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149"/>
              <w:spacing w:after="0" w:line="146"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33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6,244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5,232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1,743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3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18,679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Nine Months Ended September 30, 2020</w:t>
            </w:r>
          </w:p>
        </w:tc>
        <w:tc>
          <w:tcPr>
            <w:tcW w:w="6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4,135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3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3,572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2,668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4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3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13,301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04"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following tables present, by class and reserving methodology, the allocation of the allowance for loan losses and the gross investment in loans. 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Allowance for Loan Loss Composition</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920" w:type="dxa"/>
            <w:vAlign w:val="bottom"/>
            <w:gridSpan w:val="5"/>
          </w:tcPr>
          <w:p>
            <w:pPr>
              <w:ind w:left="500"/>
              <w:spacing w:after="0"/>
              <w:rPr>
                <w:sz w:val="20"/>
                <w:szCs w:val="20"/>
                <w:color w:val="auto"/>
              </w:rPr>
            </w:pPr>
            <w:r>
              <w:rPr>
                <w:rFonts w:ascii="Arial" w:cs="Arial" w:eastAsia="Arial" w:hAnsi="Arial"/>
                <w:sz w:val="12"/>
                <w:szCs w:val="12"/>
                <w:b w:val="1"/>
                <w:bCs w:val="1"/>
                <w:color w:val="auto"/>
              </w:rPr>
              <w:t>Allowance for Loan Losses</w:t>
            </w:r>
          </w:p>
        </w:tc>
        <w:tc>
          <w:tcPr>
            <w:tcW w:w="540" w:type="dxa"/>
            <w:vAlign w:val="bottom"/>
          </w:tcPr>
          <w:p>
            <w:pPr>
              <w:spacing w:after="0"/>
              <w:rPr>
                <w:sz w:val="12"/>
                <w:szCs w:val="12"/>
                <w:color w:val="auto"/>
              </w:rPr>
            </w:pPr>
          </w:p>
        </w:tc>
        <w:tc>
          <w:tcPr>
            <w:tcW w:w="2900" w:type="dxa"/>
            <w:vAlign w:val="bottom"/>
            <w:gridSpan w:val="4"/>
          </w:tcPr>
          <w:p>
            <w:pPr>
              <w:jc w:val="right"/>
              <w:ind w:right="870"/>
              <w:spacing w:after="0"/>
              <w:rPr>
                <w:sz w:val="20"/>
                <w:szCs w:val="20"/>
                <w:color w:val="auto"/>
              </w:rPr>
            </w:pPr>
            <w:r>
              <w:rPr>
                <w:rFonts w:ascii="Arial" w:cs="Arial" w:eastAsia="Arial" w:hAnsi="Arial"/>
                <w:sz w:val="12"/>
                <w:szCs w:val="12"/>
                <w:b w:val="1"/>
                <w:bCs w:val="1"/>
                <w:color w:val="auto"/>
              </w:rPr>
              <w:t>Outstanding Portfolio</w:t>
            </w: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920" w:type="dxa"/>
            <w:vAlign w:val="bottom"/>
            <w:gridSpan w:val="5"/>
          </w:tcPr>
          <w:p>
            <w:pPr>
              <w:ind w:left="360"/>
              <w:spacing w:after="0" w:line="120" w:lineRule="exact"/>
              <w:rPr>
                <w:sz w:val="20"/>
                <w:szCs w:val="20"/>
                <w:color w:val="auto"/>
              </w:rPr>
            </w:pPr>
            <w:r>
              <w:rPr>
                <w:rFonts w:ascii="Arial" w:cs="Arial" w:eastAsia="Arial" w:hAnsi="Arial"/>
                <w:sz w:val="12"/>
                <w:szCs w:val="12"/>
                <w:b w:val="1"/>
                <w:bCs w:val="1"/>
                <w:color w:val="auto"/>
              </w:rPr>
              <w:t>Ending Balance Evaluated</w:t>
            </w:r>
          </w:p>
        </w:tc>
        <w:tc>
          <w:tcPr>
            <w:tcW w:w="540" w:type="dxa"/>
            <w:vAlign w:val="bottom"/>
          </w:tcPr>
          <w:p>
            <w:pPr>
              <w:spacing w:after="0"/>
              <w:rPr>
                <w:sz w:val="10"/>
                <w:szCs w:val="10"/>
                <w:color w:val="auto"/>
              </w:rPr>
            </w:pPr>
          </w:p>
        </w:tc>
        <w:tc>
          <w:tcPr>
            <w:tcW w:w="2900" w:type="dxa"/>
            <w:vAlign w:val="bottom"/>
            <w:gridSpan w:val="4"/>
          </w:tcPr>
          <w:p>
            <w:pPr>
              <w:jc w:val="right"/>
              <w:ind w:right="890"/>
              <w:spacing w:after="0" w:line="120" w:lineRule="exact"/>
              <w:rPr>
                <w:sz w:val="20"/>
                <w:szCs w:val="20"/>
                <w:color w:val="auto"/>
              </w:rPr>
            </w:pPr>
            <w:r>
              <w:rPr>
                <w:rFonts w:ascii="Arial" w:cs="Arial" w:eastAsia="Arial" w:hAnsi="Arial"/>
                <w:sz w:val="12"/>
                <w:szCs w:val="12"/>
                <w:b w:val="1"/>
                <w:bCs w:val="1"/>
                <w:color w:val="auto"/>
              </w:rPr>
              <w:t>Loan Balances Evaluated</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356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2"/>
                <w:szCs w:val="12"/>
                <w:b w:val="1"/>
                <w:bCs w:val="1"/>
                <w:color w:val="auto"/>
              </w:rPr>
              <w:t>for Impairment:</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2"/>
                <w:szCs w:val="12"/>
                <w:b w:val="1"/>
                <w:bCs w:val="1"/>
                <w:color w:val="auto"/>
              </w:rPr>
              <w:t>for Impairment:</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September 30, 2021</w:t>
            </w:r>
          </w:p>
        </w:tc>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Individually</w:t>
            </w:r>
          </w:p>
        </w:tc>
        <w:tc>
          <w:tcPr>
            <w:tcW w:w="5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Collectively</w:t>
            </w:r>
          </w:p>
        </w:tc>
        <w:tc>
          <w:tcPr>
            <w:tcW w:w="5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Individually</w:t>
            </w:r>
          </w:p>
        </w:tc>
        <w:tc>
          <w:tcPr>
            <w:tcW w:w="540" w:type="dxa"/>
            <w:vAlign w:val="bottom"/>
          </w:tcPr>
          <w:p>
            <w:pPr>
              <w:spacing w:after="0"/>
              <w:rPr>
                <w:sz w:val="14"/>
                <w:szCs w:val="14"/>
                <w:color w:val="auto"/>
              </w:rPr>
            </w:pPr>
          </w:p>
        </w:tc>
        <w:tc>
          <w:tcPr>
            <w:tcW w:w="1140" w:type="dxa"/>
            <w:vAlign w:val="bottom"/>
          </w:tcPr>
          <w:p>
            <w:pPr>
              <w:jc w:val="right"/>
              <w:ind w:right="250"/>
              <w:spacing w:after="0"/>
              <w:rPr>
                <w:sz w:val="20"/>
                <w:szCs w:val="20"/>
                <w:color w:val="auto"/>
              </w:rPr>
            </w:pPr>
            <w:r>
              <w:rPr>
                <w:rFonts w:ascii="Arial" w:cs="Arial" w:eastAsia="Arial" w:hAnsi="Arial"/>
                <w:sz w:val="12"/>
                <w:szCs w:val="12"/>
                <w:b w:val="1"/>
                <w:bCs w:val="1"/>
                <w:color w:val="auto"/>
              </w:rPr>
              <w:t>Collectively</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6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356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6,420</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5,039</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413,166</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5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5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8,092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502,495</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5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5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4,872</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7,803</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243,453</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1,906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695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142,549</w:t>
            </w: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5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3,224</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134,979</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5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1,425</w:t>
            </w: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560" w:type="dxa"/>
            <w:vAlign w:val="bottom"/>
            <w:tcBorders>
              <w:top w:val="single" w:sz="8" w:color="CCEEFF"/>
              <w:bottom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6"/>
                <w:szCs w:val="16"/>
                <w:color w:val="auto"/>
              </w:rPr>
              <w:t>Total</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13,565</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1,438,067</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2280" w:type="dxa"/>
            <w:vAlign w:val="bottom"/>
            <w:tcBorders>
              <w:bottom w:val="single" w:sz="8" w:color="CCEEFF"/>
            </w:tcBorders>
            <w:gridSpan w:val="2"/>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433,173</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5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5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6,786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390,192</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5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4,595</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223,168</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155,945</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5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102,186</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356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5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560" w:type="dxa"/>
            <w:vAlign w:val="bottom"/>
            <w:tcBorders>
              <w:top w:val="single" w:sz="8" w:color="CCEEFF"/>
              <w:bottom w:val="single" w:sz="8" w:color="CCEEFF"/>
            </w:tcBorders>
            <w:gridSpan w:val="3"/>
            <w:shd w:val="clear" w:color="auto" w:fill="CCEEFF"/>
          </w:tcPr>
          <w:p>
            <w:pPr>
              <w:ind w:left="200"/>
              <w:spacing w:after="0" w:line="179" w:lineRule="exact"/>
              <w:rPr>
                <w:sz w:val="20"/>
                <w:szCs w:val="20"/>
                <w:color w:val="auto"/>
              </w:rPr>
            </w:pPr>
            <w:r>
              <w:rPr>
                <w:rFonts w:ascii="Arial" w:cs="Arial" w:eastAsia="Arial" w:hAnsi="Arial"/>
                <w:sz w:val="16"/>
                <w:szCs w:val="16"/>
                <w:color w:val="auto"/>
              </w:rPr>
              <w:t>Total</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1,306,313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Past due loans, segregated by age and class of loans, as of September 30, 2021 and December 31, 2020 were as follows:</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Portfolio Loans Past Due</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360" w:type="dxa"/>
            <w:vAlign w:val="bottom"/>
            <w:gridSpan w:val="3"/>
            <w:vMerge w:val="restart"/>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Accruing</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33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restart"/>
          </w:tcPr>
          <w:p>
            <w:pPr>
              <w:jc w:val="center"/>
              <w:ind w:right="240"/>
              <w:spacing w:after="0" w:line="120" w:lineRule="exact"/>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7"/>
                <w:szCs w:val="7"/>
                <w:color w:val="auto"/>
              </w:rPr>
            </w:pPr>
          </w:p>
        </w:tc>
        <w:tc>
          <w:tcPr>
            <w:tcW w:w="940" w:type="dxa"/>
            <w:vAlign w:val="bottom"/>
            <w:gridSpan w:val="2"/>
            <w:vMerge w:val="restart"/>
          </w:tcPr>
          <w:p>
            <w:pPr>
              <w:jc w:val="center"/>
              <w:ind w:right="240"/>
              <w:spacing w:after="0" w:line="120" w:lineRule="exact"/>
              <w:rPr>
                <w:sz w:val="20"/>
                <w:szCs w:val="20"/>
                <w:color w:val="auto"/>
              </w:rPr>
            </w:pPr>
            <w:r>
              <w:rPr>
                <w:rFonts w:ascii="Arial" w:cs="Arial" w:eastAsia="Arial" w:hAnsi="Arial"/>
                <w:sz w:val="12"/>
                <w:szCs w:val="12"/>
                <w:b w:val="1"/>
                <w:bCs w:val="1"/>
                <w:color w:val="auto"/>
              </w:rPr>
              <w:t>90 or More</w:t>
            </w: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restart"/>
          </w:tcPr>
          <w:p>
            <w:pPr>
              <w:jc w:val="center"/>
              <w:ind w:right="300"/>
              <w:spacing w:after="0" w:line="120"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7"/>
                <w:szCs w:val="7"/>
                <w:color w:val="auto"/>
              </w:rPr>
            </w:pPr>
          </w:p>
        </w:tc>
        <w:tc>
          <w:tcPr>
            <w:tcW w:w="1000" w:type="dxa"/>
            <w:vAlign w:val="bottom"/>
            <w:gridSpan w:val="2"/>
            <w:vMerge w:val="restart"/>
          </w:tcPr>
          <w:p>
            <w:pPr>
              <w:jc w:val="center"/>
              <w:ind w:right="260"/>
              <w:spacing w:after="0" w:line="120" w:lineRule="exact"/>
              <w:rPr>
                <w:sz w:val="20"/>
                <w:szCs w:val="20"/>
                <w:color w:val="auto"/>
              </w:rPr>
            </w:pPr>
            <w:r>
              <w:rPr>
                <w:rFonts w:ascii="Arial" w:cs="Arial" w:eastAsia="Arial" w:hAnsi="Arial"/>
                <w:sz w:val="12"/>
                <w:szCs w:val="12"/>
                <w:b w:val="1"/>
                <w:bCs w:val="1"/>
                <w:color w:val="auto"/>
              </w:rPr>
              <w:t>Loans 90 or</w:t>
            </w: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Total Past</w:t>
            </w:r>
          </w:p>
        </w:tc>
        <w:tc>
          <w:tcPr>
            <w:tcW w:w="200" w:type="dxa"/>
            <w:vAlign w:val="bottom"/>
          </w:tcPr>
          <w:p>
            <w:pPr>
              <w:spacing w:after="0"/>
              <w:rPr>
                <w:sz w:val="2"/>
                <w:szCs w:val="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rPr>
              <w:t>Current</w:t>
            </w:r>
          </w:p>
        </w:tc>
        <w:tc>
          <w:tcPr>
            <w:tcW w:w="1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2"/>
                <w:szCs w:val="12"/>
                <w:b w:val="1"/>
                <w:bCs w:val="1"/>
                <w:color w:val="auto"/>
              </w:rPr>
              <w:t>Non-accrual</w:t>
            </w:r>
          </w:p>
        </w:tc>
        <w:tc>
          <w:tcPr>
            <w:tcW w:w="0" w:type="dxa"/>
            <w:vAlign w:val="bottom"/>
          </w:tcPr>
          <w:p>
            <w:pPr>
              <w:spacing w:after="0" w:line="20" w:lineRule="exact"/>
              <w:rPr>
                <w:sz w:val="1"/>
                <w:szCs w:val="1"/>
                <w:color w:val="auto"/>
              </w:rPr>
            </w:pPr>
          </w:p>
        </w:tc>
      </w:tr>
      <w:tr>
        <w:trPr>
          <w:trHeight w:val="119"/>
        </w:trPr>
        <w:tc>
          <w:tcPr>
            <w:tcW w:w="3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rPr>
              <w:t>30-89 Days</w:t>
            </w: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rPr>
              <w:t>Days</w:t>
            </w: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20"/>
              <w:spacing w:after="0" w:line="120" w:lineRule="exact"/>
              <w:rPr>
                <w:sz w:val="20"/>
                <w:szCs w:val="20"/>
                <w:color w:val="auto"/>
              </w:rPr>
            </w:pPr>
            <w:r>
              <w:rPr>
                <w:rFonts w:ascii="Arial" w:cs="Arial" w:eastAsia="Arial" w:hAnsi="Arial"/>
                <w:sz w:val="12"/>
                <w:szCs w:val="12"/>
                <w:b w:val="1"/>
                <w:bCs w:val="1"/>
                <w:color w:val="auto"/>
              </w:rPr>
              <w:t>Portfolio</w:t>
            </w:r>
          </w:p>
        </w:tc>
        <w:tc>
          <w:tcPr>
            <w:tcW w:w="120" w:type="dxa"/>
            <w:vAlign w:val="bottom"/>
          </w:tcPr>
          <w:p>
            <w:pPr>
              <w:spacing w:after="0"/>
              <w:rPr>
                <w:sz w:val="10"/>
                <w:szCs w:val="10"/>
                <w:color w:val="auto"/>
              </w:rPr>
            </w:pPr>
          </w:p>
        </w:tc>
        <w:tc>
          <w:tcPr>
            <w:tcW w:w="10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rPr>
              <w:t>More Days</w:t>
            </w: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Due Loans</w:t>
            </w:r>
          </w:p>
        </w:tc>
        <w:tc>
          <w:tcPr>
            <w:tcW w:w="2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Loans</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Past Due</w:t>
            </w:r>
          </w:p>
        </w:tc>
        <w:tc>
          <w:tcPr>
            <w:tcW w:w="140" w:type="dxa"/>
            <w:vAlign w:val="bottom"/>
          </w:tcPr>
          <w:p>
            <w:pPr>
              <w:spacing w:after="0"/>
              <w:rPr>
                <w:sz w:val="12"/>
                <w:szCs w:val="12"/>
                <w:color w:val="auto"/>
              </w:rPr>
            </w:pPr>
          </w:p>
        </w:tc>
        <w:tc>
          <w:tcPr>
            <w:tcW w:w="940" w:type="dxa"/>
            <w:vAlign w:val="bottom"/>
          </w:tcPr>
          <w:p>
            <w:pPr>
              <w:jc w:val="right"/>
              <w:ind w:right="290"/>
              <w:spacing w:after="0"/>
              <w:rPr>
                <w:sz w:val="20"/>
                <w:szCs w:val="20"/>
                <w:color w:val="auto"/>
              </w:rPr>
            </w:pPr>
            <w:r>
              <w:rPr>
                <w:rFonts w:ascii="Arial" w:cs="Arial" w:eastAsia="Arial" w:hAnsi="Arial"/>
                <w:sz w:val="12"/>
                <w:szCs w:val="12"/>
                <w:b w:val="1"/>
                <w:bCs w:val="1"/>
                <w:color w:val="auto"/>
              </w:rPr>
              <w:t>Loans</w:t>
            </w:r>
          </w:p>
        </w:tc>
        <w:tc>
          <w:tcPr>
            <w:tcW w:w="0" w:type="dxa"/>
            <w:vAlign w:val="bottom"/>
          </w:tcPr>
          <w:p>
            <w:pPr>
              <w:spacing w:after="0"/>
              <w:rPr>
                <w:sz w:val="1"/>
                <w:szCs w:val="1"/>
                <w:color w:val="auto"/>
              </w:rPr>
            </w:pPr>
          </w:p>
        </w:tc>
      </w:tr>
      <w:tr>
        <w:trPr>
          <w:trHeight w:val="20"/>
        </w:trPr>
        <w:tc>
          <w:tcPr>
            <w:tcW w:w="132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Real estate:</w:t>
            </w:r>
          </w:p>
        </w:tc>
        <w:tc>
          <w:tcPr>
            <w:tcW w:w="20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20" w:type="dxa"/>
            <w:vAlign w:val="bottom"/>
            <w:gridSpan w:val="2"/>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5,481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412,724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418,205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5,039</w:t>
            </w:r>
          </w:p>
        </w:tc>
        <w:tc>
          <w:tcPr>
            <w:tcW w:w="0" w:type="dxa"/>
            <w:vAlign w:val="bottom"/>
          </w:tcPr>
          <w:p>
            <w:pPr>
              <w:spacing w:after="0"/>
              <w:rPr>
                <w:sz w:val="1"/>
                <w:szCs w:val="1"/>
                <w:color w:val="auto"/>
              </w:rPr>
            </w:pPr>
          </w:p>
        </w:tc>
      </w:tr>
      <w:tr>
        <w:trPr>
          <w:trHeight w:val="186"/>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502,495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502,523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85"/>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7,803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7,803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243,453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251,256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7,803</w:t>
            </w:r>
          </w:p>
        </w:tc>
        <w:tc>
          <w:tcPr>
            <w:tcW w:w="0" w:type="dxa"/>
            <w:vAlign w:val="bottom"/>
          </w:tcPr>
          <w:p>
            <w:pPr>
              <w:spacing w:after="0"/>
              <w:rPr>
                <w:sz w:val="1"/>
                <w:szCs w:val="1"/>
                <w:color w:val="auto"/>
              </w:rPr>
            </w:pPr>
          </w:p>
        </w:tc>
      </w:tr>
      <w:tr>
        <w:trPr>
          <w:trHeight w:val="186"/>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141,552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143,244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695</w:t>
            </w:r>
          </w:p>
        </w:tc>
        <w:tc>
          <w:tcPr>
            <w:tcW w:w="0" w:type="dxa"/>
            <w:vAlign w:val="bottom"/>
          </w:tcPr>
          <w:p>
            <w:pPr>
              <w:spacing w:after="0"/>
              <w:rPr>
                <w:sz w:val="1"/>
                <w:szCs w:val="1"/>
                <w:color w:val="auto"/>
              </w:rPr>
            </w:pPr>
          </w:p>
        </w:tc>
      </w:tr>
      <w:tr>
        <w:trPr>
          <w:trHeight w:val="185"/>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17,970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117,009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134,979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1,425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1,425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32,974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1,418,658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1,451,632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13,565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3,860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6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December 31, 2020</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Real estate:</w:t>
            </w:r>
          </w:p>
        </w:tc>
        <w:tc>
          <w:tcPr>
            <w:tcW w:w="2080" w:type="dxa"/>
            <w:vAlign w:val="bottom"/>
            <w:tcBorders>
              <w:top w:val="single" w:sz="8" w:color="CCEEFF"/>
            </w:tcBorders>
            <w:gridSpan w:val="2"/>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433,292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3,581</w:t>
            </w:r>
          </w:p>
        </w:tc>
        <w:tc>
          <w:tcPr>
            <w:tcW w:w="0" w:type="dxa"/>
            <w:vAlign w:val="bottom"/>
          </w:tcPr>
          <w:p>
            <w:pPr>
              <w:spacing w:after="0"/>
              <w:rPr>
                <w:sz w:val="1"/>
                <w:szCs w:val="1"/>
                <w:color w:val="auto"/>
              </w:rPr>
            </w:pPr>
          </w:p>
        </w:tc>
      </w:tr>
      <w:tr>
        <w:trPr>
          <w:trHeight w:val="185"/>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389,931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392,550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186"/>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223,018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185"/>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155,900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157,127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85"/>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88,369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1,292,159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1,316,276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4,675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There were two loans secured by one-to-four family residential properties in the process of foreclosure at September 30, 2021 that amounted to $607 thousand. At December 31, 2020 there was a loan secured by a one-to-four family residential property in the process of foreclosure that amounted to $175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24"/>
          <w:szCs w:val="24"/>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-173355</wp:posOffset>
            </wp:positionV>
            <wp:extent cx="696658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96658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ectPr>
          <w:pgSz w:w="11900" w:h="16838" w:orient="portrait"/>
          <w:cols w:equalWidth="0" w:num="1">
            <w:col w:w="11020"/>
          </w:cols>
          <w:pgMar w:left="640" w:top="6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Impaired loans were as follows:</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Impaired Loans</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(in thousands)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4"/>
          <w:szCs w:val="14"/>
          <w:b w:val="1"/>
          <w:bCs w:val="1"/>
          <w:u w:val="single" w:color="auto"/>
          <w:color w:val="auto"/>
        </w:rPr>
        <w:t>September 30, 2021</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Real estate:</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Residential</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Commercial</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Construction</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Commercial and Industrial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440" w:type="dxa"/>
            <w:vAlign w:val="bottom"/>
          </w:tcPr>
          <w:p>
            <w:pPr>
              <w:spacing w:after="0"/>
              <w:rPr>
                <w:sz w:val="12"/>
                <w:szCs w:val="12"/>
                <w:color w:val="auto"/>
              </w:rPr>
            </w:pPr>
          </w:p>
        </w:tc>
        <w:tc>
          <w:tcPr>
            <w:tcW w:w="1100" w:type="dxa"/>
            <w:vAlign w:val="bottom"/>
            <w:gridSpan w:val="2"/>
          </w:tcPr>
          <w:p>
            <w:pPr>
              <w:ind w:left="220"/>
              <w:spacing w:after="0"/>
              <w:rPr>
                <w:sz w:val="20"/>
                <w:szCs w:val="20"/>
                <w:color w:val="auto"/>
              </w:rPr>
            </w:pPr>
            <w:r>
              <w:rPr>
                <w:rFonts w:ascii="Arial" w:cs="Arial" w:eastAsia="Arial" w:hAnsi="Arial"/>
                <w:sz w:val="12"/>
                <w:szCs w:val="12"/>
                <w:b w:val="1"/>
                <w:bCs w:val="1"/>
                <w:color w:val="auto"/>
              </w:rPr>
              <w:t>Unpaid</w:t>
            </w:r>
          </w:p>
        </w:tc>
        <w:tc>
          <w:tcPr>
            <w:tcW w:w="420" w:type="dxa"/>
            <w:vAlign w:val="bottom"/>
          </w:tcPr>
          <w:p>
            <w:pPr>
              <w:spacing w:after="0"/>
              <w:rPr>
                <w:sz w:val="12"/>
                <w:szCs w:val="12"/>
                <w:color w:val="auto"/>
              </w:rPr>
            </w:pPr>
          </w:p>
        </w:tc>
        <w:tc>
          <w:tcPr>
            <w:tcW w:w="1140" w:type="dxa"/>
            <w:vAlign w:val="bottom"/>
            <w:gridSpan w:val="2"/>
          </w:tcPr>
          <w:p>
            <w:pPr>
              <w:ind w:left="180"/>
              <w:spacing w:after="0"/>
              <w:rPr>
                <w:sz w:val="20"/>
                <w:szCs w:val="20"/>
                <w:color w:val="auto"/>
              </w:rPr>
            </w:pPr>
            <w:r>
              <w:rPr>
                <w:rFonts w:ascii="Arial" w:cs="Arial" w:eastAsia="Arial" w:hAnsi="Arial"/>
                <w:sz w:val="12"/>
                <w:szCs w:val="12"/>
                <w:b w:val="1"/>
                <w:bCs w:val="1"/>
                <w:color w:val="auto"/>
              </w:rPr>
              <w:t>Recorded</w:t>
            </w:r>
          </w:p>
        </w:tc>
        <w:tc>
          <w:tcPr>
            <w:tcW w:w="1500" w:type="dxa"/>
            <w:vAlign w:val="bottom"/>
            <w:gridSpan w:val="3"/>
          </w:tcPr>
          <w:p>
            <w:pPr>
              <w:ind w:left="560"/>
              <w:spacing w:after="0"/>
              <w:rPr>
                <w:sz w:val="20"/>
                <w:szCs w:val="20"/>
                <w:color w:val="auto"/>
              </w:rPr>
            </w:pPr>
            <w:r>
              <w:rPr>
                <w:rFonts w:ascii="Arial" w:cs="Arial" w:eastAsia="Arial" w:hAnsi="Arial"/>
                <w:sz w:val="12"/>
                <w:szCs w:val="12"/>
                <w:b w:val="1"/>
                <w:bCs w:val="1"/>
                <w:color w:val="auto"/>
              </w:rPr>
              <w:t>Recorded</w:t>
            </w:r>
          </w:p>
        </w:tc>
        <w:tc>
          <w:tcPr>
            <w:tcW w:w="420" w:type="dxa"/>
            <w:vAlign w:val="bottom"/>
          </w:tcPr>
          <w:p>
            <w:pPr>
              <w:spacing w:after="0"/>
              <w:rPr>
                <w:sz w:val="12"/>
                <w:szCs w:val="12"/>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Total</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5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Contractual</w:t>
            </w:r>
          </w:p>
        </w:tc>
        <w:tc>
          <w:tcPr>
            <w:tcW w:w="1560" w:type="dxa"/>
            <w:vAlign w:val="bottom"/>
            <w:gridSpan w:val="3"/>
          </w:tcPr>
          <w:p>
            <w:pPr>
              <w:jc w:val="center"/>
              <w:ind w:right="120"/>
              <w:spacing w:after="0" w:line="120" w:lineRule="exact"/>
              <w:rPr>
                <w:sz w:val="20"/>
                <w:szCs w:val="20"/>
                <w:color w:val="auto"/>
              </w:rPr>
            </w:pPr>
            <w:r>
              <w:rPr>
                <w:rFonts w:ascii="Arial" w:cs="Arial" w:eastAsia="Arial" w:hAnsi="Arial"/>
                <w:sz w:val="12"/>
                <w:szCs w:val="12"/>
                <w:b w:val="1"/>
                <w:bCs w:val="1"/>
                <w:color w:val="auto"/>
              </w:rPr>
              <w:t>Investment</w:t>
            </w:r>
          </w:p>
        </w:tc>
        <w:tc>
          <w:tcPr>
            <w:tcW w:w="1040" w:type="dxa"/>
            <w:vAlign w:val="bottom"/>
          </w:tcPr>
          <w:p>
            <w:pPr>
              <w:jc w:val="center"/>
              <w:ind w:left="276"/>
              <w:spacing w:after="0" w:line="120" w:lineRule="exact"/>
              <w:rPr>
                <w:sz w:val="20"/>
                <w:szCs w:val="20"/>
                <w:color w:val="auto"/>
              </w:rPr>
            </w:pPr>
            <w:r>
              <w:rPr>
                <w:rFonts w:ascii="Arial" w:cs="Arial" w:eastAsia="Arial" w:hAnsi="Arial"/>
                <w:sz w:val="12"/>
                <w:szCs w:val="12"/>
                <w:b w:val="1"/>
                <w:bCs w:val="1"/>
                <w:color w:val="auto"/>
              </w:rPr>
              <w:t>Investment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60" w:type="dxa"/>
            <w:vAlign w:val="bottom"/>
            <w:vMerge w:val="restart"/>
          </w:tcPr>
          <w:p>
            <w:pPr>
              <w:jc w:val="right"/>
              <w:ind w:right="14"/>
              <w:spacing w:after="0"/>
              <w:rPr>
                <w:sz w:val="20"/>
                <w:szCs w:val="20"/>
                <w:color w:val="auto"/>
              </w:rPr>
            </w:pPr>
            <w:r>
              <w:rPr>
                <w:rFonts w:ascii="Arial" w:cs="Arial" w:eastAsia="Arial" w:hAnsi="Arial"/>
                <w:sz w:val="12"/>
                <w:szCs w:val="12"/>
                <w:b w:val="1"/>
                <w:bCs w:val="1"/>
                <w:color w:val="auto"/>
              </w:rPr>
              <w:t>Related</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1100" w:type="dxa"/>
            <w:vAlign w:val="bottom"/>
            <w:gridSpan w:val="2"/>
          </w:tcPr>
          <w:p>
            <w:pPr>
              <w:jc w:val="center"/>
              <w:ind w:right="540"/>
              <w:spacing w:after="0" w:line="120" w:lineRule="exact"/>
              <w:rPr>
                <w:sz w:val="20"/>
                <w:szCs w:val="20"/>
                <w:color w:val="auto"/>
              </w:rPr>
            </w:pPr>
            <w:r>
              <w:rPr>
                <w:rFonts w:ascii="Arial" w:cs="Arial" w:eastAsia="Arial" w:hAnsi="Arial"/>
                <w:sz w:val="12"/>
                <w:szCs w:val="12"/>
                <w:b w:val="1"/>
                <w:bCs w:val="1"/>
                <w:color w:val="auto"/>
              </w:rPr>
              <w:t>Principal</w:t>
            </w:r>
          </w:p>
        </w:tc>
        <w:tc>
          <w:tcPr>
            <w:tcW w:w="420" w:type="dxa"/>
            <w:vAlign w:val="bottom"/>
          </w:tcPr>
          <w:p>
            <w:pPr>
              <w:spacing w:after="0"/>
              <w:rPr>
                <w:sz w:val="10"/>
                <w:szCs w:val="10"/>
                <w:color w:val="auto"/>
              </w:rPr>
            </w:pPr>
          </w:p>
        </w:tc>
        <w:tc>
          <w:tcPr>
            <w:tcW w:w="1140" w:type="dxa"/>
            <w:vAlign w:val="bottom"/>
            <w:gridSpan w:val="2"/>
          </w:tcPr>
          <w:p>
            <w:pPr>
              <w:jc w:val="center"/>
              <w:ind w:right="540"/>
              <w:spacing w:after="0" w:line="120" w:lineRule="exact"/>
              <w:rPr>
                <w:sz w:val="20"/>
                <w:szCs w:val="20"/>
                <w:color w:val="auto"/>
              </w:rPr>
            </w:pPr>
            <w:r>
              <w:rPr>
                <w:rFonts w:ascii="Arial" w:cs="Arial" w:eastAsia="Arial" w:hAnsi="Arial"/>
                <w:sz w:val="12"/>
                <w:szCs w:val="12"/>
                <w:b w:val="1"/>
                <w:bCs w:val="1"/>
                <w:color w:val="auto"/>
              </w:rPr>
              <w:t>With No</w:t>
            </w:r>
          </w:p>
        </w:tc>
        <w:tc>
          <w:tcPr>
            <w:tcW w:w="1040" w:type="dxa"/>
            <w:vAlign w:val="bottom"/>
          </w:tcPr>
          <w:p>
            <w:pPr>
              <w:jc w:val="center"/>
              <w:ind w:left="276"/>
              <w:spacing w:after="0" w:line="120" w:lineRule="exact"/>
              <w:rPr>
                <w:sz w:val="20"/>
                <w:szCs w:val="20"/>
                <w:color w:val="auto"/>
              </w:rPr>
            </w:pPr>
            <w:r>
              <w:rPr>
                <w:rFonts w:ascii="Arial" w:cs="Arial" w:eastAsia="Arial" w:hAnsi="Arial"/>
                <w:sz w:val="12"/>
                <w:szCs w:val="12"/>
                <w:b w:val="1"/>
                <w:bCs w:val="1"/>
                <w:color w:val="auto"/>
                <w:w w:val="99"/>
              </w:rPr>
              <w:t>With</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2"/>
          </w:tcPr>
          <w:p>
            <w:pPr>
              <w:jc w:val="center"/>
              <w:ind w:right="540"/>
              <w:spacing w:after="0" w:line="120" w:lineRule="exact"/>
              <w:rPr>
                <w:sz w:val="20"/>
                <w:szCs w:val="20"/>
                <w:color w:val="auto"/>
              </w:rPr>
            </w:pPr>
            <w:r>
              <w:rPr>
                <w:rFonts w:ascii="Arial" w:cs="Arial" w:eastAsia="Arial" w:hAnsi="Arial"/>
                <w:sz w:val="12"/>
                <w:szCs w:val="12"/>
                <w:b w:val="1"/>
                <w:bCs w:val="1"/>
                <w:color w:val="auto"/>
              </w:rPr>
              <w:t>Recorded</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73"/>
              <w:spacing w:after="0"/>
              <w:rPr>
                <w:sz w:val="20"/>
                <w:szCs w:val="20"/>
                <w:color w:val="auto"/>
              </w:rPr>
            </w:pPr>
            <w:r>
              <w:rPr>
                <w:rFonts w:ascii="Arial" w:cs="Arial" w:eastAsia="Arial" w:hAnsi="Arial"/>
                <w:sz w:val="12"/>
                <w:szCs w:val="12"/>
                <w:b w:val="1"/>
                <w:bCs w:val="1"/>
                <w:color w:val="auto"/>
              </w:rPr>
              <w:t>Balance</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53"/>
              <w:spacing w:after="0"/>
              <w:rPr>
                <w:sz w:val="20"/>
                <w:szCs w:val="20"/>
                <w:color w:val="auto"/>
              </w:rPr>
            </w:pPr>
            <w:r>
              <w:rPr>
                <w:rFonts w:ascii="Arial" w:cs="Arial" w:eastAsia="Arial" w:hAnsi="Arial"/>
                <w:sz w:val="12"/>
                <w:szCs w:val="12"/>
                <w:b w:val="1"/>
                <w:bCs w:val="1"/>
                <w:color w:val="auto"/>
              </w:rPr>
              <w:t>Allowance</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center"/>
              <w:ind w:left="276"/>
              <w:spacing w:after="0"/>
              <w:rPr>
                <w:sz w:val="20"/>
                <w:szCs w:val="20"/>
                <w:color w:val="auto"/>
              </w:rPr>
            </w:pPr>
            <w:r>
              <w:rPr>
                <w:rFonts w:ascii="Arial" w:cs="Arial" w:eastAsia="Arial" w:hAnsi="Arial"/>
                <w:sz w:val="12"/>
                <w:szCs w:val="12"/>
                <w:b w:val="1"/>
                <w:bCs w:val="1"/>
                <w:color w:val="auto"/>
              </w:rPr>
              <w:t>Allowance</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rPr>
              <w:t>Allowance</w:t>
            </w:r>
          </w:p>
        </w:tc>
        <w:tc>
          <w:tcPr>
            <w:tcW w:w="0" w:type="dxa"/>
            <w:vAlign w:val="bottom"/>
          </w:tcPr>
          <w:p>
            <w:pPr>
              <w:spacing w:after="0"/>
              <w:rPr>
                <w:sz w:val="1"/>
                <w:szCs w:val="1"/>
                <w:color w:val="auto"/>
              </w:rPr>
            </w:pPr>
          </w:p>
        </w:tc>
      </w:tr>
      <w:tr>
        <w:trPr>
          <w:trHeight w:val="356"/>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rPr>
              <w:t>5,221</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5,039</w:t>
            </w:r>
          </w:p>
        </w:tc>
        <w:tc>
          <w:tcPr>
            <w:tcW w:w="120" w:type="dxa"/>
            <w:vAlign w:val="bottom"/>
          </w:tcPr>
          <w:p>
            <w:pPr>
              <w:spacing w:after="0"/>
              <w:rPr>
                <w:sz w:val="24"/>
                <w:szCs w:val="24"/>
                <w:color w:val="auto"/>
              </w:rPr>
            </w:pPr>
          </w:p>
        </w:tc>
        <w:tc>
          <w:tcPr>
            <w:tcW w:w="1040" w:type="dxa"/>
            <w:vAlign w:val="bottom"/>
          </w:tcPr>
          <w:p>
            <w:pPr>
              <w:jc w:val="right"/>
              <w:ind w:right="556"/>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5,039</w:t>
            </w:r>
          </w:p>
        </w:tc>
        <w:tc>
          <w:tcPr>
            <w:tcW w:w="120" w:type="dxa"/>
            <w:vAlign w:val="bottom"/>
          </w:tcPr>
          <w:p>
            <w:pPr>
              <w:spacing w:after="0"/>
              <w:rPr>
                <w:sz w:val="24"/>
                <w:szCs w:val="24"/>
                <w:color w:val="auto"/>
              </w:rPr>
            </w:pPr>
          </w:p>
        </w:tc>
        <w:tc>
          <w:tcPr>
            <w:tcW w:w="1160" w:type="dxa"/>
            <w:vAlign w:val="bottom"/>
          </w:tcPr>
          <w:p>
            <w:pPr>
              <w:jc w:val="right"/>
              <w:ind w:right="6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rPr>
              <w:t>7,885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7,803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7,803</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b w:val="1"/>
                <w:bCs w:val="1"/>
                <w:color w:val="auto"/>
              </w:rPr>
              <w:t>840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340</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355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695</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-469265</wp:posOffset>
            </wp:positionV>
            <wp:extent cx="6995160" cy="1174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17475"/>
                    </a:xfrm>
                    <a:prstGeom prst="rect">
                      <a:avLst/>
                    </a:prstGeom>
                    <a:noFill/>
                  </pic:spPr>
                </pic:pic>
              </a:graphicData>
            </a:graphic>
          </wp:anchor>
        </w:drawing>
        <w:drawing>
          <wp:anchor simplePos="0" relativeHeight="251657728" behindDoc="1" locked="0" layoutInCell="0" allowOverlap="1">
            <wp:simplePos x="0" y="0"/>
            <wp:positionH relativeFrom="column">
              <wp:posOffset>-2346325</wp:posOffset>
            </wp:positionH>
            <wp:positionV relativeFrom="paragraph">
              <wp:posOffset>-233680</wp:posOffset>
            </wp:positionV>
            <wp:extent cx="6995160" cy="1181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181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80" w:space="720"/>
            <w:col w:w="7320"/>
          </w:cols>
          <w:pgMar w:left="640" w:top="614"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68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14,036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13,565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06"/>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above</w:t>
            </w:r>
          </w:p>
        </w:tc>
        <w:tc>
          <w:tcPr>
            <w:tcW w:w="68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441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7"/>
                <w:szCs w:val="17"/>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66"/>
        </w:trPr>
        <w:tc>
          <w:tcPr>
            <w:tcW w:w="3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20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r>
      <w:tr>
        <w:trPr>
          <w:trHeight w:val="185"/>
        </w:trPr>
        <w:tc>
          <w:tcPr>
            <w:tcW w:w="34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4"/>
                <w:szCs w:val="14"/>
                <w:color w:val="auto"/>
              </w:rPr>
              <w:t>Real estate:</w:t>
            </w: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6"/>
        </w:trPr>
        <w:tc>
          <w:tcPr>
            <w:tcW w:w="34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6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3,960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3360" w:type="dxa"/>
            <w:vAlign w:val="bottom"/>
            <w:gridSpan w:val="2"/>
          </w:tcPr>
          <w:p>
            <w:pPr>
              <w:ind w:left="120"/>
              <w:spacing w:after="0"/>
              <w:rPr>
                <w:sz w:val="20"/>
                <w:szCs w:val="20"/>
                <w:color w:val="auto"/>
              </w:rPr>
            </w:pPr>
            <w:r>
              <w:rPr>
                <w:rFonts w:ascii="Arial" w:cs="Arial" w:eastAsia="Arial" w:hAnsi="Arial"/>
                <w:sz w:val="14"/>
                <w:szCs w:val="14"/>
                <w:color w:val="auto"/>
              </w:rPr>
              <w:t>Commercial</w:t>
            </w:r>
          </w:p>
        </w:tc>
        <w:tc>
          <w:tcPr>
            <w:tcW w:w="68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6"/>
        </w:trPr>
        <w:tc>
          <w:tcPr>
            <w:tcW w:w="34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Commercial and Industrial</w:t>
            </w:r>
          </w:p>
        </w:tc>
        <w:tc>
          <w:tcPr>
            <w:tcW w:w="6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1,344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04"/>
        </w:trPr>
        <w:tc>
          <w:tcPr>
            <w:tcW w:w="340" w:type="dxa"/>
            <w:vAlign w:val="bottom"/>
            <w:tcBorders>
              <w:bottom w:val="single" w:sz="8" w:color="CCEEFF"/>
            </w:tcBorders>
            <w:shd w:val="clear" w:color="auto" w:fill="CCEEFF"/>
          </w:tcPr>
          <w:p>
            <w:pPr>
              <w:spacing w:after="0"/>
              <w:rPr>
                <w:sz w:val="17"/>
                <w:szCs w:val="17"/>
                <w:color w:val="auto"/>
              </w:rPr>
            </w:pPr>
          </w:p>
        </w:tc>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9,790</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9,572</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9,963</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06"/>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Acquired loans included above</w:t>
            </w:r>
          </w:p>
        </w:tc>
        <w:tc>
          <w:tcPr>
            <w:tcW w:w="6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interest recognized on impaired loans: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Interest Recognized on Impaired Loans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300" w:type="dxa"/>
            <w:vAlign w:val="bottom"/>
            <w:gridSpan w:val="7"/>
          </w:tcPr>
          <w:p>
            <w:pPr>
              <w:ind w:left="420"/>
              <w:spacing w:after="0"/>
              <w:rPr>
                <w:sz w:val="20"/>
                <w:szCs w:val="20"/>
                <w:color w:val="auto"/>
              </w:rPr>
            </w:pPr>
            <w:r>
              <w:rPr>
                <w:rFonts w:ascii="Arial" w:cs="Arial" w:eastAsia="Arial" w:hAnsi="Arial"/>
                <w:sz w:val="14"/>
                <w:szCs w:val="14"/>
                <w:b w:val="1"/>
                <w:bCs w:val="1"/>
                <w:color w:val="auto"/>
              </w:rPr>
              <w:t>For the Three Months Ended September</w:t>
            </w:r>
          </w:p>
        </w:tc>
        <w:tc>
          <w:tcPr>
            <w:tcW w:w="298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30, 2021</w:t>
            </w: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gridSpan w:val="3"/>
          </w:tcPr>
          <w:p>
            <w:pPr>
              <w:jc w:val="right"/>
              <w:ind w:right="760"/>
              <w:spacing w:after="0" w:line="113" w:lineRule="exact"/>
              <w:rPr>
                <w:sz w:val="20"/>
                <w:szCs w:val="20"/>
                <w:color w:val="auto"/>
              </w:rPr>
            </w:pPr>
            <w:r>
              <w:rPr>
                <w:rFonts w:ascii="Arial" w:cs="Arial" w:eastAsia="Arial" w:hAnsi="Arial"/>
                <w:sz w:val="12"/>
                <w:szCs w:val="12"/>
                <w:b w:val="1"/>
                <w:bCs w:val="1"/>
                <w:color w:val="auto"/>
              </w:rPr>
              <w:t>Average</w:t>
            </w:r>
          </w:p>
        </w:tc>
        <w:tc>
          <w:tcPr>
            <w:tcW w:w="9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Interest</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60" w:type="dxa"/>
            <w:vAlign w:val="bottom"/>
            <w:gridSpan w:val="3"/>
          </w:tcPr>
          <w:p>
            <w:pPr>
              <w:jc w:val="right"/>
              <w:ind w:right="720"/>
              <w:spacing w:after="0" w:line="113" w:lineRule="exact"/>
              <w:rPr>
                <w:sz w:val="20"/>
                <w:szCs w:val="20"/>
                <w:color w:val="auto"/>
              </w:rPr>
            </w:pPr>
            <w:r>
              <w:rPr>
                <w:rFonts w:ascii="Arial" w:cs="Arial" w:eastAsia="Arial" w:hAnsi="Arial"/>
                <w:sz w:val="12"/>
                <w:szCs w:val="12"/>
                <w:b w:val="1"/>
                <w:bCs w:val="1"/>
                <w:color w:val="auto"/>
              </w:rPr>
              <w:t>Average</w:t>
            </w: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gridSpan w:val="3"/>
          </w:tcPr>
          <w:p>
            <w:pPr>
              <w:jc w:val="center"/>
              <w:ind w:right="820"/>
              <w:spacing w:after="0" w:line="120" w:lineRule="exact"/>
              <w:rPr>
                <w:sz w:val="20"/>
                <w:szCs w:val="20"/>
                <w:color w:val="auto"/>
              </w:rPr>
            </w:pPr>
            <w:r>
              <w:rPr>
                <w:rFonts w:ascii="Arial" w:cs="Arial" w:eastAsia="Arial" w:hAnsi="Arial"/>
                <w:sz w:val="12"/>
                <w:szCs w:val="12"/>
                <w:b w:val="1"/>
                <w:bCs w:val="1"/>
                <w:color w:val="auto"/>
              </w:rPr>
              <w:t>Recorded</w:t>
            </w:r>
          </w:p>
        </w:tc>
        <w:tc>
          <w:tcPr>
            <w:tcW w:w="9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gridSpan w:val="3"/>
          </w:tcPr>
          <w:p>
            <w:pPr>
              <w:jc w:val="center"/>
              <w:ind w:right="780"/>
              <w:spacing w:after="0" w:line="120" w:lineRule="exact"/>
              <w:rPr>
                <w:sz w:val="20"/>
                <w:szCs w:val="20"/>
                <w:color w:val="auto"/>
              </w:rPr>
            </w:pPr>
            <w:r>
              <w:rPr>
                <w:rFonts w:ascii="Arial" w:cs="Arial" w:eastAsia="Arial" w:hAnsi="Arial"/>
                <w:sz w:val="12"/>
                <w:szCs w:val="12"/>
                <w:b w:val="1"/>
                <w:bCs w:val="1"/>
                <w:color w:val="auto"/>
              </w:rPr>
              <w:t>Recorded</w:t>
            </w:r>
          </w:p>
        </w:tc>
        <w:tc>
          <w:tcPr>
            <w:tcW w:w="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74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40" w:type="dxa"/>
            <w:vAlign w:val="bottom"/>
          </w:tcPr>
          <w:p>
            <w:pPr>
              <w:spacing w:after="0"/>
              <w:rPr>
                <w:sz w:val="14"/>
                <w:szCs w:val="14"/>
                <w:color w:val="auto"/>
              </w:rPr>
            </w:pPr>
          </w:p>
        </w:tc>
        <w:tc>
          <w:tcPr>
            <w:tcW w:w="1500" w:type="dxa"/>
            <w:vAlign w:val="bottom"/>
            <w:gridSpan w:val="3"/>
          </w:tcPr>
          <w:p>
            <w:pPr>
              <w:jc w:val="center"/>
              <w:ind w:right="820"/>
              <w:spacing w:after="0"/>
              <w:rPr>
                <w:sz w:val="20"/>
                <w:szCs w:val="20"/>
                <w:color w:val="auto"/>
              </w:rPr>
            </w:pPr>
            <w:r>
              <w:rPr>
                <w:rFonts w:ascii="Arial" w:cs="Arial" w:eastAsia="Arial" w:hAnsi="Arial"/>
                <w:sz w:val="12"/>
                <w:szCs w:val="12"/>
                <w:b w:val="1"/>
                <w:bCs w:val="1"/>
                <w:color w:val="auto"/>
              </w:rPr>
              <w:t>Investment</w:t>
            </w:r>
          </w:p>
        </w:tc>
        <w:tc>
          <w:tcPr>
            <w:tcW w:w="920" w:type="dxa"/>
            <w:vAlign w:val="bottom"/>
          </w:tcPr>
          <w:p>
            <w:pPr>
              <w:jc w:val="right"/>
              <w:ind w:right="14"/>
              <w:spacing w:after="0"/>
              <w:rPr>
                <w:sz w:val="20"/>
                <w:szCs w:val="20"/>
                <w:color w:val="auto"/>
              </w:rPr>
            </w:pPr>
            <w:r>
              <w:rPr>
                <w:rFonts w:ascii="Arial" w:cs="Arial" w:eastAsia="Arial" w:hAnsi="Arial"/>
                <w:sz w:val="12"/>
                <w:szCs w:val="12"/>
                <w:b w:val="1"/>
                <w:bCs w:val="1"/>
                <w:color w:val="auto"/>
              </w:rPr>
              <w:t>Recognized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3"/>
          </w:tcPr>
          <w:p>
            <w:pPr>
              <w:jc w:val="center"/>
              <w:ind w:right="780"/>
              <w:spacing w:after="0"/>
              <w:rPr>
                <w:sz w:val="20"/>
                <w:szCs w:val="20"/>
                <w:color w:val="auto"/>
              </w:rPr>
            </w:pPr>
            <w:r>
              <w:rPr>
                <w:rFonts w:ascii="Arial" w:cs="Arial" w:eastAsia="Arial" w:hAnsi="Arial"/>
                <w:sz w:val="12"/>
                <w:szCs w:val="12"/>
                <w:b w:val="1"/>
                <w:bCs w:val="1"/>
                <w:color w:val="auto"/>
              </w:rPr>
              <w:t>Investment</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Recognized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94"/>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94"/>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tcPr>
          <w:p>
            <w:pPr>
              <w:ind w:left="46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7,885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6"/>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Commercial and Industrial</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14,253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14,261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243205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14" w:right="239" w:bottom="1440" w:gutter="0" w:footer="0" w:header="0"/>
          <w:type w:val="continuous"/>
        </w:sectPr>
      </w:pPr>
    </w:p>
    <w:bookmarkStart w:id="26" w:name="page27"/>
    <w:bookmarkEnd w:id="26"/>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Interest Recognized on Impaired Loans</w:t>
      </w:r>
    </w:p>
    <w:p>
      <w:pPr>
        <w:spacing w:after="0" w:line="1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3"/>
          </w:tcPr>
          <w:p>
            <w:pPr>
              <w:ind w:left="26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3"/>
          </w:tcPr>
          <w:p>
            <w:pPr>
              <w:ind w:left="300"/>
              <w:spacing w:after="0"/>
              <w:rPr>
                <w:sz w:val="20"/>
                <w:szCs w:val="20"/>
                <w:color w:val="auto"/>
              </w:rPr>
            </w:pPr>
            <w:r>
              <w:rPr>
                <w:rFonts w:ascii="Arial" w:cs="Arial" w:eastAsia="Arial" w:hAnsi="Arial"/>
                <w:sz w:val="14"/>
                <w:szCs w:val="14"/>
                <w:b w:val="1"/>
                <w:bCs w:val="1"/>
                <w:color w:val="auto"/>
              </w:rPr>
              <w:t>For the Nine Months Ended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September 30, 2020</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September 30, 2020</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gridSpan w:val="2"/>
          </w:tcPr>
          <w:p>
            <w:pPr>
              <w:ind w:left="220"/>
              <w:spacing w:after="0" w:line="113" w:lineRule="exact"/>
              <w:rPr>
                <w:sz w:val="20"/>
                <w:szCs w:val="20"/>
                <w:color w:val="auto"/>
              </w:rPr>
            </w:pPr>
            <w:r>
              <w:rPr>
                <w:rFonts w:ascii="Arial" w:cs="Arial" w:eastAsia="Arial" w:hAnsi="Arial"/>
                <w:sz w:val="12"/>
                <w:szCs w:val="12"/>
                <w:b w:val="1"/>
                <w:bCs w:val="1"/>
                <w:color w:val="auto"/>
              </w:rPr>
              <w:t>Average</w:t>
            </w:r>
          </w:p>
        </w:tc>
        <w:tc>
          <w:tcPr>
            <w:tcW w:w="1080" w:type="dxa"/>
            <w:vAlign w:val="bottom"/>
            <w:vMerge w:val="restart"/>
          </w:tcPr>
          <w:p>
            <w:pPr>
              <w:ind w:left="620"/>
              <w:spacing w:after="0"/>
              <w:rPr>
                <w:sz w:val="20"/>
                <w:szCs w:val="20"/>
                <w:color w:val="auto"/>
              </w:rPr>
            </w:pPr>
            <w:r>
              <w:rPr>
                <w:rFonts w:ascii="Arial" w:cs="Arial" w:eastAsia="Arial" w:hAnsi="Arial"/>
                <w:sz w:val="12"/>
                <w:szCs w:val="12"/>
                <w:b w:val="1"/>
                <w:bCs w:val="1"/>
                <w:color w:val="auto"/>
              </w:rPr>
              <w:t>Interest</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gridSpan w:val="2"/>
          </w:tcPr>
          <w:p>
            <w:pPr>
              <w:ind w:left="220"/>
              <w:spacing w:after="0" w:line="113" w:lineRule="exact"/>
              <w:rPr>
                <w:sz w:val="20"/>
                <w:szCs w:val="20"/>
                <w:color w:val="auto"/>
              </w:rPr>
            </w:pPr>
            <w:r>
              <w:rPr>
                <w:rFonts w:ascii="Arial" w:cs="Arial" w:eastAsia="Arial" w:hAnsi="Arial"/>
                <w:sz w:val="12"/>
                <w:szCs w:val="12"/>
                <w:b w:val="1"/>
                <w:bCs w:val="1"/>
                <w:color w:val="auto"/>
              </w:rPr>
              <w:t>Average</w:t>
            </w:r>
          </w:p>
        </w:tc>
        <w:tc>
          <w:tcPr>
            <w:tcW w:w="1100" w:type="dxa"/>
            <w:vAlign w:val="bottom"/>
            <w:vMerge w:val="restart"/>
          </w:tcPr>
          <w:p>
            <w:pPr>
              <w:ind w:left="640"/>
              <w:spacing w:after="0"/>
              <w:rPr>
                <w:sz w:val="20"/>
                <w:szCs w:val="20"/>
                <w:color w:val="auto"/>
              </w:rPr>
            </w:pPr>
            <w:r>
              <w:rPr>
                <w:rFonts w:ascii="Arial" w:cs="Arial" w:eastAsia="Arial" w:hAnsi="Arial"/>
                <w:sz w:val="12"/>
                <w:szCs w:val="12"/>
                <w:b w:val="1"/>
                <w:bCs w:val="1"/>
                <w:color w:val="auto"/>
              </w:rPr>
              <w:t>Interest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2"/>
          </w:tcPr>
          <w:p>
            <w:pPr>
              <w:jc w:val="center"/>
              <w:ind w:right="540"/>
              <w:spacing w:after="0" w:line="120" w:lineRule="exact"/>
              <w:rPr>
                <w:sz w:val="20"/>
                <w:szCs w:val="20"/>
                <w:color w:val="auto"/>
              </w:rPr>
            </w:pPr>
            <w:r>
              <w:rPr>
                <w:rFonts w:ascii="Arial" w:cs="Arial" w:eastAsia="Arial" w:hAnsi="Arial"/>
                <w:sz w:val="12"/>
                <w:szCs w:val="12"/>
                <w:b w:val="1"/>
                <w:bCs w:val="1"/>
                <w:color w:val="auto"/>
              </w:rPr>
              <w:t>Recorded</w:t>
            </w:r>
          </w:p>
        </w:tc>
        <w:tc>
          <w:tcPr>
            <w:tcW w:w="10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2"/>
          </w:tcPr>
          <w:p>
            <w:pPr>
              <w:jc w:val="center"/>
              <w:ind w:right="540"/>
              <w:spacing w:after="0" w:line="120" w:lineRule="exact"/>
              <w:rPr>
                <w:sz w:val="20"/>
                <w:szCs w:val="20"/>
                <w:color w:val="auto"/>
              </w:rPr>
            </w:pPr>
            <w:r>
              <w:rPr>
                <w:rFonts w:ascii="Arial" w:cs="Arial" w:eastAsia="Arial" w:hAnsi="Arial"/>
                <w:sz w:val="12"/>
                <w:szCs w:val="12"/>
                <w:b w:val="1"/>
                <w:bCs w:val="1"/>
                <w:color w:val="auto"/>
              </w:rPr>
              <w:t>Recorded</w:t>
            </w: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2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15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Investment</w:t>
            </w:r>
          </w:p>
        </w:tc>
        <w:tc>
          <w:tcPr>
            <w:tcW w:w="1080" w:type="dxa"/>
            <w:vAlign w:val="bottom"/>
          </w:tcPr>
          <w:p>
            <w:pPr>
              <w:ind w:left="340"/>
              <w:spacing w:after="0"/>
              <w:rPr>
                <w:sz w:val="20"/>
                <w:szCs w:val="20"/>
                <w:color w:val="auto"/>
              </w:rPr>
            </w:pPr>
            <w:r>
              <w:rPr>
                <w:rFonts w:ascii="Arial" w:cs="Arial" w:eastAsia="Arial" w:hAnsi="Arial"/>
                <w:sz w:val="12"/>
                <w:szCs w:val="12"/>
                <w:b w:val="1"/>
                <w:bCs w:val="1"/>
                <w:color w:val="auto"/>
              </w:rPr>
              <w:t>Recognized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Investment</w:t>
            </w:r>
          </w:p>
        </w:tc>
        <w:tc>
          <w:tcPr>
            <w:tcW w:w="1100" w:type="dxa"/>
            <w:vAlign w:val="bottom"/>
          </w:tcPr>
          <w:p>
            <w:pPr>
              <w:ind w:left="360"/>
              <w:spacing w:after="0"/>
              <w:rPr>
                <w:sz w:val="20"/>
                <w:szCs w:val="20"/>
                <w:color w:val="auto"/>
              </w:rPr>
            </w:pPr>
            <w:r>
              <w:rPr>
                <w:rFonts w:ascii="Arial" w:cs="Arial" w:eastAsia="Arial" w:hAnsi="Arial"/>
                <w:sz w:val="12"/>
                <w:szCs w:val="12"/>
                <w:b w:val="1"/>
                <w:bCs w:val="1"/>
                <w:color w:val="auto"/>
              </w:rPr>
              <w:t>Recognized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2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Residential</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1,860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20" w:type="dxa"/>
            <w:vAlign w:val="bottom"/>
          </w:tcPr>
          <w:p>
            <w:pPr>
              <w:ind w:left="460"/>
              <w:spacing w:after="0"/>
              <w:rPr>
                <w:sz w:val="20"/>
                <w:szCs w:val="20"/>
                <w:color w:val="auto"/>
              </w:rPr>
            </w:pPr>
            <w:r>
              <w:rPr>
                <w:rFonts w:ascii="Arial" w:cs="Arial" w:eastAsia="Arial" w:hAnsi="Arial"/>
                <w:sz w:val="14"/>
                <w:szCs w:val="14"/>
                <w:color w:val="auto"/>
              </w:rPr>
              <w:t>Commercial</w:t>
            </w:r>
          </w:p>
        </w:tc>
        <w:tc>
          <w:tcPr>
            <w:tcW w:w="42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1,616</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1,618</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2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Construction</w:t>
            </w: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6,531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169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6,462</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1</w:t>
            </w:r>
          </w:p>
        </w:tc>
        <w:tc>
          <w:tcPr>
            <w:tcW w:w="0" w:type="dxa"/>
            <w:vAlign w:val="bottom"/>
          </w:tcPr>
          <w:p>
            <w:pPr>
              <w:spacing w:after="0"/>
              <w:rPr>
                <w:sz w:val="1"/>
                <w:szCs w:val="1"/>
                <w:color w:val="auto"/>
              </w:rPr>
            </w:pPr>
          </w:p>
        </w:tc>
      </w:tr>
      <w:tr>
        <w:trPr>
          <w:trHeight w:val="186"/>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Commercial and Industrial</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1,813</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1,841</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11,820</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11,785</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2</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Impaired loans include loans acquired on which management has recorded a nonaccretable discount.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206"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3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 doubtful loan has all the weaknesses inherent as a substandard loan with the added characteristic that the weaknesses make collection or liquidation in full, on the basis of currently existing facts, conditions, and values, highly questionable and improbable.</w:t>
      </w:r>
    </w:p>
    <w:p>
      <w:pPr>
        <w:spacing w:after="0" w:line="203" w:lineRule="exact"/>
        <w:rPr>
          <w:sz w:val="20"/>
          <w:szCs w:val="20"/>
          <w:color w:val="auto"/>
        </w:rPr>
      </w:pPr>
    </w:p>
    <w:p>
      <w:pPr>
        <w:ind w:right="20" w:firstLine="318"/>
        <w:spacing w:after="0" w:line="251" w:lineRule="auto"/>
        <w:rPr>
          <w:sz w:val="20"/>
          <w:szCs w:val="20"/>
          <w:color w:val="auto"/>
        </w:rPr>
      </w:pPr>
      <w:r>
        <w:rPr>
          <w:rFonts w:ascii="Arial" w:cs="Arial" w:eastAsia="Arial" w:hAnsi="Arial"/>
          <w:sz w:val="18"/>
          <w:szCs w:val="18"/>
          <w:color w:val="auto"/>
        </w:rPr>
        <w:t>The following table presents the balances of classified loans based on the risk grade. Classified loans include Special Mention, Substandard, and Doubtful loans: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Portfolio Loan Classifications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1060" w:type="dxa"/>
            <w:vAlign w:val="bottom"/>
          </w:tcPr>
          <w:p>
            <w:pPr>
              <w:jc w:val="right"/>
              <w:ind w:right="29"/>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46"/>
        </w:trPr>
        <w:tc>
          <w:tcPr>
            <w:tcW w:w="20" w:type="dxa"/>
            <w:vAlign w:val="bottom"/>
          </w:tcPr>
          <w:p>
            <w:pPr>
              <w:spacing w:after="0"/>
              <w:rPr>
                <w:sz w:val="12"/>
                <w:szCs w:val="12"/>
                <w:color w:val="auto"/>
              </w:rPr>
            </w:pPr>
          </w:p>
        </w:tc>
        <w:tc>
          <w:tcPr>
            <w:tcW w:w="39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September 30, 2021</w:t>
            </w: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r>
      <w:tr>
        <w:trPr>
          <w:trHeight w:val="185"/>
        </w:trPr>
        <w:tc>
          <w:tcPr>
            <w:tcW w:w="20" w:type="dxa"/>
            <w:vAlign w:val="bottom"/>
            <w:shd w:val="clear" w:color="auto" w:fill="CCEEFF"/>
          </w:tcPr>
          <w:p>
            <w:pPr>
              <w:spacing w:after="0"/>
              <w:rPr>
                <w:sz w:val="16"/>
                <w:szCs w:val="16"/>
                <w:color w:val="auto"/>
              </w:rPr>
            </w:pPr>
          </w:p>
        </w:tc>
        <w:tc>
          <w:tcPr>
            <w:tcW w:w="1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Real estate:</w:t>
            </w:r>
          </w:p>
        </w:tc>
        <w:tc>
          <w:tcPr>
            <w:tcW w:w="2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406,197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5,733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6,275</w:t>
            </w:r>
          </w:p>
        </w:tc>
        <w:tc>
          <w:tcPr>
            <w:tcW w:w="120" w:type="dxa"/>
            <w:vAlign w:val="bottom"/>
          </w:tcPr>
          <w:p>
            <w:pPr>
              <w:spacing w:after="0"/>
              <w:rPr>
                <w:sz w:val="16"/>
                <w:szCs w:val="16"/>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b w:val="1"/>
                <w:bCs w:val="1"/>
                <w:color w:val="auto"/>
              </w:rPr>
              <w:t>$</w:t>
            </w: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418,205</w:t>
            </w:r>
          </w:p>
        </w:tc>
      </w:tr>
      <w:tr>
        <w:trPr>
          <w:trHeight w:val="186"/>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494,355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502,523</w:t>
            </w:r>
          </w:p>
        </w:tc>
      </w:tr>
      <w:tr>
        <w:trPr>
          <w:trHeight w:val="185"/>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238,426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5,027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7,803</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251,256</w:t>
            </w:r>
          </w:p>
        </w:tc>
      </w:tr>
      <w:tr>
        <w:trPr>
          <w:trHeight w:val="186"/>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129,890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1,502</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143,244</w:t>
            </w:r>
          </w:p>
        </w:tc>
      </w:tr>
      <w:tr>
        <w:trPr>
          <w:trHeight w:val="185"/>
        </w:trPr>
        <w:tc>
          <w:tcPr>
            <w:tcW w:w="20" w:type="dxa"/>
            <w:vAlign w:val="bottom"/>
          </w:tcPr>
          <w:p>
            <w:pPr>
              <w:spacing w:after="0"/>
              <w:rPr>
                <w:sz w:val="16"/>
                <w:szCs w:val="16"/>
                <w:color w:val="auto"/>
              </w:rPr>
            </w:pPr>
          </w:p>
        </w:tc>
        <w:tc>
          <w:tcPr>
            <w:tcW w:w="394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134,979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134,979</w:t>
            </w:r>
          </w:p>
        </w:tc>
      </w:tr>
      <w:tr>
        <w:trPr>
          <w:trHeight w:val="186"/>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1,425</w:t>
            </w:r>
          </w:p>
        </w:tc>
      </w:tr>
      <w:tr>
        <w:trPr>
          <w:trHeight w:val="179"/>
        </w:trPr>
        <w:tc>
          <w:tcPr>
            <w:tcW w:w="20" w:type="dxa"/>
            <w:vAlign w:val="bottom"/>
          </w:tcPr>
          <w:p>
            <w:pPr>
              <w:spacing w:after="0"/>
              <w:rPr>
                <w:sz w:val="15"/>
                <w:szCs w:val="15"/>
                <w:color w:val="auto"/>
              </w:rPr>
            </w:pPr>
          </w:p>
        </w:tc>
        <w:tc>
          <w:tcPr>
            <w:tcW w:w="3940" w:type="dxa"/>
            <w:vAlign w:val="bottom"/>
            <w:gridSpan w:val="3"/>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1,405,272</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30,752</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15,608</w:t>
            </w:r>
          </w:p>
        </w:tc>
        <w:tc>
          <w:tcPr>
            <w:tcW w:w="12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1,451,632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1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266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428,260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5,150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4,450</w:t>
            </w:r>
          </w:p>
        </w:tc>
        <w:tc>
          <w:tcPr>
            <w:tcW w:w="120" w:type="dxa"/>
            <w:vAlign w:val="bottom"/>
          </w:tcPr>
          <w:p>
            <w:pPr>
              <w:spacing w:after="0"/>
              <w:rPr>
                <w:sz w:val="16"/>
                <w:szCs w:val="16"/>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437,860</w:t>
            </w: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383,311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392,550</w:t>
            </w:r>
          </w:p>
        </w:tc>
      </w:tr>
      <w:tr>
        <w:trPr>
          <w:trHeight w:val="185"/>
        </w:trPr>
        <w:tc>
          <w:tcPr>
            <w:tcW w:w="20" w:type="dxa"/>
            <w:vAlign w:val="bottom"/>
          </w:tcPr>
          <w:p>
            <w:pPr>
              <w:spacing w:after="0"/>
              <w:rPr>
                <w:sz w:val="16"/>
                <w:szCs w:val="16"/>
                <w:color w:val="auto"/>
              </w:rPr>
            </w:pPr>
          </w:p>
        </w:tc>
        <w:tc>
          <w:tcPr>
            <w:tcW w:w="394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220,057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3,735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224,904</w:t>
            </w: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157,127</w:t>
            </w:r>
          </w:p>
        </w:tc>
      </w:tr>
      <w:tr>
        <w:trPr>
          <w:trHeight w:val="186"/>
        </w:trPr>
        <w:tc>
          <w:tcPr>
            <w:tcW w:w="20" w:type="dxa"/>
            <w:vAlign w:val="bottom"/>
          </w:tcPr>
          <w:p>
            <w:pPr>
              <w:spacing w:after="0"/>
              <w:rPr>
                <w:sz w:val="16"/>
                <w:szCs w:val="16"/>
                <w:color w:val="auto"/>
              </w:rPr>
            </w:pPr>
          </w:p>
        </w:tc>
        <w:tc>
          <w:tcPr>
            <w:tcW w:w="3940" w:type="dxa"/>
            <w:vAlign w:val="bottom"/>
            <w:gridSpan w:val="3"/>
          </w:tcPr>
          <w:p>
            <w:pPr>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102,186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102,186</w:t>
            </w:r>
          </w:p>
        </w:tc>
      </w:tr>
      <w:tr>
        <w:trPr>
          <w:trHeight w:val="185"/>
        </w:trPr>
        <w:tc>
          <w:tcPr>
            <w:tcW w:w="20" w:type="dxa"/>
            <w:vAlign w:val="bottom"/>
            <w:shd w:val="clear" w:color="auto" w:fill="CCEEFF"/>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1,649</w:t>
            </w:r>
          </w:p>
        </w:tc>
      </w:tr>
      <w:tr>
        <w:trPr>
          <w:trHeight w:val="179"/>
        </w:trPr>
        <w:tc>
          <w:tcPr>
            <w:tcW w:w="20" w:type="dxa"/>
            <w:vAlign w:val="bottom"/>
          </w:tcPr>
          <w:p>
            <w:pPr>
              <w:spacing w:after="0"/>
              <w:rPr>
                <w:sz w:val="15"/>
                <w:szCs w:val="15"/>
                <w:color w:val="auto"/>
              </w:rPr>
            </w:pPr>
          </w:p>
        </w:tc>
        <w:tc>
          <w:tcPr>
            <w:tcW w:w="3940" w:type="dxa"/>
            <w:vAlign w:val="bottom"/>
            <w:gridSpan w:val="3"/>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1,280,828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22,909</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12,539</w:t>
            </w:r>
          </w:p>
        </w:tc>
        <w:tc>
          <w:tcPr>
            <w:tcW w:w="120" w:type="dxa"/>
            <w:vAlign w:val="bottom"/>
          </w:tcPr>
          <w:p>
            <w:pPr>
              <w:spacing w:after="0"/>
              <w:rPr>
                <w:sz w:val="15"/>
                <w:szCs w:val="15"/>
                <w:color w:val="auto"/>
              </w:rPr>
            </w:pPr>
          </w:p>
        </w:tc>
        <w:tc>
          <w:tcPr>
            <w:tcW w:w="1060" w:type="dxa"/>
            <w:vAlign w:val="bottom"/>
          </w:tcPr>
          <w:p>
            <w:pPr>
              <w:jc w:val="right"/>
              <w:ind w:right="889"/>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1,316,276</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40" w:hanging="234"/>
        <w:spacing w:after="0" w:line="198" w:lineRule="auto"/>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Category includes loans graded exceptional, very good, good, satisfactory and pass/watch, in addition to credit cards and consumer credits that are not graded.</w:t>
      </w:r>
    </w:p>
    <w:p>
      <w:pPr>
        <w:spacing w:after="0" w:line="23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Impaired loans also include certain loans that have been modified in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confirmation of the borrower’s sustained repayment performance for a reasonable period, generally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Modifications such as payment deferrals through September 30, 2021 have been short term in nature and are included in the population of loans deferred and have not impacted TDRs. The status of TDRs is as follows: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Troubled Debt Restructurings</w:t>
      </w:r>
    </w:p>
    <w:p>
      <w:pPr>
        <w:spacing w:after="0" w:line="5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320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Number of</w:t>
            </w: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Recorded Investment</w:t>
            </w: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September 30, 2021</w:t>
            </w:r>
          </w:p>
        </w:tc>
        <w:tc>
          <w:tcPr>
            <w:tcW w:w="1880" w:type="dxa"/>
            <w:vAlign w:val="bottom"/>
          </w:tcPr>
          <w:p>
            <w:pPr>
              <w:spacing w:after="0"/>
              <w:rPr>
                <w:sz w:val="14"/>
                <w:szCs w:val="14"/>
                <w:color w:val="auto"/>
              </w:rPr>
            </w:pP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Contracts</w:t>
            </w:r>
          </w:p>
        </w:tc>
        <w:tc>
          <w:tcPr>
            <w:tcW w:w="56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Performing</w:t>
            </w:r>
          </w:p>
        </w:tc>
        <w:tc>
          <w:tcPr>
            <w:tcW w:w="52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Nonperforming</w:t>
            </w:r>
          </w:p>
        </w:tc>
        <w:tc>
          <w:tcPr>
            <w:tcW w:w="620" w:type="dxa"/>
            <w:vAlign w:val="bottom"/>
          </w:tcPr>
          <w:p>
            <w:pPr>
              <w:spacing w:after="0"/>
              <w:rPr>
                <w:sz w:val="14"/>
                <w:szCs w:val="14"/>
                <w:color w:val="auto"/>
              </w:rPr>
            </w:pPr>
          </w:p>
        </w:tc>
        <w:tc>
          <w:tcPr>
            <w:tcW w:w="1040" w:type="dxa"/>
            <w:vAlign w:val="bottom"/>
          </w:tcPr>
          <w:p>
            <w:pPr>
              <w:jc w:val="right"/>
              <w:ind w:right="42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0" w:type="dxa"/>
            <w:vAlign w:val="bottom"/>
            <w:gridSpan w:val="3"/>
            <w:vMerge w:val="restart"/>
          </w:tcPr>
          <w:p>
            <w:pPr>
              <w:spacing w:after="0"/>
              <w:rPr>
                <w:sz w:val="20"/>
                <w:szCs w:val="20"/>
                <w:color w:val="auto"/>
              </w:rPr>
            </w:pPr>
            <w:r>
              <w:rPr>
                <w:rFonts w:ascii="Arial" w:cs="Arial" w:eastAsia="Arial" w:hAnsi="Arial"/>
                <w:sz w:val="14"/>
                <w:szCs w:val="14"/>
                <w:color w:val="auto"/>
              </w:rPr>
              <w:t>Real estate:</w:t>
            </w: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tcPr>
          <w:p>
            <w:pPr>
              <w:spacing w:after="0"/>
              <w:rPr>
                <w:sz w:val="13"/>
                <w:szCs w:val="13"/>
                <w:color w:val="auto"/>
              </w:rPr>
            </w:pPr>
          </w:p>
        </w:tc>
        <w:tc>
          <w:tcPr>
            <w:tcW w:w="3200" w:type="dxa"/>
            <w:vAlign w:val="bottom"/>
            <w:gridSpan w:val="3"/>
            <w:vMerge w:val="continue"/>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CCEEFF"/>
          </w:tcPr>
          <w:p>
            <w:pPr>
              <w:spacing w:after="0"/>
              <w:rPr>
                <w:sz w:val="16"/>
                <w:szCs w:val="16"/>
                <w:color w:val="auto"/>
              </w:rPr>
            </w:pPr>
          </w:p>
        </w:tc>
        <w:tc>
          <w:tcPr>
            <w:tcW w:w="3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456</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20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204"/>
        </w:trPr>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20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w w:val="99"/>
              </w:rPr>
              <w:t>December 31, 2020</w:t>
            </w:r>
          </w:p>
        </w:tc>
        <w:tc>
          <w:tcPr>
            <w:tcW w:w="1960" w:type="dxa"/>
            <w:vAlign w:val="bottom"/>
            <w:tcBorders>
              <w:bottom w:val="single" w:sz="8" w:color="CCEEFF"/>
            </w:tcBorders>
            <w:gridSpan w:val="2"/>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320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3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6"/>
        </w:trPr>
        <w:tc>
          <w:tcPr>
            <w:tcW w:w="34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rPr>
                <w:sz w:val="17"/>
                <w:szCs w:val="17"/>
                <w:color w:val="auto"/>
              </w:rPr>
            </w:pPr>
          </w:p>
        </w:tc>
        <w:tc>
          <w:tcPr>
            <w:tcW w:w="32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5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Acquired loans included in total above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There were no new TDRs added during the three months ended September 30, 2021. There was one new residential TDR during the nine months ended September 30, 2021 for $319 thousand in which the borrower was granted a rate reduction and payment recast. There were no material financial effects as a direct result of this modification. The loan is also classified as non-accrual. There was one commercial and industrial TDR that was paid off during the nine months ended September 30, 2021 for $200 thousand. The Company had no defaulted TDR loans over the last twelve months.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Outstanding loan commitments were as follows: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Loan Commitments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0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560" w:type="dxa"/>
            <w:vAlign w:val="bottom"/>
          </w:tcPr>
          <w:p>
            <w:pPr>
              <w:spacing w:after="0"/>
              <w:rPr>
                <w:sz w:val="16"/>
                <w:szCs w:val="16"/>
                <w:color w:val="auto"/>
              </w:rPr>
            </w:pPr>
          </w:p>
        </w:tc>
        <w:tc>
          <w:tcPr>
            <w:tcW w:w="19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2021</w:t>
            </w:r>
          </w:p>
        </w:tc>
        <w:tc>
          <w:tcPr>
            <w:tcW w:w="520" w:type="dxa"/>
            <w:vAlign w:val="bottom"/>
          </w:tcPr>
          <w:p>
            <w:pPr>
              <w:spacing w:after="0"/>
              <w:rPr>
                <w:sz w:val="16"/>
                <w:szCs w:val="16"/>
                <w:color w:val="auto"/>
              </w:rPr>
            </w:pPr>
          </w:p>
        </w:tc>
        <w:tc>
          <w:tcPr>
            <w:tcW w:w="1660" w:type="dxa"/>
            <w:vAlign w:val="bottom"/>
          </w:tcPr>
          <w:p>
            <w:pPr>
              <w:jc w:val="right"/>
              <w:ind w:right="209"/>
              <w:spacing w:after="0"/>
              <w:rPr>
                <w:sz w:val="20"/>
                <w:szCs w:val="20"/>
                <w:color w:val="auto"/>
              </w:rPr>
            </w:pPr>
            <w:r>
              <w:rPr>
                <w:rFonts w:ascii="Arial" w:cs="Arial" w:eastAsia="Arial" w:hAnsi="Arial"/>
                <w:sz w:val="14"/>
                <w:szCs w:val="14"/>
                <w:b w:val="1"/>
                <w:bCs w:val="1"/>
                <w:color w:val="auto"/>
              </w:rPr>
              <w:t>December 31, 2020</w:t>
            </w:r>
          </w:p>
        </w:tc>
      </w:tr>
      <w:tr>
        <w:trPr>
          <w:trHeight w:val="165"/>
        </w:trPr>
        <w:tc>
          <w:tcPr>
            <w:tcW w:w="6080" w:type="dxa"/>
            <w:vAlign w:val="bottom"/>
          </w:tcPr>
          <w:p>
            <w:pPr>
              <w:ind w:left="340"/>
              <w:spacing w:after="0"/>
              <w:rPr>
                <w:sz w:val="20"/>
                <w:szCs w:val="20"/>
                <w:color w:val="auto"/>
              </w:rPr>
            </w:pPr>
            <w:r>
              <w:rPr>
                <w:rFonts w:ascii="Arial" w:cs="Arial" w:eastAsia="Arial" w:hAnsi="Arial"/>
                <w:sz w:val="14"/>
                <w:szCs w:val="14"/>
                <w:color w:val="auto"/>
              </w:rPr>
              <w:t>Unused lines of credit</w:t>
            </w:r>
          </w:p>
        </w:tc>
        <w:tc>
          <w:tcPr>
            <w:tcW w:w="5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r>
      <w:tr>
        <w:trPr>
          <w:trHeight w:val="186"/>
        </w:trPr>
        <w:tc>
          <w:tcPr>
            <w:tcW w:w="60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Real Estate:</w:t>
            </w:r>
          </w:p>
        </w:tc>
        <w:tc>
          <w:tcPr>
            <w:tcW w:w="56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185"/>
        </w:trPr>
        <w:tc>
          <w:tcPr>
            <w:tcW w:w="6080" w:type="dxa"/>
            <w:vAlign w:val="bottom"/>
          </w:tcPr>
          <w:p>
            <w:pPr>
              <w:ind w:left="540"/>
              <w:spacing w:after="0"/>
              <w:rPr>
                <w:sz w:val="20"/>
                <w:szCs w:val="20"/>
                <w:color w:val="auto"/>
              </w:rPr>
            </w:pPr>
            <w:r>
              <w:rPr>
                <w:rFonts w:ascii="Arial" w:cs="Arial" w:eastAsia="Arial" w:hAnsi="Arial"/>
                <w:sz w:val="14"/>
                <w:szCs w:val="14"/>
                <w:color w:val="auto"/>
              </w:rPr>
              <w:t>Residential</w:t>
            </w:r>
          </w:p>
        </w:tc>
        <w:tc>
          <w:tcPr>
            <w:tcW w:w="56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12,530</w:t>
            </w:r>
          </w:p>
        </w:tc>
        <w:tc>
          <w:tcPr>
            <w:tcW w:w="12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15,973</w:t>
            </w:r>
          </w:p>
        </w:tc>
      </w:tr>
      <w:tr>
        <w:trPr>
          <w:trHeight w:val="185"/>
        </w:trPr>
        <w:tc>
          <w:tcPr>
            <w:tcW w:w="60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Residential - Home Equity</w:t>
            </w:r>
          </w:p>
        </w:tc>
        <w:tc>
          <w:tcPr>
            <w:tcW w:w="5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35,390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32,398</w:t>
            </w:r>
          </w:p>
        </w:tc>
      </w:tr>
      <w:tr>
        <w:trPr>
          <w:trHeight w:val="185"/>
        </w:trPr>
        <w:tc>
          <w:tcPr>
            <w:tcW w:w="6080" w:type="dxa"/>
            <w:vAlign w:val="bottom"/>
          </w:tcPr>
          <w:p>
            <w:pPr>
              <w:ind w:left="540"/>
              <w:spacing w:after="0"/>
              <w:rPr>
                <w:sz w:val="20"/>
                <w:szCs w:val="20"/>
                <w:color w:val="auto"/>
              </w:rPr>
            </w:pPr>
            <w:r>
              <w:rPr>
                <w:rFonts w:ascii="Arial" w:cs="Arial" w:eastAsia="Arial" w:hAnsi="Arial"/>
                <w:sz w:val="14"/>
                <w:szCs w:val="14"/>
                <w:color w:val="auto"/>
              </w:rPr>
              <w:t>Commercial</w:t>
            </w:r>
          </w:p>
        </w:tc>
        <w:tc>
          <w:tcPr>
            <w:tcW w:w="5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22,192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20,848</w:t>
            </w:r>
          </w:p>
        </w:tc>
      </w:tr>
      <w:tr>
        <w:trPr>
          <w:trHeight w:val="185"/>
        </w:trPr>
        <w:tc>
          <w:tcPr>
            <w:tcW w:w="60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Construction</w:t>
            </w:r>
          </w:p>
        </w:tc>
        <w:tc>
          <w:tcPr>
            <w:tcW w:w="5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104,497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118,843</w:t>
            </w:r>
          </w:p>
        </w:tc>
      </w:tr>
      <w:tr>
        <w:trPr>
          <w:trHeight w:val="185"/>
        </w:trPr>
        <w:tc>
          <w:tcPr>
            <w:tcW w:w="6080" w:type="dxa"/>
            <w:vAlign w:val="bottom"/>
          </w:tcPr>
          <w:p>
            <w:pPr>
              <w:ind w:left="460"/>
              <w:spacing w:after="0"/>
              <w:rPr>
                <w:sz w:val="20"/>
                <w:szCs w:val="20"/>
                <w:color w:val="auto"/>
              </w:rPr>
            </w:pPr>
            <w:r>
              <w:rPr>
                <w:rFonts w:ascii="Arial" w:cs="Arial" w:eastAsia="Arial" w:hAnsi="Arial"/>
                <w:sz w:val="14"/>
                <w:szCs w:val="14"/>
                <w:color w:val="auto"/>
              </w:rPr>
              <w:t>Commercial and Industrial</w:t>
            </w:r>
          </w:p>
        </w:tc>
        <w:tc>
          <w:tcPr>
            <w:tcW w:w="5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50,297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50,877</w:t>
            </w:r>
          </w:p>
        </w:tc>
      </w:tr>
      <w:tr>
        <w:trPr>
          <w:trHeight w:val="186"/>
        </w:trPr>
        <w:tc>
          <w:tcPr>
            <w:tcW w:w="60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Secured credit card</w:t>
            </w:r>
          </w:p>
        </w:tc>
        <w:tc>
          <w:tcPr>
            <w:tcW w:w="5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122,960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92,452</w:t>
            </w:r>
          </w:p>
        </w:tc>
      </w:tr>
      <w:tr>
        <w:trPr>
          <w:trHeight w:val="185"/>
        </w:trPr>
        <w:tc>
          <w:tcPr>
            <w:tcW w:w="60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consumer</w:t>
            </w: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2,126</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r>
      <w:tr>
        <w:trPr>
          <w:trHeight w:val="204"/>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349,992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331,576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10"/>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Commitments to originate residential loans held for sale</w:t>
            </w: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1,205</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10"/>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Letters of credit</w:t>
            </w: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5,132</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6658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66585" cy="1651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6658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6658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 full. Loan commitments generally have variable interest rates, fixed expiration dates, and may require payment of a fee.</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generally made on the same terms, including collateral, as outstanding loans. Management is not aware of any accounting loss to be incurred by funding these loan commitments. The Company maintains an estimated reserve for off balance sheet items such as unfunded lines of credit, which is reflected in other liabilities, with changes being charged to or released from operating expense. Activity for this account is as follows for the periods presented: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Off Balance Sheet Reserve</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7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60" w:type="dxa"/>
            <w:vAlign w:val="bottom"/>
          </w:tcPr>
          <w:p>
            <w:pPr>
              <w:spacing w:after="0"/>
              <w:rPr>
                <w:sz w:val="16"/>
                <w:szCs w:val="16"/>
                <w:color w:val="auto"/>
              </w:rPr>
            </w:pPr>
          </w:p>
        </w:tc>
        <w:tc>
          <w:tcPr>
            <w:tcW w:w="3100" w:type="dxa"/>
            <w:vAlign w:val="bottom"/>
            <w:gridSpan w:val="5"/>
          </w:tcPr>
          <w:p>
            <w:pPr>
              <w:ind w:left="46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6"/>
                <w:szCs w:val="16"/>
                <w:color w:val="auto"/>
              </w:rPr>
            </w:pPr>
          </w:p>
        </w:tc>
        <w:tc>
          <w:tcPr>
            <w:tcW w:w="2980" w:type="dxa"/>
            <w:vAlign w:val="bottom"/>
            <w:gridSpan w:val="4"/>
          </w:tcPr>
          <w:p>
            <w:pPr>
              <w:jc w:val="right"/>
              <w:ind w:right="569"/>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39"/>
        </w:trPr>
        <w:tc>
          <w:tcPr>
            <w:tcW w:w="37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40"/>
              <w:spacing w:after="0" w:line="139" w:lineRule="exact"/>
              <w:rPr>
                <w:sz w:val="20"/>
                <w:szCs w:val="20"/>
                <w:color w:val="auto"/>
              </w:rPr>
            </w:pPr>
            <w:r>
              <w:rPr>
                <w:rFonts w:ascii="Arial" w:cs="Arial" w:eastAsia="Arial" w:hAnsi="Arial"/>
                <w:sz w:val="14"/>
                <w:szCs w:val="14"/>
                <w:b w:val="1"/>
                <w:bCs w:val="1"/>
                <w:color w:val="auto"/>
              </w:rPr>
              <w:t>September 30,</w:t>
            </w: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29"/>
              <w:spacing w:after="0" w:line="13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40"/>
              <w:spacing w:after="0" w:line="139" w:lineRule="exact"/>
              <w:rPr>
                <w:sz w:val="20"/>
                <w:szCs w:val="20"/>
                <w:color w:val="auto"/>
              </w:rPr>
            </w:pPr>
            <w:r>
              <w:rPr>
                <w:rFonts w:ascii="Arial" w:cs="Arial" w:eastAsia="Arial" w:hAnsi="Arial"/>
                <w:sz w:val="14"/>
                <w:szCs w:val="14"/>
                <w:b w:val="1"/>
                <w:bCs w:val="1"/>
                <w:color w:val="auto"/>
              </w:rPr>
              <w:t>September 30,</w:t>
            </w:r>
          </w:p>
        </w:tc>
        <w:tc>
          <w:tcPr>
            <w:tcW w:w="4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09"/>
              <w:spacing w:after="0" w:line="13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2"/>
        </w:trPr>
        <w:tc>
          <w:tcPr>
            <w:tcW w:w="37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Balance at beginning of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1,745</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1,775</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150"/>
        </w:trPr>
        <w:tc>
          <w:tcPr>
            <w:tcW w:w="3780" w:type="dxa"/>
            <w:vAlign w:val="bottom"/>
          </w:tcPr>
          <w:p>
            <w:pPr>
              <w:ind w:left="340"/>
              <w:spacing w:after="0" w:line="151" w:lineRule="exact"/>
              <w:rPr>
                <w:sz w:val="20"/>
                <w:szCs w:val="20"/>
                <w:color w:val="auto"/>
              </w:rPr>
            </w:pPr>
            <w:r>
              <w:rPr>
                <w:rFonts w:ascii="Arial" w:cs="Arial" w:eastAsia="Arial" w:hAnsi="Arial"/>
                <w:sz w:val="14"/>
                <w:szCs w:val="14"/>
                <w:color w:val="auto"/>
              </w:rPr>
              <w:t>Provision for (reversal of) off balance sheet credit</w:t>
            </w:r>
          </w:p>
        </w:tc>
        <w:tc>
          <w:tcPr>
            <w:tcW w:w="4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vMerge w:val="restart"/>
          </w:tcPr>
          <w:p>
            <w:pPr>
              <w:jc w:val="right"/>
              <w:ind w:right="9"/>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68"/>
        </w:trPr>
        <w:tc>
          <w:tcPr>
            <w:tcW w:w="3780" w:type="dxa"/>
            <w:vAlign w:val="bottom"/>
          </w:tcPr>
          <w:p>
            <w:pPr>
              <w:ind w:left="20"/>
              <w:spacing w:after="0"/>
              <w:rPr>
                <w:sz w:val="20"/>
                <w:szCs w:val="20"/>
                <w:color w:val="auto"/>
              </w:rPr>
            </w:pPr>
            <w:r>
              <w:rPr>
                <w:rFonts w:ascii="Arial" w:cs="Arial" w:eastAsia="Arial" w:hAnsi="Arial"/>
                <w:sz w:val="14"/>
                <w:szCs w:val="14"/>
                <w:color w:val="auto"/>
              </w:rPr>
              <w:t>commitments</w:t>
            </w:r>
          </w:p>
        </w:tc>
        <w:tc>
          <w:tcPr>
            <w:tcW w:w="4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Recoveries</w:t>
            </w: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3780" w:type="dxa"/>
            <w:vAlign w:val="bottom"/>
          </w:tcPr>
          <w:p>
            <w:pPr>
              <w:ind w:left="340"/>
              <w:spacing w:after="0"/>
              <w:rPr>
                <w:sz w:val="20"/>
                <w:szCs w:val="20"/>
                <w:color w:val="auto"/>
              </w:rPr>
            </w:pPr>
            <w:r>
              <w:rPr>
                <w:rFonts w:ascii="Arial" w:cs="Arial" w:eastAsia="Arial" w:hAnsi="Arial"/>
                <w:sz w:val="14"/>
                <w:szCs w:val="14"/>
                <w:color w:val="auto"/>
              </w:rPr>
              <w:t>Charge-offs</w:t>
            </w:r>
          </w:p>
        </w:tc>
        <w:tc>
          <w:tcPr>
            <w:tcW w:w="4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7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Balance at end of period</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makes representations and warranties that loans sold to investors meet their program's guidelines and that the information provided by the borrowers is accurate and complete. In the event of a default on a loan sold, the investor may have the right to make a claim for losses due to document deficiencies, program compliance, early payment default, and fraud or borrower misrepresentations.</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maintains an estimated reserve for potential losses on mortgage loans sold, which is reflected in other liabilities, with changes being charged to or released from operating expense. Activity in this reserve is as follows for the periods presented: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Mortgage Loan Put-back Reserve</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84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40" w:type="dxa"/>
            <w:vAlign w:val="bottom"/>
          </w:tcPr>
          <w:p>
            <w:pPr>
              <w:spacing w:after="0"/>
              <w:rPr>
                <w:sz w:val="16"/>
                <w:szCs w:val="16"/>
                <w:color w:val="auto"/>
              </w:rPr>
            </w:pPr>
          </w:p>
        </w:tc>
        <w:tc>
          <w:tcPr>
            <w:tcW w:w="3100" w:type="dxa"/>
            <w:vAlign w:val="bottom"/>
            <w:gridSpan w:val="5"/>
          </w:tcPr>
          <w:p>
            <w:pPr>
              <w:ind w:left="46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2980" w:type="dxa"/>
            <w:vAlign w:val="bottom"/>
            <w:gridSpan w:val="4"/>
          </w:tcPr>
          <w:p>
            <w:pPr>
              <w:jc w:val="right"/>
              <w:ind w:right="569"/>
              <w:spacing w:after="0"/>
              <w:rPr>
                <w:sz w:val="20"/>
                <w:szCs w:val="20"/>
                <w:color w:val="auto"/>
              </w:rPr>
            </w:pPr>
            <w:r>
              <w:rPr>
                <w:rFonts w:ascii="Arial" w:cs="Arial" w:eastAsia="Arial" w:hAnsi="Arial"/>
                <w:sz w:val="14"/>
                <w:szCs w:val="14"/>
                <w:b w:val="1"/>
                <w:bCs w:val="1"/>
                <w:color w:val="auto"/>
              </w:rPr>
              <w:t>For the Nine Months Ended</w:t>
            </w:r>
          </w:p>
        </w:tc>
      </w:tr>
      <w:tr>
        <w:trPr>
          <w:trHeight w:val="139"/>
        </w:trPr>
        <w:tc>
          <w:tcPr>
            <w:tcW w:w="38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60"/>
              <w:spacing w:after="0" w:line="139" w:lineRule="exact"/>
              <w:rPr>
                <w:sz w:val="20"/>
                <w:szCs w:val="20"/>
                <w:color w:val="auto"/>
              </w:rPr>
            </w:pPr>
            <w:r>
              <w:rPr>
                <w:rFonts w:ascii="Arial" w:cs="Arial" w:eastAsia="Arial" w:hAnsi="Arial"/>
                <w:sz w:val="14"/>
                <w:szCs w:val="14"/>
                <w:b w:val="1"/>
                <w:bCs w:val="1"/>
                <w:color w:val="auto"/>
              </w:rPr>
              <w:t>September 30,</w:t>
            </w:r>
          </w:p>
        </w:tc>
        <w:tc>
          <w:tcPr>
            <w:tcW w:w="4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09"/>
              <w:spacing w:after="0" w:line="139"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40"/>
              <w:spacing w:after="0" w:line="139" w:lineRule="exact"/>
              <w:rPr>
                <w:sz w:val="20"/>
                <w:szCs w:val="20"/>
                <w:color w:val="auto"/>
              </w:rPr>
            </w:pPr>
            <w:r>
              <w:rPr>
                <w:rFonts w:ascii="Arial" w:cs="Arial" w:eastAsia="Arial" w:hAnsi="Arial"/>
                <w:sz w:val="14"/>
                <w:szCs w:val="14"/>
                <w:b w:val="1"/>
                <w:bCs w:val="1"/>
                <w:color w:val="auto"/>
              </w:rPr>
              <w:t>September 30,</w:t>
            </w: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09"/>
              <w:spacing w:after="0" w:line="139" w:lineRule="exact"/>
              <w:rPr>
                <w:sz w:val="20"/>
                <w:szCs w:val="20"/>
                <w:color w:val="auto"/>
              </w:rPr>
            </w:pPr>
            <w:r>
              <w:rPr>
                <w:rFonts w:ascii="Arial" w:cs="Arial" w:eastAsia="Arial" w:hAnsi="Arial"/>
                <w:sz w:val="14"/>
                <w:szCs w:val="14"/>
                <w:b w:val="1"/>
                <w:bCs w:val="1"/>
                <w:color w:val="auto"/>
              </w:rPr>
              <w:t>September 30,</w:t>
            </w:r>
          </w:p>
        </w:tc>
      </w:tr>
      <w:tr>
        <w:trPr>
          <w:trHeight w:val="172"/>
        </w:trPr>
        <w:tc>
          <w:tcPr>
            <w:tcW w:w="38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2020</w:t>
            </w:r>
          </w:p>
        </w:tc>
      </w:tr>
      <w:tr>
        <w:trPr>
          <w:trHeight w:val="179"/>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Balance at beginning of period</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1,369</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1,160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r>
      <w:tr>
        <w:trPr>
          <w:trHeight w:val="185"/>
        </w:trPr>
        <w:tc>
          <w:tcPr>
            <w:tcW w:w="3840" w:type="dxa"/>
            <w:vAlign w:val="bottom"/>
          </w:tcPr>
          <w:p>
            <w:pPr>
              <w:ind w:left="340"/>
              <w:spacing w:after="0"/>
              <w:rPr>
                <w:sz w:val="20"/>
                <w:szCs w:val="20"/>
                <w:color w:val="auto"/>
              </w:rPr>
            </w:pPr>
            <w:r>
              <w:rPr>
                <w:rFonts w:ascii="Arial" w:cs="Arial" w:eastAsia="Arial" w:hAnsi="Arial"/>
                <w:sz w:val="14"/>
                <w:szCs w:val="14"/>
                <w:color w:val="auto"/>
              </w:rPr>
              <w:t>Provision for mortgage loan put backs</w:t>
            </w:r>
          </w:p>
        </w:tc>
        <w:tc>
          <w:tcPr>
            <w:tcW w:w="4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rPr>
              <w:t>279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475</w:t>
            </w:r>
          </w:p>
        </w:tc>
      </w:tr>
      <w:tr>
        <w:trPr>
          <w:trHeight w:val="185"/>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Charge-offs</w:t>
            </w:r>
          </w:p>
        </w:tc>
        <w:tc>
          <w:tcPr>
            <w:tcW w:w="4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79"/>
        </w:trPr>
        <w:tc>
          <w:tcPr>
            <w:tcW w:w="3840" w:type="dxa"/>
            <w:vAlign w:val="bottom"/>
          </w:tcPr>
          <w:p>
            <w:pPr>
              <w:ind w:left="340"/>
              <w:spacing w:after="0"/>
              <w:rPr>
                <w:sz w:val="20"/>
                <w:szCs w:val="20"/>
                <w:color w:val="auto"/>
              </w:rPr>
            </w:pPr>
            <w:r>
              <w:rPr>
                <w:rFonts w:ascii="Arial" w:cs="Arial" w:eastAsia="Arial" w:hAnsi="Arial"/>
                <w:sz w:val="14"/>
                <w:szCs w:val="14"/>
                <w:color w:val="auto"/>
              </w:rPr>
              <w:t>Balance at end of period</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1,439</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1,036</w:t>
            </w:r>
          </w:p>
        </w:tc>
        <w:tc>
          <w:tcPr>
            <w:tcW w:w="14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1,439</w:t>
            </w: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1,036</w:t>
            </w:r>
          </w:p>
        </w:tc>
      </w:tr>
      <w:tr>
        <w:trPr>
          <w:trHeight w:val="20"/>
        </w:trPr>
        <w:tc>
          <w:tcPr>
            <w:tcW w:w="3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estimating the fair value of the underlying asset, which is impacted by current interest rates and takes into consideration the probability that the rate lock commitments will close or will be funded.</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Derivatives</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September 30, 2021</w:t>
            </w: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6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Notional amount of open forward sales agreements</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8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20,250</w:t>
            </w:r>
          </w:p>
        </w:tc>
        <w:tc>
          <w:tcPr>
            <w:tcW w:w="3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38,000</w:t>
            </w:r>
          </w:p>
        </w:tc>
      </w:tr>
      <w:tr>
        <w:trPr>
          <w:trHeight w:val="185"/>
        </w:trPr>
        <w:tc>
          <w:tcPr>
            <w:tcW w:w="6320" w:type="dxa"/>
            <w:vAlign w:val="bottom"/>
          </w:tcPr>
          <w:p>
            <w:pPr>
              <w:ind w:left="340"/>
              <w:spacing w:after="0"/>
              <w:rPr>
                <w:sz w:val="20"/>
                <w:szCs w:val="20"/>
                <w:color w:val="auto"/>
              </w:rPr>
            </w:pPr>
            <w:r>
              <w:rPr>
                <w:rFonts w:ascii="Arial" w:cs="Arial" w:eastAsia="Arial" w:hAnsi="Arial"/>
                <w:sz w:val="14"/>
                <w:szCs w:val="14"/>
                <w:color w:val="auto"/>
              </w:rPr>
              <w:t>Fair value of open forward delivery sales agreements</w:t>
            </w:r>
          </w:p>
        </w:tc>
        <w:tc>
          <w:tcPr>
            <w:tcW w:w="500" w:type="dxa"/>
            <w:vAlign w:val="bottom"/>
          </w:tcPr>
          <w:p>
            <w:pPr>
              <w:spacing w:after="0"/>
              <w:rPr>
                <w:sz w:val="16"/>
                <w:szCs w:val="16"/>
                <w:color w:val="auto"/>
              </w:rPr>
            </w:pPr>
          </w:p>
        </w:tc>
        <w:tc>
          <w:tcPr>
            <w:tcW w:w="1840" w:type="dxa"/>
            <w:vAlign w:val="bottom"/>
          </w:tcPr>
          <w:p>
            <w:pPr>
              <w:jc w:val="right"/>
              <w:ind w:right="149"/>
              <w:spacing w:after="0"/>
              <w:rPr>
                <w:sz w:val="20"/>
                <w:szCs w:val="20"/>
                <w:color w:val="auto"/>
              </w:rPr>
            </w:pPr>
            <w:r>
              <w:rPr>
                <w:rFonts w:ascii="Arial" w:cs="Arial" w:eastAsia="Arial" w:hAnsi="Arial"/>
                <w:sz w:val="14"/>
                <w:szCs w:val="14"/>
                <w:b w:val="1"/>
                <w:bCs w:val="1"/>
                <w:color w:val="auto"/>
              </w:rPr>
              <w:t>69</w:t>
            </w:r>
          </w:p>
        </w:tc>
        <w:tc>
          <w:tcPr>
            <w:tcW w:w="3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186"/>
        </w:trPr>
        <w:tc>
          <w:tcPr>
            <w:tcW w:w="6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Notional amount of open mandatory delivery commitments</w:t>
            </w:r>
          </w:p>
        </w:tc>
        <w:tc>
          <w:tcPr>
            <w:tcW w:w="50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3,318</w:t>
            </w:r>
          </w:p>
        </w:tc>
        <w:tc>
          <w:tcPr>
            <w:tcW w:w="3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15,531</w:t>
            </w:r>
          </w:p>
        </w:tc>
      </w:tr>
      <w:tr>
        <w:trPr>
          <w:trHeight w:val="186"/>
        </w:trPr>
        <w:tc>
          <w:tcPr>
            <w:tcW w:w="6320" w:type="dxa"/>
            <w:vAlign w:val="bottom"/>
          </w:tcPr>
          <w:p>
            <w:pPr>
              <w:ind w:left="340"/>
              <w:spacing w:after="0"/>
              <w:rPr>
                <w:sz w:val="20"/>
                <w:szCs w:val="20"/>
                <w:color w:val="auto"/>
              </w:rPr>
            </w:pPr>
            <w:r>
              <w:rPr>
                <w:rFonts w:ascii="Arial" w:cs="Arial" w:eastAsia="Arial" w:hAnsi="Arial"/>
                <w:sz w:val="14"/>
                <w:szCs w:val="14"/>
                <w:color w:val="auto"/>
              </w:rPr>
              <w:t>Fair value of open mandatory delivery commitments</w:t>
            </w:r>
          </w:p>
        </w:tc>
        <w:tc>
          <w:tcPr>
            <w:tcW w:w="500" w:type="dxa"/>
            <w:vAlign w:val="bottom"/>
          </w:tcPr>
          <w:p>
            <w:pPr>
              <w:spacing w:after="0"/>
              <w:rPr>
                <w:sz w:val="16"/>
                <w:szCs w:val="16"/>
                <w:color w:val="auto"/>
              </w:rPr>
            </w:pPr>
          </w:p>
        </w:tc>
        <w:tc>
          <w:tcPr>
            <w:tcW w:w="1840" w:type="dxa"/>
            <w:vAlign w:val="bottom"/>
          </w:tcPr>
          <w:p>
            <w:pPr>
              <w:jc w:val="right"/>
              <w:ind w:right="109"/>
              <w:spacing w:after="0"/>
              <w:rPr>
                <w:sz w:val="20"/>
                <w:szCs w:val="20"/>
                <w:color w:val="auto"/>
              </w:rPr>
            </w:pPr>
            <w:r>
              <w:rPr>
                <w:rFonts w:ascii="Arial" w:cs="Arial" w:eastAsia="Arial" w:hAnsi="Arial"/>
                <w:sz w:val="14"/>
                <w:szCs w:val="14"/>
                <w:b w:val="1"/>
                <w:bCs w:val="1"/>
                <w:color w:val="auto"/>
              </w:rPr>
              <w:t>(18)</w:t>
            </w:r>
          </w:p>
        </w:tc>
        <w:tc>
          <w:tcPr>
            <w:tcW w:w="3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185"/>
        </w:trPr>
        <w:tc>
          <w:tcPr>
            <w:tcW w:w="6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Notional amount of interest rate lock commitments</w:t>
            </w:r>
          </w:p>
        </w:tc>
        <w:tc>
          <w:tcPr>
            <w:tcW w:w="50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16,091</w:t>
            </w:r>
          </w:p>
        </w:tc>
        <w:tc>
          <w:tcPr>
            <w:tcW w:w="3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34,827</w:t>
            </w:r>
          </w:p>
        </w:tc>
      </w:tr>
      <w:tr>
        <w:trPr>
          <w:trHeight w:val="188"/>
        </w:trPr>
        <w:tc>
          <w:tcPr>
            <w:tcW w:w="6320" w:type="dxa"/>
            <w:vAlign w:val="bottom"/>
          </w:tcPr>
          <w:p>
            <w:pPr>
              <w:ind w:left="340"/>
              <w:spacing w:after="0"/>
              <w:rPr>
                <w:sz w:val="20"/>
                <w:szCs w:val="20"/>
                <w:color w:val="auto"/>
              </w:rPr>
            </w:pPr>
            <w:r>
              <w:rPr>
                <w:rFonts w:ascii="Arial" w:cs="Arial" w:eastAsia="Arial" w:hAnsi="Arial"/>
                <w:sz w:val="14"/>
                <w:szCs w:val="14"/>
                <w:color w:val="auto"/>
              </w:rPr>
              <w:t>Fair value of interest rate lock commitments</w:t>
            </w:r>
          </w:p>
        </w:tc>
        <w:tc>
          <w:tcPr>
            <w:tcW w:w="500" w:type="dxa"/>
            <w:vAlign w:val="bottom"/>
          </w:tcPr>
          <w:p>
            <w:pPr>
              <w:spacing w:after="0"/>
              <w:rPr>
                <w:sz w:val="16"/>
                <w:szCs w:val="16"/>
                <w:color w:val="auto"/>
              </w:rPr>
            </w:pPr>
          </w:p>
        </w:tc>
        <w:tc>
          <w:tcPr>
            <w:tcW w:w="1840" w:type="dxa"/>
            <w:vAlign w:val="bottom"/>
          </w:tcPr>
          <w:p>
            <w:pPr>
              <w:jc w:val="right"/>
              <w:ind w:right="109"/>
              <w:spacing w:after="0"/>
              <w:rPr>
                <w:sz w:val="20"/>
                <w:szCs w:val="20"/>
                <w:color w:val="auto"/>
              </w:rPr>
            </w:pPr>
            <w:r>
              <w:rPr>
                <w:rFonts w:ascii="Arial" w:cs="Arial" w:eastAsia="Arial" w:hAnsi="Arial"/>
                <w:sz w:val="14"/>
                <w:szCs w:val="14"/>
                <w:b w:val="1"/>
                <w:bCs w:val="1"/>
                <w:color w:val="auto"/>
              </w:rPr>
              <w:t>(40)</w:t>
            </w:r>
          </w:p>
        </w:tc>
        <w:tc>
          <w:tcPr>
            <w:tcW w:w="3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148</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3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Company’s primary leasing activities relate to certain real estate leases entered into in support of the Company’s branch operations and back office operations. The Company leases five of its full service branches and five other locations for corporate/administration activities, operations, and loan production. All property leases under lease agreements have been been designated as operating leases. The Company does not have leases designated as finance leases.</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2.23% at September 30, 2021 and December 31, 2020.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5373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5373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7 - Leases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66" w:lineRule="auto"/>
        <w:rPr>
          <w:sz w:val="20"/>
          <w:szCs w:val="20"/>
          <w:color w:val="auto"/>
        </w:rPr>
      </w:pPr>
      <w:r>
        <w:rPr>
          <w:rFonts w:ascii="Arial" w:cs="Arial" w:eastAsia="Arial" w:hAnsi="Arial"/>
          <w:sz w:val="17"/>
          <w:szCs w:val="17"/>
          <w:color w:val="auto"/>
        </w:rPr>
        <w:t>As of September 30, 2021, the Company’s lease ROU assets and related lease liabilities were $2.8 million and $3.0 million, respectively, compared to December 31, 2020 balances of $3.1 million of ROU assets and $3.4 million of lease liabilities, and have remaining terms ranging from 1 - 6 years, including extension options that the Company is reasonably certain will be exercised. As of September 30, 2021, the Company had not entered into any material leases that have not yet commenced. The Company’s lease information is summarized as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58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1900" w:type="dxa"/>
            <w:vAlign w:val="bottom"/>
            <w:gridSpan w:val="3"/>
          </w:tcPr>
          <w:p>
            <w:pPr>
              <w:ind w:left="360"/>
              <w:spacing w:after="0"/>
              <w:rPr>
                <w:sz w:val="20"/>
                <w:szCs w:val="20"/>
                <w:color w:val="auto"/>
              </w:rPr>
            </w:pPr>
            <w:r>
              <w:rPr>
                <w:rFonts w:ascii="Arial" w:cs="Arial" w:eastAsia="Arial" w:hAnsi="Arial"/>
                <w:sz w:val="14"/>
                <w:szCs w:val="14"/>
                <w:b w:val="1"/>
                <w:bCs w:val="1"/>
                <w:color w:val="auto"/>
              </w:rPr>
              <w:t>September 30, 2021</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w:t>
            </w:r>
          </w:p>
        </w:tc>
      </w:tr>
      <w:tr>
        <w:trPr>
          <w:trHeight w:val="166"/>
        </w:trPr>
        <w:tc>
          <w:tcPr>
            <w:tcW w:w="7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Lease Right of Use Asset:</w:t>
            </w:r>
          </w:p>
        </w:tc>
        <w:tc>
          <w:tcPr>
            <w:tcW w:w="8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185"/>
        </w:trPr>
        <w:tc>
          <w:tcPr>
            <w:tcW w:w="7580" w:type="dxa"/>
            <w:vAlign w:val="bottom"/>
          </w:tcPr>
          <w:p>
            <w:pPr>
              <w:ind w:left="340"/>
              <w:spacing w:after="0"/>
              <w:rPr>
                <w:sz w:val="20"/>
                <w:szCs w:val="20"/>
                <w:color w:val="auto"/>
              </w:rPr>
            </w:pPr>
            <w:r>
              <w:rPr>
                <w:rFonts w:ascii="Arial" w:cs="Arial" w:eastAsia="Arial" w:hAnsi="Arial"/>
                <w:sz w:val="14"/>
                <w:szCs w:val="14"/>
                <w:color w:val="auto"/>
              </w:rPr>
              <w:t>Lease asset</w:t>
            </w:r>
          </w:p>
        </w:tc>
        <w:tc>
          <w:tcPr>
            <w:tcW w:w="840" w:type="dxa"/>
            <w:vAlign w:val="bottom"/>
          </w:tcPr>
          <w:p>
            <w:pPr>
              <w:jc w:val="right"/>
              <w:ind w:right="349"/>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center"/>
              <w:ind w:left="329"/>
              <w:spacing w:after="0"/>
              <w:rPr>
                <w:sz w:val="20"/>
                <w:szCs w:val="20"/>
                <w:color w:val="auto"/>
              </w:rPr>
            </w:pPr>
            <w:r>
              <w:rPr>
                <w:rFonts w:ascii="Arial" w:cs="Arial" w:eastAsia="Arial" w:hAnsi="Arial"/>
                <w:sz w:val="14"/>
                <w:szCs w:val="14"/>
                <w:b w:val="1"/>
                <w:bCs w:val="1"/>
                <w:color w:val="auto"/>
              </w:rPr>
              <w:t>5,364</w:t>
            </w:r>
          </w:p>
        </w:tc>
        <w:tc>
          <w:tcPr>
            <w:tcW w:w="180" w:type="dxa"/>
            <w:vAlign w:val="bottom"/>
          </w:tcPr>
          <w:p>
            <w:pPr>
              <w:spacing w:after="0"/>
              <w:rPr>
                <w:sz w:val="16"/>
                <w:szCs w:val="16"/>
                <w:color w:val="auto"/>
              </w:rPr>
            </w:pPr>
          </w:p>
        </w:tc>
        <w:tc>
          <w:tcPr>
            <w:tcW w:w="84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86"/>
        </w:trPr>
        <w:tc>
          <w:tcPr>
            <w:tcW w:w="7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 Accumulated amortization</w:t>
            </w:r>
          </w:p>
        </w:tc>
        <w:tc>
          <w:tcPr>
            <w:tcW w:w="8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left="329"/>
              <w:spacing w:after="0"/>
              <w:rPr>
                <w:sz w:val="20"/>
                <w:szCs w:val="20"/>
                <w:color w:val="auto"/>
              </w:rPr>
            </w:pPr>
            <w:r>
              <w:rPr>
                <w:rFonts w:ascii="Arial" w:cs="Arial" w:eastAsia="Arial" w:hAnsi="Arial"/>
                <w:sz w:val="14"/>
                <w:szCs w:val="14"/>
                <w:b w:val="1"/>
                <w:bCs w:val="1"/>
                <w:color w:val="auto"/>
                <w:w w:val="99"/>
              </w:rPr>
              <w:t>(2,611)</w:t>
            </w:r>
          </w:p>
        </w:tc>
        <w:tc>
          <w:tcPr>
            <w:tcW w:w="1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52"/>
        </w:trPr>
        <w:tc>
          <w:tcPr>
            <w:tcW w:w="7580" w:type="dxa"/>
            <w:vAlign w:val="bottom"/>
          </w:tcPr>
          <w:p>
            <w:pPr>
              <w:ind w:left="340"/>
              <w:spacing w:after="0" w:line="152" w:lineRule="exact"/>
              <w:rPr>
                <w:sz w:val="20"/>
                <w:szCs w:val="20"/>
                <w:color w:val="auto"/>
              </w:rPr>
            </w:pPr>
            <w:r>
              <w:rPr>
                <w:rFonts w:ascii="Arial" w:cs="Arial" w:eastAsia="Arial" w:hAnsi="Arial"/>
                <w:sz w:val="14"/>
                <w:szCs w:val="14"/>
                <w:color w:val="auto"/>
              </w:rPr>
              <w:t>Net lease asset</w:t>
            </w:r>
          </w:p>
        </w:tc>
        <w:tc>
          <w:tcPr>
            <w:tcW w:w="840" w:type="dxa"/>
            <w:vAlign w:val="bottom"/>
            <w:tcBorders>
              <w:bottom w:val="single" w:sz="8" w:color="auto"/>
            </w:tcBorders>
          </w:tcPr>
          <w:p>
            <w:pPr>
              <w:jc w:val="right"/>
              <w:ind w:right="349"/>
              <w:spacing w:after="0" w:line="152"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center"/>
              <w:ind w:left="329"/>
              <w:spacing w:after="0" w:line="152" w:lineRule="exact"/>
              <w:rPr>
                <w:sz w:val="20"/>
                <w:szCs w:val="20"/>
                <w:color w:val="auto"/>
              </w:rPr>
            </w:pPr>
            <w:r>
              <w:rPr>
                <w:rFonts w:ascii="Arial" w:cs="Arial" w:eastAsia="Arial" w:hAnsi="Arial"/>
                <w:sz w:val="14"/>
                <w:szCs w:val="14"/>
                <w:b w:val="1"/>
                <w:bCs w:val="1"/>
                <w:color w:val="auto"/>
              </w:rPr>
              <w:t>2,753</w:t>
            </w:r>
          </w:p>
        </w:tc>
        <w:tc>
          <w:tcPr>
            <w:tcW w:w="180" w:type="dxa"/>
            <w:vAlign w:val="bottom"/>
          </w:tcPr>
          <w:p>
            <w:pPr>
              <w:spacing w:after="0"/>
              <w:rPr>
                <w:sz w:val="13"/>
                <w:szCs w:val="13"/>
                <w:color w:val="auto"/>
              </w:rPr>
            </w:pPr>
          </w:p>
        </w:tc>
        <w:tc>
          <w:tcPr>
            <w:tcW w:w="840" w:type="dxa"/>
            <w:vAlign w:val="bottom"/>
            <w:tcBorders>
              <w:bottom w:val="single" w:sz="8" w:color="auto"/>
            </w:tcBorders>
          </w:tcPr>
          <w:p>
            <w:pPr>
              <w:jc w:val="right"/>
              <w:ind w:right="349"/>
              <w:spacing w:after="0" w:line="15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3,1</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8"/>
        </w:trPr>
        <w:tc>
          <w:tcPr>
            <w:tcW w:w="7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6"/>
        </w:trPr>
        <w:tc>
          <w:tcPr>
            <w:tcW w:w="7580" w:type="dxa"/>
            <w:vAlign w:val="bottom"/>
          </w:tcPr>
          <w:p>
            <w:pPr>
              <w:ind w:left="340"/>
              <w:spacing w:after="0"/>
              <w:rPr>
                <w:sz w:val="20"/>
                <w:szCs w:val="20"/>
                <w:color w:val="auto"/>
              </w:rPr>
            </w:pPr>
            <w:r>
              <w:rPr>
                <w:rFonts w:ascii="Arial" w:cs="Arial" w:eastAsia="Arial" w:hAnsi="Arial"/>
                <w:sz w:val="14"/>
                <w:szCs w:val="14"/>
                <w:b w:val="1"/>
                <w:bCs w:val="1"/>
                <w:color w:val="auto"/>
              </w:rPr>
              <w:t>Lease Liability:</w:t>
            </w: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1"/>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Lease liability</w:t>
            </w:r>
          </w:p>
        </w:tc>
        <w:tc>
          <w:tcPr>
            <w:tcW w:w="84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center"/>
              <w:ind w:left="329"/>
              <w:spacing w:after="0"/>
              <w:rPr>
                <w:sz w:val="20"/>
                <w:szCs w:val="20"/>
                <w:color w:val="auto"/>
              </w:rPr>
            </w:pPr>
            <w:r>
              <w:rPr>
                <w:rFonts w:ascii="Arial" w:cs="Arial" w:eastAsia="Arial" w:hAnsi="Arial"/>
                <w:sz w:val="14"/>
                <w:szCs w:val="14"/>
                <w:b w:val="1"/>
                <w:bCs w:val="1"/>
                <w:color w:val="auto"/>
              </w:rPr>
              <w:t>3,041</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 Payment Obligations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900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September 30, 2021</w:t>
            </w:r>
          </w:p>
        </w:tc>
      </w:tr>
      <w:tr>
        <w:trPr>
          <w:trHeight w:val="166"/>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Amounts due in:</w:t>
            </w: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5"/>
        </w:trPr>
        <w:tc>
          <w:tcPr>
            <w:tcW w:w="9000" w:type="dxa"/>
            <w:vAlign w:val="bottom"/>
          </w:tcPr>
          <w:p>
            <w:pPr>
              <w:ind w:left="340"/>
              <w:spacing w:after="0"/>
              <w:rPr>
                <w:sz w:val="20"/>
                <w:szCs w:val="20"/>
                <w:color w:val="auto"/>
              </w:rPr>
            </w:pPr>
            <w:r>
              <w:rPr>
                <w:rFonts w:ascii="Arial" w:cs="Arial" w:eastAsia="Arial" w:hAnsi="Arial"/>
                <w:sz w:val="14"/>
                <w:szCs w:val="14"/>
                <w:color w:val="auto"/>
              </w:rPr>
              <w:t>2021</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5"/>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2022</w:t>
            </w:r>
          </w:p>
        </w:tc>
        <w:tc>
          <w:tcPr>
            <w:tcW w:w="5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6"/>
        </w:trPr>
        <w:tc>
          <w:tcPr>
            <w:tcW w:w="9000" w:type="dxa"/>
            <w:vAlign w:val="bottom"/>
          </w:tcPr>
          <w:p>
            <w:pPr>
              <w:ind w:left="340"/>
              <w:spacing w:after="0"/>
              <w:rPr>
                <w:sz w:val="20"/>
                <w:szCs w:val="20"/>
                <w:color w:val="auto"/>
              </w:rPr>
            </w:pPr>
            <w:r>
              <w:rPr>
                <w:rFonts w:ascii="Arial" w:cs="Arial" w:eastAsia="Arial" w:hAnsi="Arial"/>
                <w:sz w:val="14"/>
                <w:szCs w:val="14"/>
                <w:color w:val="auto"/>
              </w:rPr>
              <w:t>2023</w:t>
            </w:r>
          </w:p>
        </w:tc>
        <w:tc>
          <w:tcPr>
            <w:tcW w:w="5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5"/>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2024</w:t>
            </w:r>
          </w:p>
        </w:tc>
        <w:tc>
          <w:tcPr>
            <w:tcW w:w="5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5"/>
        </w:trPr>
        <w:tc>
          <w:tcPr>
            <w:tcW w:w="9000" w:type="dxa"/>
            <w:vAlign w:val="bottom"/>
          </w:tcPr>
          <w:p>
            <w:pPr>
              <w:ind w:left="340"/>
              <w:spacing w:after="0"/>
              <w:rPr>
                <w:sz w:val="20"/>
                <w:szCs w:val="20"/>
                <w:color w:val="auto"/>
              </w:rPr>
            </w:pPr>
            <w:r>
              <w:rPr>
                <w:rFonts w:ascii="Arial" w:cs="Arial" w:eastAsia="Arial" w:hAnsi="Arial"/>
                <w:sz w:val="14"/>
                <w:szCs w:val="14"/>
                <w:color w:val="auto"/>
              </w:rPr>
              <w:t>2025</w:t>
            </w:r>
          </w:p>
        </w:tc>
        <w:tc>
          <w:tcPr>
            <w:tcW w:w="5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5"/>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2026</w:t>
            </w:r>
          </w:p>
        </w:tc>
        <w:tc>
          <w:tcPr>
            <w:tcW w:w="5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9000" w:type="dxa"/>
            <w:vAlign w:val="bottom"/>
          </w:tcPr>
          <w:p>
            <w:pPr>
              <w:ind w:left="460"/>
              <w:spacing w:after="0"/>
              <w:rPr>
                <w:sz w:val="20"/>
                <w:szCs w:val="20"/>
                <w:color w:val="auto"/>
              </w:rPr>
            </w:pPr>
            <w:r>
              <w:rPr>
                <w:rFonts w:ascii="Arial" w:cs="Arial" w:eastAsia="Arial" w:hAnsi="Arial"/>
                <w:sz w:val="14"/>
                <w:szCs w:val="14"/>
                <w:color w:val="auto"/>
              </w:rPr>
              <w:t>Total future lease payments</w:t>
            </w:r>
          </w:p>
        </w:tc>
        <w:tc>
          <w:tcPr>
            <w:tcW w:w="1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185"/>
        </w:trPr>
        <w:tc>
          <w:tcPr>
            <w:tcW w:w="9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Discount of cash flows</w:t>
            </w:r>
          </w:p>
        </w:tc>
        <w:tc>
          <w:tcPr>
            <w:tcW w:w="1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9"/>
        </w:trPr>
        <w:tc>
          <w:tcPr>
            <w:tcW w:w="9000" w:type="dxa"/>
            <w:vAlign w:val="bottom"/>
          </w:tcPr>
          <w:p>
            <w:pPr>
              <w:ind w:left="460"/>
              <w:spacing w:after="0"/>
              <w:rPr>
                <w:sz w:val="20"/>
                <w:szCs w:val="20"/>
                <w:color w:val="auto"/>
              </w:rPr>
            </w:pPr>
            <w:r>
              <w:rPr>
                <w:rFonts w:ascii="Arial" w:cs="Arial" w:eastAsia="Arial" w:hAnsi="Arial"/>
                <w:sz w:val="14"/>
                <w:szCs w:val="14"/>
                <w:color w:val="auto"/>
              </w:rPr>
              <w:t>Present value of net future lease payments</w:t>
            </w:r>
          </w:p>
        </w:tc>
        <w:tc>
          <w:tcPr>
            <w:tcW w:w="11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r>
      <w:tr>
        <w:trPr>
          <w:trHeight w:val="20"/>
        </w:trPr>
        <w:tc>
          <w:tcPr>
            <w:tcW w:w="9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17"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2" w:name="page33"/>
    <w:bookmarkEnd w:id="32"/>
    <w:p>
      <w:pPr>
        <w:ind w:left="98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-173990</wp:posOffset>
            </wp:positionV>
            <wp:extent cx="65373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78"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8"/>
          <w:szCs w:val="18"/>
          <w:i w:val="1"/>
          <w:iCs w:val="1"/>
          <w:color w:val="auto"/>
        </w:rPr>
        <w:t xml:space="preserve">Marketable equity securities </w:t>
      </w:r>
      <w:r>
        <w:rPr>
          <w:rFonts w:ascii="Arial" w:cs="Arial" w:eastAsia="Arial" w:hAnsi="Arial"/>
          <w:sz w:val="18"/>
          <w:szCs w:val="18"/>
          <w:color w:val="auto"/>
        </w:rPr>
        <w:t>- The fair value of marketable equity securities is provided by an independent pricing service. The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quoted prices for similar securities using Level 2 inputs.</w:t>
      </w:r>
    </w:p>
    <w:p>
      <w:pPr>
        <w:spacing w:after="0" w:line="167"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attributes of that loan.</w:t>
      </w:r>
    </w:p>
    <w:p>
      <w:pPr>
        <w:spacing w:after="0" w:line="16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3" w:name="page34"/>
    <w:bookmarkEnd w:id="33"/>
    <w:p>
      <w:pPr>
        <w:ind w:left="98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-173990</wp:posOffset>
            </wp:positionV>
            <wp:extent cx="65373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categorized its financial instruments measured at fair value on a recurring basis as of September 30, 2021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as follows: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 Inputs</w:t>
            </w: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Level 3 Inputs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Investment securities available for sale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10,911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10,911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6"/>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25"/>
        </w:trPr>
        <w:tc>
          <w:tcPr>
            <w:tcW w:w="20" w:type="dxa"/>
            <w:vAlign w:val="bottom"/>
          </w:tcPr>
          <w:p>
            <w:pPr>
              <w:spacing w:after="0"/>
              <w:rPr>
                <w:sz w:val="19"/>
                <w:szCs w:val="19"/>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10,329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10,329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185"/>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25"/>
        </w:trPr>
        <w:tc>
          <w:tcPr>
            <w:tcW w:w="20" w:type="dxa"/>
            <w:vAlign w:val="bottom"/>
          </w:tcPr>
          <w:p>
            <w:pPr>
              <w:spacing w:after="0"/>
              <w:rPr>
                <w:sz w:val="19"/>
                <w:szCs w:val="19"/>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133,030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133,030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4"/>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189,165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189,165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Marketable equity securities</w:t>
            </w:r>
          </w:p>
        </w:tc>
        <w:tc>
          <w:tcPr>
            <w:tcW w:w="260" w:type="dxa"/>
            <w:vAlign w:val="bottom"/>
            <w:tcBorders>
              <w:top w:val="single" w:sz="8" w:color="auto"/>
              <w:bottom w:val="single" w:sz="8" w:color="auto"/>
            </w:tcBorders>
          </w:tcPr>
          <w:p>
            <w:pPr>
              <w:jc w:val="right"/>
              <w:ind w:right="89"/>
              <w:spacing w:after="0" w:line="159"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8"/>
              <w:spacing w:after="0" w:line="15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36,005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36,005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Derivative assets</w:t>
            </w:r>
          </w:p>
        </w:tc>
        <w:tc>
          <w:tcPr>
            <w:tcW w:w="260" w:type="dxa"/>
            <w:vAlign w:val="bottom"/>
            <w:tcBorders>
              <w:top w:val="single" w:sz="8" w:color="auto"/>
              <w:bottom w:val="single" w:sz="8" w:color="auto"/>
            </w:tcBorders>
          </w:tcPr>
          <w:p>
            <w:pPr>
              <w:jc w:val="right"/>
              <w:ind w:right="89"/>
              <w:spacing w:after="0" w:line="159"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69</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8"/>
              <w:spacing w:after="0" w:line="15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69</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4"/>
                <w:szCs w:val="14"/>
                <w:color w:val="auto"/>
              </w:rPr>
            </w:pPr>
          </w:p>
        </w:tc>
        <w:tc>
          <w:tcPr>
            <w:tcW w:w="6040" w:type="dxa"/>
            <w:vAlign w:val="bottom"/>
            <w:tcBorders>
              <w:bottom w:val="single" w:sz="8" w:color="CCEEFF"/>
            </w:tcBorders>
            <w:gridSpan w:val="3"/>
            <w:shd w:val="clear" w:color="auto" w:fill="CCEEFF"/>
          </w:tcPr>
          <w:p>
            <w:pPr>
              <w:spacing w:after="0" w:line="152" w:lineRule="exact"/>
              <w:rPr>
                <w:sz w:val="20"/>
                <w:szCs w:val="20"/>
                <w:color w:val="auto"/>
              </w:rPr>
            </w:pPr>
            <w:r>
              <w:rPr>
                <w:rFonts w:ascii="Arial" w:cs="Arial" w:eastAsia="Arial" w:hAnsi="Arial"/>
                <w:sz w:val="14"/>
                <w:szCs w:val="14"/>
                <w:color w:val="auto"/>
              </w:rPr>
              <w:t>Derivative liabilities</w:t>
            </w:r>
          </w:p>
        </w:tc>
        <w:tc>
          <w:tcPr>
            <w:tcW w:w="260" w:type="dxa"/>
            <w:vAlign w:val="bottom"/>
            <w:tcBorders>
              <w:bottom w:val="single" w:sz="8" w:color="auto"/>
            </w:tcBorders>
            <w:shd w:val="clear" w:color="auto" w:fill="CCEEFF"/>
          </w:tcPr>
          <w:p>
            <w:pPr>
              <w:jc w:val="right"/>
              <w:ind w:right="89"/>
              <w:spacing w:after="0" w:line="15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(58)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8"/>
              <w:spacing w:after="0" w:line="15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(58)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2020</w:t>
            </w:r>
          </w:p>
        </w:tc>
        <w:tc>
          <w:tcPr>
            <w:tcW w:w="4760" w:type="dxa"/>
            <w:vAlign w:val="bottom"/>
            <w:tcBorders>
              <w:bottom w:val="single" w:sz="8" w:color="CCEEFF"/>
            </w:tcBorders>
            <w:gridSpan w:val="2"/>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Investment securities available for sale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185"/>
        </w:trPr>
        <w:tc>
          <w:tcPr>
            <w:tcW w:w="2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72,212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72,212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99,787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99,787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Marketable equity securities</w:t>
            </w:r>
          </w:p>
        </w:tc>
        <w:tc>
          <w:tcPr>
            <w:tcW w:w="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245</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245</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107,154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107,154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6040" w:type="dxa"/>
            <w:vAlign w:val="bottom"/>
            <w:gridSpan w:val="3"/>
          </w:tcPr>
          <w:p>
            <w:pPr>
              <w:spacing w:after="0" w:line="159" w:lineRule="exact"/>
              <w:rPr>
                <w:sz w:val="20"/>
                <w:szCs w:val="20"/>
                <w:color w:val="auto"/>
              </w:rPr>
            </w:pPr>
            <w:r>
              <w:rPr>
                <w:rFonts w:ascii="Arial" w:cs="Arial" w:eastAsia="Arial" w:hAnsi="Arial"/>
                <w:sz w:val="14"/>
                <w:szCs w:val="14"/>
                <w:color w:val="auto"/>
              </w:rPr>
              <w:t>Derivative assets</w:t>
            </w:r>
          </w:p>
        </w:tc>
        <w:tc>
          <w:tcPr>
            <w:tcW w:w="2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327</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327</w:t>
            </w:r>
          </w:p>
        </w:tc>
        <w:tc>
          <w:tcPr>
            <w:tcW w:w="120" w:type="dxa"/>
            <w:vAlign w:val="bottom"/>
          </w:tcPr>
          <w:p>
            <w:pPr>
              <w:spacing w:after="0"/>
              <w:rPr>
                <w:sz w:val="13"/>
                <w:szCs w:val="13"/>
                <w:color w:val="auto"/>
              </w:rPr>
            </w:pP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Derivative liabilities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39"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20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Fair Value of Loans Held for Sale</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1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6"/>
                <w:szCs w:val="16"/>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76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Aggregate fair value</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36,005</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107,154</w:t>
            </w:r>
          </w:p>
        </w:tc>
      </w:tr>
      <w:tr>
        <w:trPr>
          <w:trHeight w:val="185"/>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Contractual principal</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33,966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99,362</w:t>
            </w:r>
          </w:p>
        </w:tc>
      </w:tr>
      <w:tr>
        <w:trPr>
          <w:trHeight w:val="204"/>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Difference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2,039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7,792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4" w:name="page35"/>
    <w:bookmarkEnd w:id="34"/>
    <w:p>
      <w:pPr>
        <w:ind w:left="98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-173990</wp:posOffset>
            </wp:positionV>
            <wp:extent cx="653732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5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has elected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1"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7"/>
          <w:szCs w:val="17"/>
          <w:i w:val="1"/>
          <w:iCs w:val="1"/>
          <w:color w:val="auto"/>
        </w:rPr>
        <w:t xml:space="preserve">Impaired loans </w:t>
      </w:r>
      <w:r>
        <w:rPr>
          <w:rFonts w:ascii="Arial" w:cs="Arial" w:eastAsia="Arial" w:hAnsi="Arial"/>
          <w:sz w:val="17"/>
          <w:szCs w:val="17"/>
          <w:color w:val="auto"/>
        </w:rPr>
        <w:t>- The Company has measured impairment generally based on the fair value of the loan's collateral and discounted 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Fair value is generally determined based upon independent third-party appraisals of the properties, or discounted cash flows based upon the expected proceeds. These assets are included as Level 3 fair values. As of September 30, 2021 and December 31, 2020, the fair values consist of loan balances of $13.6 million and $10.0 million, with specific reserves of $222 thousand and $253 thousand, respectively.</w:t>
      </w:r>
    </w:p>
    <w:p>
      <w:pPr>
        <w:spacing w:after="0" w:line="167" w:lineRule="exact"/>
        <w:rPr>
          <w:sz w:val="20"/>
          <w:szCs w:val="20"/>
          <w:color w:val="auto"/>
        </w:rPr>
      </w:pPr>
    </w:p>
    <w:p>
      <w:pPr>
        <w:jc w:val="both"/>
        <w:ind w:right="100" w:firstLine="318"/>
        <w:spacing w:after="0" w:line="259"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offers and/or appraisals. Cost to sell the real estate was based on standard market factors. The Company has categorized its foreclosed real estate as Level 3.</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categorized its impaired loans and foreclosed real estate as follows: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6"/>
                <w:szCs w:val="16"/>
                <w:color w:val="auto"/>
              </w:rPr>
            </w:pPr>
          </w:p>
        </w:tc>
        <w:tc>
          <w:tcPr>
            <w:tcW w:w="174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 2020</w:t>
            </w:r>
          </w:p>
        </w:tc>
      </w:tr>
      <w:tr>
        <w:trPr>
          <w:trHeight w:val="171"/>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Impaired loans</w:t>
            </w:r>
          </w:p>
        </w:tc>
        <w:tc>
          <w:tcPr>
            <w:tcW w:w="20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r>
      <w:tr>
        <w:trPr>
          <w:trHeight w:val="212"/>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Level 3 inputs</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13,343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9,709</w:t>
            </w:r>
          </w:p>
        </w:tc>
      </w:tr>
      <w:tr>
        <w:trPr>
          <w:trHeight w:val="204"/>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13,343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85"/>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Foreclosed real estate</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186"/>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Level 3 inputs</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3,326</w:t>
            </w:r>
          </w:p>
        </w:tc>
      </w:tr>
      <w:tr>
        <w:trPr>
          <w:trHeight w:val="204"/>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The following table provides information describing the unobservable inputs used in Level 3 fair value measurements at September 30, 2021 and December 31, 2020:</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2220" w:type="dxa"/>
            <w:vAlign w:val="bottom"/>
          </w:tcPr>
          <w:p>
            <w:pPr>
              <w:ind w:left="340"/>
              <w:spacing w:after="0"/>
              <w:rPr>
                <w:sz w:val="20"/>
                <w:szCs w:val="20"/>
                <w:color w:val="auto"/>
              </w:rPr>
            </w:pPr>
            <w:r>
              <w:rPr>
                <w:rFonts w:ascii="Arial" w:cs="Arial" w:eastAsia="Arial" w:hAnsi="Arial"/>
                <w:sz w:val="14"/>
                <w:szCs w:val="14"/>
                <w:b w:val="1"/>
                <w:bCs w:val="1"/>
                <w:color w:val="auto"/>
              </w:rPr>
              <w:t>Unobservable Inputs</w:t>
            </w: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2220" w:type="dxa"/>
            <w:vAlign w:val="bottom"/>
            <w:tcBorders>
              <w:bottom w:val="single" w:sz="8" w:color="CCEEFF"/>
            </w:tcBorders>
          </w:tcPr>
          <w:p>
            <w:pPr>
              <w:spacing w:after="0"/>
              <w:rPr>
                <w:sz w:val="24"/>
                <w:szCs w:val="24"/>
                <w:color w:val="auto"/>
              </w:rPr>
            </w:pPr>
          </w:p>
        </w:tc>
        <w:tc>
          <w:tcPr>
            <w:tcW w:w="288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b w:val="1"/>
                <w:bCs w:val="1"/>
                <w:color w:val="auto"/>
                <w:w w:val="99"/>
              </w:rPr>
              <w:t>Valuation Technique</w:t>
            </w:r>
          </w:p>
        </w:tc>
        <w:tc>
          <w:tcPr>
            <w:tcW w:w="120" w:type="dxa"/>
            <w:vAlign w:val="bottom"/>
            <w:tcBorders>
              <w:bottom w:val="single" w:sz="8" w:color="CCEEFF"/>
            </w:tcBorders>
          </w:tcPr>
          <w:p>
            <w:pPr>
              <w:spacing w:after="0"/>
              <w:rPr>
                <w:sz w:val="24"/>
                <w:szCs w:val="24"/>
                <w:color w:val="auto"/>
              </w:rPr>
            </w:pPr>
          </w:p>
        </w:tc>
        <w:tc>
          <w:tcPr>
            <w:tcW w:w="408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w w:val="99"/>
              </w:rPr>
              <w:t>Unobservable Inputs</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center"/>
              <w:ind w:left="429"/>
              <w:spacing w:after="0"/>
              <w:rPr>
                <w:sz w:val="20"/>
                <w:szCs w:val="20"/>
                <w:color w:val="auto"/>
              </w:rPr>
            </w:pPr>
            <w:r>
              <w:rPr>
                <w:rFonts w:ascii="Arial" w:cs="Arial" w:eastAsia="Arial" w:hAnsi="Arial"/>
                <w:sz w:val="14"/>
                <w:szCs w:val="14"/>
                <w:b w:val="1"/>
                <w:bCs w:val="1"/>
                <w:color w:val="auto"/>
              </w:rPr>
              <w:t>Range of Inputs</w:t>
            </w:r>
          </w:p>
        </w:tc>
        <w:tc>
          <w:tcPr>
            <w:tcW w:w="0" w:type="dxa"/>
            <w:vAlign w:val="bottom"/>
          </w:tcPr>
          <w:p>
            <w:pPr>
              <w:spacing w:after="0"/>
              <w:rPr>
                <w:sz w:val="1"/>
                <w:szCs w:val="1"/>
                <w:color w:val="auto"/>
              </w:rPr>
            </w:pPr>
          </w:p>
        </w:tc>
      </w:tr>
      <w:tr>
        <w:trPr>
          <w:trHeight w:val="144"/>
        </w:trPr>
        <w:tc>
          <w:tcPr>
            <w:tcW w:w="2220" w:type="dxa"/>
            <w:vAlign w:val="bottom"/>
            <w:vMerge w:val="restart"/>
            <w:shd w:val="clear" w:color="auto" w:fill="CCEEFF"/>
          </w:tcPr>
          <w:p>
            <w:pPr>
              <w:ind w:left="340"/>
              <w:spacing w:after="0"/>
              <w:rPr>
                <w:sz w:val="20"/>
                <w:szCs w:val="20"/>
                <w:color w:val="auto"/>
              </w:rPr>
            </w:pPr>
            <w:r>
              <w:rPr>
                <w:rFonts w:ascii="Arial" w:cs="Arial" w:eastAsia="Arial" w:hAnsi="Arial"/>
                <w:sz w:val="14"/>
                <w:szCs w:val="14"/>
                <w:color w:val="auto"/>
              </w:rPr>
              <w:t>Impaired Loans</w:t>
            </w:r>
          </w:p>
        </w:tc>
        <w:tc>
          <w:tcPr>
            <w:tcW w:w="3000" w:type="dxa"/>
            <w:vAlign w:val="bottom"/>
            <w:gridSpan w:val="2"/>
            <w:shd w:val="clear" w:color="auto" w:fill="CCEEFF"/>
          </w:tcPr>
          <w:p>
            <w:pPr>
              <w:jc w:val="center"/>
              <w:ind w:left="129"/>
              <w:spacing w:after="0" w:line="144" w:lineRule="exact"/>
              <w:rPr>
                <w:sz w:val="20"/>
                <w:szCs w:val="20"/>
                <w:color w:val="auto"/>
              </w:rPr>
            </w:pPr>
            <w:r>
              <w:rPr>
                <w:rFonts w:ascii="Arial" w:cs="Arial" w:eastAsia="Arial" w:hAnsi="Arial"/>
                <w:sz w:val="14"/>
                <w:szCs w:val="14"/>
                <w:color w:val="auto"/>
              </w:rPr>
              <w:t>Appraised Value/Discounted Cash</w:t>
            </w:r>
          </w:p>
        </w:tc>
        <w:tc>
          <w:tcPr>
            <w:tcW w:w="4200" w:type="dxa"/>
            <w:vAlign w:val="bottom"/>
            <w:gridSpan w:val="2"/>
            <w:shd w:val="clear" w:color="auto" w:fill="CCEEFF"/>
          </w:tcPr>
          <w:p>
            <w:pPr>
              <w:jc w:val="center"/>
              <w:ind w:left="109"/>
              <w:spacing w:after="0" w:line="144" w:lineRule="exact"/>
              <w:rPr>
                <w:sz w:val="20"/>
                <w:szCs w:val="20"/>
                <w:color w:val="auto"/>
              </w:rPr>
            </w:pPr>
            <w:r>
              <w:rPr>
                <w:rFonts w:ascii="Arial" w:cs="Arial" w:eastAsia="Arial" w:hAnsi="Arial"/>
                <w:sz w:val="14"/>
                <w:szCs w:val="14"/>
                <w:color w:val="auto"/>
              </w:rPr>
              <w:t>Discounts to appraisals or cash flows for estimated holding</w:t>
            </w:r>
          </w:p>
        </w:tc>
        <w:tc>
          <w:tcPr>
            <w:tcW w:w="1600" w:type="dxa"/>
            <w:vAlign w:val="bottom"/>
            <w:vMerge w:val="restart"/>
            <w:shd w:val="clear" w:color="auto" w:fill="CCEEFF"/>
          </w:tcPr>
          <w:p>
            <w:pPr>
              <w:jc w:val="center"/>
              <w:ind w:left="429"/>
              <w:spacing w:after="0"/>
              <w:rPr>
                <w:sz w:val="20"/>
                <w:szCs w:val="20"/>
                <w:color w:val="auto"/>
              </w:rPr>
            </w:pPr>
            <w:r>
              <w:rPr>
                <w:rFonts w:ascii="Arial" w:cs="Arial" w:eastAsia="Arial" w:hAnsi="Arial"/>
                <w:sz w:val="14"/>
                <w:szCs w:val="14"/>
                <w:color w:val="auto"/>
                <w:w w:val="98"/>
              </w:rPr>
              <w:t>11 to 25%</w:t>
            </w:r>
          </w:p>
        </w:tc>
        <w:tc>
          <w:tcPr>
            <w:tcW w:w="0" w:type="dxa"/>
            <w:vAlign w:val="bottom"/>
          </w:tcPr>
          <w:p>
            <w:pPr>
              <w:spacing w:after="0"/>
              <w:rPr>
                <w:sz w:val="1"/>
                <w:szCs w:val="1"/>
                <w:color w:val="auto"/>
              </w:rPr>
            </w:pPr>
          </w:p>
        </w:tc>
      </w:tr>
      <w:tr>
        <w:trPr>
          <w:trHeight w:val="168"/>
        </w:trPr>
        <w:tc>
          <w:tcPr>
            <w:tcW w:w="2220" w:type="dxa"/>
            <w:vAlign w:val="bottom"/>
            <w:vMerge w:val="continue"/>
            <w:shd w:val="clear" w:color="auto" w:fill="CCEEFF"/>
          </w:tcPr>
          <w:p>
            <w:pPr>
              <w:spacing w:after="0"/>
              <w:rPr>
                <w:sz w:val="14"/>
                <w:szCs w:val="14"/>
                <w:color w:val="auto"/>
              </w:rPr>
            </w:pPr>
          </w:p>
        </w:tc>
        <w:tc>
          <w:tcPr>
            <w:tcW w:w="300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Flows</w:t>
            </w:r>
          </w:p>
        </w:tc>
        <w:tc>
          <w:tcPr>
            <w:tcW w:w="4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and/or selling costs</w:t>
            </w: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220" w:type="dxa"/>
            <w:vAlign w:val="bottom"/>
            <w:vMerge w:val="restart"/>
          </w:tcPr>
          <w:p>
            <w:pPr>
              <w:ind w:left="340"/>
              <w:spacing w:after="0"/>
              <w:rPr>
                <w:sz w:val="20"/>
                <w:szCs w:val="20"/>
                <w:color w:val="auto"/>
              </w:rPr>
            </w:pPr>
            <w:r>
              <w:rPr>
                <w:rFonts w:ascii="Arial" w:cs="Arial" w:eastAsia="Arial" w:hAnsi="Arial"/>
                <w:sz w:val="14"/>
                <w:szCs w:val="14"/>
                <w:color w:val="auto"/>
              </w:rPr>
              <w:t>Foreclosed Real Estate</w:t>
            </w:r>
          </w:p>
        </w:tc>
        <w:tc>
          <w:tcPr>
            <w:tcW w:w="3000" w:type="dxa"/>
            <w:vAlign w:val="bottom"/>
            <w:gridSpan w:val="2"/>
            <w:vMerge w:val="restart"/>
          </w:tcPr>
          <w:p>
            <w:pPr>
              <w:jc w:val="center"/>
              <w:ind w:left="129"/>
              <w:spacing w:after="0"/>
              <w:rPr>
                <w:sz w:val="20"/>
                <w:szCs w:val="20"/>
                <w:color w:val="auto"/>
              </w:rPr>
            </w:pPr>
            <w:r>
              <w:rPr>
                <w:rFonts w:ascii="Arial" w:cs="Arial" w:eastAsia="Arial" w:hAnsi="Arial"/>
                <w:sz w:val="14"/>
                <w:szCs w:val="14"/>
                <w:color w:val="auto"/>
              </w:rPr>
              <w:t>Appraised Value/Comparable Sales</w:t>
            </w:r>
          </w:p>
        </w:tc>
        <w:tc>
          <w:tcPr>
            <w:tcW w:w="4200" w:type="dxa"/>
            <w:vAlign w:val="bottom"/>
            <w:gridSpan w:val="2"/>
          </w:tcPr>
          <w:p>
            <w:pPr>
              <w:jc w:val="center"/>
              <w:ind w:left="109"/>
              <w:spacing w:after="0" w:line="151" w:lineRule="exact"/>
              <w:rPr>
                <w:sz w:val="20"/>
                <w:szCs w:val="20"/>
                <w:color w:val="auto"/>
              </w:rPr>
            </w:pPr>
            <w:r>
              <w:rPr>
                <w:rFonts w:ascii="Arial" w:cs="Arial" w:eastAsia="Arial" w:hAnsi="Arial"/>
                <w:sz w:val="14"/>
                <w:szCs w:val="14"/>
                <w:color w:val="auto"/>
              </w:rPr>
              <w:t>Discounts to appraisals for estimated holding and/or selling</w:t>
            </w:r>
          </w:p>
        </w:tc>
        <w:tc>
          <w:tcPr>
            <w:tcW w:w="1600" w:type="dxa"/>
            <w:vAlign w:val="bottom"/>
            <w:vMerge w:val="restart"/>
          </w:tcPr>
          <w:p>
            <w:pPr>
              <w:jc w:val="center"/>
              <w:ind w:left="429"/>
              <w:spacing w:after="0"/>
              <w:rPr>
                <w:sz w:val="20"/>
                <w:szCs w:val="20"/>
                <w:color w:val="auto"/>
              </w:rPr>
            </w:pPr>
            <w:r>
              <w:rPr>
                <w:rFonts w:ascii="Arial" w:cs="Arial" w:eastAsia="Arial" w:hAnsi="Arial"/>
                <w:sz w:val="14"/>
                <w:szCs w:val="14"/>
                <w:color w:val="auto"/>
                <w:w w:val="98"/>
              </w:rPr>
              <w:t>11 to 25%</w:t>
            </w:r>
          </w:p>
        </w:tc>
        <w:tc>
          <w:tcPr>
            <w:tcW w:w="0" w:type="dxa"/>
            <w:vAlign w:val="bottom"/>
          </w:tcPr>
          <w:p>
            <w:pPr>
              <w:spacing w:after="0"/>
              <w:rPr>
                <w:sz w:val="1"/>
                <w:szCs w:val="1"/>
                <w:color w:val="auto"/>
              </w:rPr>
            </w:pPr>
          </w:p>
        </w:tc>
      </w:tr>
      <w:tr>
        <w:trPr>
          <w:trHeight w:val="170"/>
        </w:trPr>
        <w:tc>
          <w:tcPr>
            <w:tcW w:w="2220" w:type="dxa"/>
            <w:vAlign w:val="bottom"/>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4200" w:type="dxa"/>
            <w:vAlign w:val="bottom"/>
            <w:gridSpan w:val="2"/>
          </w:tcPr>
          <w:p>
            <w:pPr>
              <w:jc w:val="center"/>
              <w:ind w:right="140"/>
              <w:spacing w:after="0"/>
              <w:rPr>
                <w:sz w:val="20"/>
                <w:szCs w:val="20"/>
                <w:color w:val="auto"/>
              </w:rPr>
            </w:pPr>
            <w:r>
              <w:rPr>
                <w:rFonts w:ascii="Arial" w:cs="Arial" w:eastAsia="Arial" w:hAnsi="Arial"/>
                <w:sz w:val="14"/>
                <w:szCs w:val="14"/>
                <w:color w:val="auto"/>
              </w:rPr>
              <w:t>costs</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pacing w:after="0" w:line="20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may not be precise. Subjective factors include, among other things, estimates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5" w:name="page36"/>
    <w:bookmarkEnd w:id="35"/>
    <w:p>
      <w:pPr>
        <w:ind w:left="98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-173990</wp:posOffset>
            </wp:positionV>
            <wp:extent cx="653732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cash and cash equivalents and investments in restricted stocks is the carrying amount. Restricted stock includes equity of the Federal Reserve and other banker’s banks.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17"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8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20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presents the carrying amount, fair value, and placement in the fair value hierarchy of the Company’s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6" w:name="page37"/>
    <w:bookmarkEnd w:id="36"/>
    <w:p>
      <w:pPr>
        <w:ind w:left="98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-173990</wp:posOffset>
            </wp:positionV>
            <wp:extent cx="65373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5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Selected Financial Instruments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2760" w:type="dxa"/>
            <w:vAlign w:val="bottom"/>
            <w:gridSpan w:val="4"/>
          </w:tcPr>
          <w:p>
            <w:pPr>
              <w:jc w:val="right"/>
              <w:ind w:right="729"/>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54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Fair Value</w:t>
            </w:r>
          </w:p>
        </w:tc>
      </w:tr>
      <w:tr>
        <w:trPr>
          <w:trHeight w:val="192"/>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186"/>
        </w:trPr>
        <w:tc>
          <w:tcPr>
            <w:tcW w:w="5400" w:type="dxa"/>
            <w:vAlign w:val="bottom"/>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23,650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18,456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18,456</w:t>
            </w:r>
          </w:p>
        </w:tc>
      </w:tr>
      <w:tr>
        <w:trPr>
          <w:trHeight w:val="186"/>
        </w:trPr>
        <w:tc>
          <w:tcPr>
            <w:tcW w:w="5400" w:type="dxa"/>
            <w:vAlign w:val="bottom"/>
          </w:tcPr>
          <w:p>
            <w:pPr>
              <w:ind w:left="180"/>
              <w:spacing w:after="0"/>
              <w:rPr>
                <w:sz w:val="20"/>
                <w:szCs w:val="20"/>
                <w:color w:val="auto"/>
              </w:rPr>
            </w:pPr>
            <w:r>
              <w:rPr>
                <w:rFonts w:ascii="Arial" w:cs="Arial" w:eastAsia="Arial" w:hAnsi="Arial"/>
                <w:sz w:val="14"/>
                <w:szCs w:val="14"/>
                <w:color w:val="auto"/>
              </w:rPr>
              <w:t>Interest bearing deposits at other financial institutions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299,033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299,033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126,081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126,081</w:t>
            </w:r>
          </w:p>
        </w:tc>
      </w:tr>
      <w:tr>
        <w:trPr>
          <w:trHeight w:val="186"/>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 funds sold</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2,373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2,373</w:t>
            </w:r>
          </w:p>
        </w:tc>
      </w:tr>
      <w:tr>
        <w:trPr>
          <w:trHeight w:val="185"/>
        </w:trPr>
        <w:tc>
          <w:tcPr>
            <w:tcW w:w="5400" w:type="dxa"/>
            <w:vAlign w:val="bottom"/>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6"/>
        </w:trPr>
        <w:tc>
          <w:tcPr>
            <w:tcW w:w="5400" w:type="dxa"/>
            <w:vAlign w:val="bottom"/>
            <w:shd w:val="clear" w:color="auto" w:fill="CCEEFF"/>
          </w:tcPr>
          <w:p>
            <w:pPr>
              <w:ind w:left="180"/>
              <w:spacing w:after="0" w:line="186" w:lineRule="exact"/>
              <w:rPr>
                <w:sz w:val="20"/>
                <w:szCs w:val="20"/>
                <w:color w:val="auto"/>
              </w:rPr>
            </w:pPr>
            <w:r>
              <w:rPr>
                <w:rFonts w:ascii="Arial" w:cs="Arial" w:eastAsia="Arial" w:hAnsi="Arial"/>
                <w:sz w:val="14"/>
                <w:szCs w:val="14"/>
                <w:color w:val="auto"/>
              </w:rPr>
              <w:t xml:space="preserve">Loans receivable, net </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1,557,551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1,555,582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1,493,086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1,499,073</w:t>
            </w:r>
          </w:p>
        </w:tc>
      </w:tr>
      <w:tr>
        <w:trPr>
          <w:trHeight w:val="185"/>
        </w:trPr>
        <w:tc>
          <w:tcPr>
            <w:tcW w:w="540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3,498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3,498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3,713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3,713</w:t>
            </w:r>
          </w:p>
        </w:tc>
      </w:tr>
      <w:tr>
        <w:trPr>
          <w:trHeight w:val="212"/>
        </w:trPr>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2"/>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5400" w:type="dxa"/>
            <w:vAlign w:val="bottom"/>
          </w:tcPr>
          <w:p>
            <w:pPr>
              <w:ind w:left="180"/>
              <w:spacing w:after="0"/>
              <w:rPr>
                <w:sz w:val="20"/>
                <w:szCs w:val="20"/>
                <w:color w:val="auto"/>
              </w:rPr>
            </w:pPr>
            <w:r>
              <w:rPr>
                <w:rFonts w:ascii="Arial" w:cs="Arial" w:eastAsia="Arial" w:hAnsi="Arial"/>
                <w:sz w:val="14"/>
                <w:szCs w:val="14"/>
                <w:color w:val="auto"/>
              </w:rPr>
              <w:t>Noninterest bearing deposits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833,187</w:t>
            </w:r>
          </w:p>
        </w:tc>
        <w:tc>
          <w:tcPr>
            <w:tcW w:w="12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833,187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608,559</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608,559</w:t>
            </w: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5400" w:type="dxa"/>
            <w:vAlign w:val="bottom"/>
          </w:tcPr>
          <w:p>
            <w:pPr>
              <w:ind w:left="180"/>
              <w:spacing w:after="0"/>
              <w:rPr>
                <w:sz w:val="20"/>
                <w:szCs w:val="20"/>
                <w:color w:val="auto"/>
              </w:rPr>
            </w:pPr>
            <w:r>
              <w:rPr>
                <w:rFonts w:ascii="Arial" w:cs="Arial" w:eastAsia="Arial" w:hAnsi="Arial"/>
                <w:sz w:val="14"/>
                <w:szCs w:val="14"/>
                <w:color w:val="auto"/>
              </w:rPr>
              <w:t>Interest bearing deposits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1,088,051</w:t>
            </w:r>
          </w:p>
        </w:tc>
        <w:tc>
          <w:tcPr>
            <w:tcW w:w="12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1,090,263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1,043,569</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1,048,728</w:t>
            </w:r>
          </w:p>
        </w:tc>
      </w:tr>
      <w:tr>
        <w:trPr>
          <w:trHeight w:val="186"/>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FHLB advances and other borrowed funds</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34,062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34,609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36,016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37,067</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40" w:hanging="234"/>
        <w:spacing w:after="0" w:line="206" w:lineRule="auto"/>
        <w:tabs>
          <w:tab w:leader="none" w:pos="2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SBA-PPP loans and portfolio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37" w:name="page38"/>
    <w:bookmarkEnd w:id="37"/>
    <w:p>
      <w:pPr>
        <w:ind w:left="6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-173990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00" w:firstLine="318"/>
        <w:spacing w:after="0" w:line="232" w:lineRule="auto"/>
        <w:rPr>
          <w:sz w:val="20"/>
          <w:szCs w:val="20"/>
          <w:color w:val="auto"/>
        </w:rPr>
      </w:pPr>
      <w:r>
        <w:rPr>
          <w:rFonts w:ascii="Arial" w:cs="Arial" w:eastAsia="Arial" w:hAnsi="Arial"/>
          <w:sz w:val="18"/>
          <w:szCs w:val="18"/>
          <w:color w:val="auto"/>
        </w:rPr>
        <w:t>The Company’s reportable segments represent product line divisions and are viewed separately for strategic planning purposes by management. The four segments include Commercial Banking, Capital Bank Home Loans (the Company’s mortgage loan division),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(the Company’s credit card division) and the Corporate Office. The following schedule presents financial information for each reportable segment at September 30, 2021 and September 30, 2020.</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Segments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 the Three Months Ended September 30,</w:t>
      </w:r>
    </w:p>
    <w:tbl>
      <w:tblPr>
        <w:tblLayout w:type="fixed"/>
        <w:tblInd w:w="320" w:type="dxa"/>
        <w:tblCellMar>
          <w:top w:w="0" w:type="dxa"/>
          <w:left w:w="0" w:type="dxa"/>
          <w:bottom w:w="0" w:type="dxa"/>
          <w:right w:w="0" w:type="dxa"/>
        </w:tblCellMar>
      </w:tblPr>
      <w:tr>
        <w:trPr>
          <w:trHeight w:val="22"/>
        </w:trPr>
        <w:tc>
          <w:tcPr>
            <w:tcW w:w="340" w:type="dxa"/>
            <w:vAlign w:val="bottom"/>
            <w:gridSpan w:val="2"/>
            <w:vMerge w:val="restart"/>
          </w:tcPr>
          <w:p>
            <w:pPr>
              <w:jc w:val="right"/>
              <w:spacing w:after="0" w:line="141" w:lineRule="exact"/>
              <w:rPr>
                <w:sz w:val="20"/>
                <w:szCs w:val="20"/>
                <w:color w:val="auto"/>
              </w:rPr>
            </w:pPr>
            <w:r>
              <w:rPr>
                <w:rFonts w:ascii="Arial" w:cs="Arial" w:eastAsia="Arial" w:hAnsi="Arial"/>
                <w:sz w:val="14"/>
                <w:szCs w:val="14"/>
                <w:b w:val="1"/>
                <w:bCs w:val="1"/>
                <w:color w:val="auto"/>
              </w:rPr>
              <w:t>2021</w:t>
            </w:r>
          </w:p>
        </w:tc>
        <w:tc>
          <w:tcPr>
            <w:tcW w:w="1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Commercial</w:t>
            </w:r>
          </w:p>
        </w:tc>
        <w:tc>
          <w:tcPr>
            <w:tcW w:w="52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CBHL</w:t>
            </w:r>
          </w:p>
        </w:tc>
        <w:tc>
          <w:tcPr>
            <w:tcW w:w="46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46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44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4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Consolidate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spacing w:after="0"/>
              <w:rPr>
                <w:sz w:val="20"/>
                <w:szCs w:val="20"/>
                <w:color w:val="auto"/>
              </w:rPr>
            </w:pPr>
            <w:r>
              <w:rPr>
                <w:rFonts w:ascii="Arial" w:cs="Arial" w:eastAsia="Arial" w:hAnsi="Arial"/>
                <w:sz w:val="11"/>
                <w:szCs w:val="11"/>
                <w:color w:val="auto"/>
              </w:rPr>
              <w:t>(in thousands)</w:t>
            </w:r>
          </w:p>
        </w:tc>
        <w:tc>
          <w:tcPr>
            <w:tcW w:w="460" w:type="dxa"/>
            <w:vAlign w:val="bottom"/>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rPr>
              <w:t>Bank</w:t>
            </w:r>
          </w:p>
        </w:tc>
        <w:tc>
          <w:tcPr>
            <w:tcW w:w="5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17,109</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248</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15,635</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574</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Interest expense</w:t>
            </w:r>
          </w:p>
        </w:tc>
        <w:tc>
          <w:tcPr>
            <w:tcW w:w="4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1,160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177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15,949</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15,635</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404</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780" w:type="dxa"/>
            <w:vAlign w:val="bottom"/>
            <w:shd w:val="clear" w:color="auto" w:fill="CCEEFF"/>
          </w:tcPr>
          <w:p>
            <w:pPr>
              <w:ind w:left="120"/>
              <w:spacing w:after="0" w:line="126" w:lineRule="exact"/>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15,949</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14,660</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404</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31,0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after provision</w:t>
            </w:r>
          </w:p>
        </w:tc>
        <w:tc>
          <w:tcPr>
            <w:tcW w:w="4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Noninterest income</w:t>
            </w:r>
          </w:p>
        </w:tc>
        <w:tc>
          <w:tcPr>
            <w:tcW w:w="4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559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4,484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7,553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4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12,073</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2,775</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13,677</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tcPr>
          <w:p>
            <w:pPr>
              <w:ind w:left="120"/>
              <w:spacing w:after="0" w:line="126" w:lineRule="exact"/>
              <w:rPr>
                <w:sz w:val="20"/>
                <w:szCs w:val="20"/>
                <w:color w:val="auto"/>
              </w:rPr>
            </w:pPr>
            <w:r>
              <w:rPr>
                <w:rFonts w:ascii="Arial" w:cs="Arial" w:eastAsia="Arial" w:hAnsi="Arial"/>
                <w:sz w:val="14"/>
                <w:szCs w:val="14"/>
                <w:b w:val="1"/>
                <w:bCs w:val="1"/>
                <w:color w:val="auto"/>
              </w:rPr>
              <w:t>Net income before</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4,435</w:t>
            </w:r>
          </w:p>
        </w:tc>
        <w:tc>
          <w:tcPr>
            <w:tcW w:w="100" w:type="dxa"/>
            <w:vAlign w:val="bottom"/>
          </w:tcPr>
          <w:p>
            <w:pPr>
              <w:spacing w:after="0"/>
              <w:rPr>
                <w:sz w:val="10"/>
                <w:szCs w:val="10"/>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1,780</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8,536</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303</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0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taxes</w:t>
            </w:r>
          </w:p>
        </w:tc>
        <w:tc>
          <w:tcPr>
            <w:tcW w:w="4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1,956,340</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36,791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135,612</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209,070</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(168,257)</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2,169,5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3380" w:type="dxa"/>
            <w:vAlign w:val="bottom"/>
            <w:gridSpan w:val="5"/>
          </w:tcPr>
          <w:p>
            <w:pPr>
              <w:spacing w:after="0" w:line="159" w:lineRule="exact"/>
              <w:rPr>
                <w:sz w:val="20"/>
                <w:szCs w:val="20"/>
                <w:color w:val="auto"/>
              </w:rPr>
            </w:pPr>
            <w:r>
              <w:rPr>
                <w:rFonts w:ascii="Arial" w:cs="Arial" w:eastAsia="Arial" w:hAnsi="Arial"/>
                <w:sz w:val="14"/>
                <w:szCs w:val="14"/>
                <w:b w:val="1"/>
                <w:bCs w:val="1"/>
                <w:color w:val="auto"/>
              </w:rPr>
              <w:t>For the Three Months Ended September 30,</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0" w:type="dxa"/>
            <w:vAlign w:val="bottom"/>
            <w:gridSpan w:val="2"/>
            <w:vMerge w:val="continue"/>
          </w:tcPr>
          <w:p>
            <w:pPr>
              <w:spacing w:after="0"/>
              <w:rPr>
                <w:sz w:val="10"/>
                <w:szCs w:val="10"/>
                <w:color w:val="auto"/>
              </w:rPr>
            </w:pPr>
          </w:p>
        </w:tc>
        <w:tc>
          <w:tcPr>
            <w:tcW w:w="17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16,695</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expense</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2,214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410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14,481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3,123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780" w:type="dxa"/>
            <w:vAlign w:val="bottom"/>
            <w:shd w:val="clear" w:color="auto" w:fill="CCEEFF"/>
          </w:tcPr>
          <w:p>
            <w:pPr>
              <w:ind w:left="120"/>
              <w:spacing w:after="0" w:line="126" w:lineRule="exact"/>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11,358</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6,693</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after provision</w:t>
            </w:r>
          </w:p>
        </w:tc>
        <w:tc>
          <w:tcPr>
            <w:tcW w:w="46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color w:val="auto"/>
              </w:rPr>
              <w:t>Noninterest income</w:t>
            </w:r>
          </w:p>
        </w:tc>
        <w:tc>
          <w:tcPr>
            <w:tcW w:w="46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11,540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4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9,148</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5,243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9,974</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tcPr>
          <w:p>
            <w:pPr>
              <w:ind w:left="120"/>
              <w:spacing w:after="0" w:line="126" w:lineRule="exact"/>
              <w:rPr>
                <w:sz w:val="20"/>
                <w:szCs w:val="20"/>
                <w:color w:val="auto"/>
              </w:rPr>
            </w:pPr>
            <w:r>
              <w:rPr>
                <w:rFonts w:ascii="Arial" w:cs="Arial" w:eastAsia="Arial" w:hAnsi="Arial"/>
                <w:sz w:val="14"/>
                <w:szCs w:val="14"/>
                <w:b w:val="1"/>
                <w:bCs w:val="1"/>
                <w:color w:val="auto"/>
              </w:rPr>
              <w:t>Net income before</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color w:val="auto"/>
              </w:rPr>
              <w:t>2,374</w:t>
            </w:r>
          </w:p>
        </w:tc>
        <w:tc>
          <w:tcPr>
            <w:tcW w:w="100" w:type="dxa"/>
            <w:vAlign w:val="bottom"/>
          </w:tcPr>
          <w:p>
            <w:pPr>
              <w:spacing w:after="0"/>
              <w:rPr>
                <w:sz w:val="10"/>
                <w:szCs w:val="10"/>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6,588</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2,492</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0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taxes</w:t>
            </w:r>
          </w:p>
        </w:tc>
        <w:tc>
          <w:tcPr>
            <w:tcW w:w="4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1,611,947</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138,781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95,124</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172,269</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(139,092)</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04" w:right="239" w:bottom="1440" w:gutter="0" w:footer="0" w:header="0"/>
        </w:sectPr>
      </w:pPr>
    </w:p>
    <w:bookmarkStart w:id="38" w:name="page39"/>
    <w:bookmarkEnd w:id="38"/>
    <w:p>
      <w:pPr>
        <w:ind w:left="34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-173990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For the Nine Months Ended September 30, 2021</w:t>
            </w:r>
          </w:p>
        </w:tc>
        <w:tc>
          <w:tcPr>
            <w:tcW w:w="1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3"/>
          </w:tcPr>
          <w:p>
            <w:pPr>
              <w:ind w:left="40"/>
              <w:spacing w:after="0" w:line="152" w:lineRule="exact"/>
              <w:rPr>
                <w:sz w:val="20"/>
                <w:szCs w:val="20"/>
                <w:color w:val="auto"/>
              </w:rPr>
            </w:pPr>
            <w:r>
              <w:rPr>
                <w:rFonts w:ascii="Arial" w:cs="Arial" w:eastAsia="Arial" w:hAnsi="Arial"/>
                <w:sz w:val="14"/>
                <w:szCs w:val="14"/>
                <w:b w:val="1"/>
                <w:bCs w:val="1"/>
                <w:color w:val="auto"/>
              </w:rPr>
              <w:t>Commercial</w:t>
            </w:r>
          </w:p>
        </w:tc>
        <w:tc>
          <w:tcPr>
            <w:tcW w:w="5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CBHL</w:t>
            </w:r>
          </w:p>
        </w:tc>
        <w:tc>
          <w:tcPr>
            <w:tcW w:w="460" w:type="dxa"/>
            <w:vAlign w:val="bottom"/>
          </w:tcPr>
          <w:p>
            <w:pPr>
              <w:spacing w:after="0"/>
              <w:rPr>
                <w:sz w:val="13"/>
                <w:szCs w:val="13"/>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46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4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4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Arial" w:cs="Arial" w:eastAsia="Arial" w:hAnsi="Arial"/>
                <w:sz w:val="11"/>
                <w:szCs w:val="11"/>
                <w:color w:val="auto"/>
              </w:rPr>
              <w:t>(in thousands)</w:t>
            </w:r>
          </w:p>
        </w:tc>
        <w:tc>
          <w:tcPr>
            <w:tcW w:w="460" w:type="dxa"/>
            <w:vAlign w:val="bottom"/>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Arial" w:cs="Arial" w:eastAsia="Arial" w:hAnsi="Arial"/>
                <w:sz w:val="14"/>
                <w:szCs w:val="14"/>
                <w:b w:val="1"/>
                <w:bCs w:val="1"/>
                <w:color w:val="auto"/>
              </w:rPr>
              <w:t>Bank</w:t>
            </w:r>
          </w:p>
        </w:tc>
        <w:tc>
          <w:tcPr>
            <w:tcW w:w="5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51,969</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1,037</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34,944</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1,604</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89,45</w:t>
            </w: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Interest expense</w:t>
            </w: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4,285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745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502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5,43</w:t>
            </w:r>
          </w:p>
        </w:tc>
        <w:tc>
          <w:tcPr>
            <w:tcW w:w="0" w:type="dxa"/>
            <w:vAlign w:val="bottom"/>
          </w:tcPr>
          <w:p>
            <w:pPr>
              <w:spacing w:after="0"/>
              <w:rPr>
                <w:sz w:val="1"/>
                <w:szCs w:val="1"/>
                <w:color w:val="auto"/>
              </w:rPr>
            </w:pPr>
          </w:p>
        </w:tc>
      </w:tr>
      <w:tr>
        <w:trPr>
          <w:trHeight w:val="179"/>
        </w:trPr>
        <w:tc>
          <w:tcPr>
            <w:tcW w:w="34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47,684</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292</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34,944</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1,102</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84,02</w:t>
            </w:r>
          </w:p>
        </w:tc>
        <w:tc>
          <w:tcPr>
            <w:tcW w:w="0" w:type="dxa"/>
            <w:vAlign w:val="bottom"/>
          </w:tcPr>
          <w:p>
            <w:pPr>
              <w:spacing w:after="0"/>
              <w:rPr>
                <w:sz w:val="1"/>
                <w:szCs w:val="1"/>
                <w:color w:val="auto"/>
              </w:rPr>
            </w:pPr>
          </w:p>
        </w:tc>
      </w:tr>
      <w:tr>
        <w:trPr>
          <w:trHeight w:val="186"/>
        </w:trPr>
        <w:tc>
          <w:tcPr>
            <w:tcW w:w="34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c>
          <w:tcPr>
            <w:tcW w:w="0" w:type="dxa"/>
            <w:vAlign w:val="bottom"/>
          </w:tcPr>
          <w:p>
            <w:pPr>
              <w:spacing w:after="0"/>
              <w:rPr>
                <w:sz w:val="1"/>
                <w:szCs w:val="1"/>
                <w:color w:val="auto"/>
              </w:rPr>
            </w:pPr>
          </w:p>
        </w:tc>
      </w:tr>
      <w:tr>
        <w:trPr>
          <w:trHeight w:val="126"/>
        </w:trPr>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6" w:lineRule="exact"/>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47,251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292</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33,188</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1,032</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81,76</w:t>
            </w:r>
          </w:p>
        </w:tc>
        <w:tc>
          <w:tcPr>
            <w:tcW w:w="0" w:type="dxa"/>
            <w:vAlign w:val="bottom"/>
          </w:tcPr>
          <w:p>
            <w:pPr>
              <w:spacing w:after="0"/>
              <w:rPr>
                <w:sz w:val="1"/>
                <w:szCs w:val="1"/>
                <w:color w:val="auto"/>
              </w:rPr>
            </w:pPr>
          </w:p>
        </w:tc>
      </w:tr>
      <w:tr>
        <w:trPr>
          <w:trHeight w:val="172"/>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after provision</w:t>
            </w:r>
          </w:p>
        </w:tc>
        <w:tc>
          <w:tcPr>
            <w:tcW w:w="4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Noninterest income</w:t>
            </w: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1,239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17,529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21,208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40,01</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4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31,989</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9,941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39,379</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81,59</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1740" w:type="dxa"/>
            <w:vAlign w:val="bottom"/>
          </w:tcPr>
          <w:p>
            <w:pPr>
              <w:ind w:left="120"/>
              <w:spacing w:after="0" w:line="126" w:lineRule="exact"/>
              <w:rPr>
                <w:sz w:val="20"/>
                <w:szCs w:val="20"/>
                <w:color w:val="auto"/>
              </w:rPr>
            </w:pPr>
            <w:r>
              <w:rPr>
                <w:rFonts w:ascii="Arial" w:cs="Arial" w:eastAsia="Arial" w:hAnsi="Arial"/>
                <w:sz w:val="14"/>
                <w:szCs w:val="14"/>
                <w:b w:val="1"/>
                <w:bCs w:val="1"/>
                <w:color w:val="auto"/>
              </w:rPr>
              <w:t>Net income before</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16,501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7,880</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15,017</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785</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40,18</w:t>
            </w:r>
          </w:p>
        </w:tc>
        <w:tc>
          <w:tcPr>
            <w:tcW w:w="0" w:type="dxa"/>
            <w:vAlign w:val="bottom"/>
          </w:tcPr>
          <w:p>
            <w:pPr>
              <w:spacing w:after="0"/>
              <w:rPr>
                <w:sz w:val="1"/>
                <w:szCs w:val="1"/>
                <w:color w:val="auto"/>
              </w:rPr>
            </w:pPr>
          </w:p>
        </w:tc>
      </w:tr>
      <w:tr>
        <w:trPr>
          <w:trHeight w:val="146"/>
        </w:trPr>
        <w:tc>
          <w:tcPr>
            <w:tcW w:w="208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taxes</w:t>
            </w:r>
          </w:p>
        </w:tc>
        <w:tc>
          <w:tcPr>
            <w:tcW w:w="4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1,956,340</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36,791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135,612</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209,070</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(168,257)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2,169,55</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340" w:type="dxa"/>
            <w:vAlign w:val="bottom"/>
            <w:gridSpan w:val="5"/>
          </w:tcPr>
          <w:p>
            <w:pPr>
              <w:spacing w:after="0" w:line="159" w:lineRule="exact"/>
              <w:rPr>
                <w:sz w:val="20"/>
                <w:szCs w:val="20"/>
                <w:color w:val="auto"/>
              </w:rPr>
            </w:pPr>
            <w:r>
              <w:rPr>
                <w:rFonts w:ascii="Arial" w:cs="Arial" w:eastAsia="Arial" w:hAnsi="Arial"/>
                <w:sz w:val="14"/>
                <w:szCs w:val="14"/>
                <w:b w:val="1"/>
                <w:bCs w:val="1"/>
                <w:color w:val="auto"/>
              </w:rPr>
              <w:t>For the Nine Months Ended September 30, 2020</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49,147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1,912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1,817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68,93</w:t>
            </w:r>
          </w:p>
        </w:tc>
        <w:tc>
          <w:tcPr>
            <w:tcW w:w="0" w:type="dxa"/>
            <w:vAlign w:val="bottom"/>
          </w:tcPr>
          <w:p>
            <w:pPr>
              <w:spacing w:after="0"/>
              <w:rPr>
                <w:sz w:val="1"/>
                <w:szCs w:val="1"/>
                <w:color w:val="auto"/>
              </w:rPr>
            </w:pPr>
          </w:p>
        </w:tc>
      </w:tr>
      <w:tr>
        <w:trPr>
          <w:trHeight w:val="186"/>
        </w:trPr>
        <w:tc>
          <w:tcPr>
            <w:tcW w:w="34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Interest expense</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8,536</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1,161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980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79"/>
        </w:trPr>
        <w:tc>
          <w:tcPr>
            <w:tcW w:w="340" w:type="dxa"/>
            <w:vAlign w:val="bottom"/>
            <w:shd w:val="clear" w:color="auto" w:fill="CCEEFF"/>
          </w:tcPr>
          <w:p>
            <w:pPr>
              <w:spacing w:after="0"/>
              <w:rPr>
                <w:sz w:val="15"/>
                <w:szCs w:val="15"/>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58,35</w:t>
            </w:r>
          </w:p>
        </w:tc>
        <w:tc>
          <w:tcPr>
            <w:tcW w:w="0" w:type="dxa"/>
            <w:vAlign w:val="bottom"/>
          </w:tcPr>
          <w:p>
            <w:pPr>
              <w:spacing w:after="0"/>
              <w:rPr>
                <w:sz w:val="1"/>
                <w:szCs w:val="1"/>
                <w:color w:val="auto"/>
              </w:rPr>
            </w:pPr>
          </w:p>
        </w:tc>
      </w:tr>
      <w:tr>
        <w:trPr>
          <w:trHeight w:val="185"/>
        </w:trPr>
        <w:tc>
          <w:tcPr>
            <w:tcW w:w="34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losses</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8,399</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26"/>
        </w:trPr>
        <w:tc>
          <w:tcPr>
            <w:tcW w:w="340" w:type="dxa"/>
            <w:vAlign w:val="bottom"/>
            <w:shd w:val="clear" w:color="auto" w:fill="CCEEFF"/>
          </w:tcPr>
          <w:p>
            <w:pPr>
              <w:spacing w:after="0"/>
              <w:rPr>
                <w:sz w:val="10"/>
                <w:szCs w:val="10"/>
                <w:color w:val="auto"/>
              </w:rPr>
            </w:pPr>
          </w:p>
        </w:tc>
        <w:tc>
          <w:tcPr>
            <w:tcW w:w="1740" w:type="dxa"/>
            <w:vAlign w:val="bottom"/>
            <w:shd w:val="clear" w:color="auto" w:fill="CCEEFF"/>
          </w:tcPr>
          <w:p>
            <w:pPr>
              <w:ind w:left="120"/>
              <w:spacing w:after="0" w:line="126" w:lineRule="exact"/>
              <w:rPr>
                <w:sz w:val="20"/>
                <w:szCs w:val="20"/>
                <w:color w:val="auto"/>
              </w:rPr>
            </w:pPr>
            <w:r>
              <w:rPr>
                <w:rFonts w:ascii="Arial" w:cs="Arial" w:eastAsia="Arial" w:hAnsi="Arial"/>
                <w:sz w:val="14"/>
                <w:szCs w:val="14"/>
                <w:b w:val="1"/>
                <w:bCs w:val="1"/>
                <w:color w:val="auto"/>
              </w:rPr>
              <w:t>Net interest income</w:t>
            </w:r>
          </w:p>
        </w:tc>
        <w:tc>
          <w:tcPr>
            <w:tcW w:w="46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32,212</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15,341</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72"/>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after provision</w:t>
            </w:r>
          </w:p>
        </w:tc>
        <w:tc>
          <w:tcPr>
            <w:tcW w:w="4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Noninterest income</w:t>
            </w: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22,844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10,694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34,11</w:t>
            </w: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4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26,039</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12,122</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22,700</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61,15</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1740" w:type="dxa"/>
            <w:vAlign w:val="bottom"/>
          </w:tcPr>
          <w:p>
            <w:pPr>
              <w:ind w:left="120"/>
              <w:spacing w:after="0" w:line="126" w:lineRule="exact"/>
              <w:rPr>
                <w:sz w:val="20"/>
                <w:szCs w:val="20"/>
                <w:color w:val="auto"/>
              </w:rPr>
            </w:pPr>
            <w:r>
              <w:rPr>
                <w:rFonts w:ascii="Arial" w:cs="Arial" w:eastAsia="Arial" w:hAnsi="Arial"/>
                <w:sz w:val="14"/>
                <w:szCs w:val="14"/>
                <w:b w:val="1"/>
                <w:bCs w:val="1"/>
                <w:color w:val="auto"/>
              </w:rPr>
              <w:t>Net income before</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6,747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11,473</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146"/>
        </w:trPr>
        <w:tc>
          <w:tcPr>
            <w:tcW w:w="2080" w:type="dxa"/>
            <w:vAlign w:val="bottom"/>
            <w:gridSpan w:val="2"/>
          </w:tcPr>
          <w:p>
            <w:pPr>
              <w:ind w:left="140"/>
              <w:spacing w:after="0" w:line="146" w:lineRule="exact"/>
              <w:rPr>
                <w:sz w:val="20"/>
                <w:szCs w:val="20"/>
                <w:color w:val="auto"/>
              </w:rPr>
            </w:pPr>
            <w:r>
              <w:rPr>
                <w:rFonts w:ascii="Arial" w:cs="Arial" w:eastAsia="Arial" w:hAnsi="Arial"/>
                <w:sz w:val="14"/>
                <w:szCs w:val="14"/>
                <w:b w:val="1"/>
                <w:bCs w:val="1"/>
                <w:color w:val="auto"/>
              </w:rPr>
              <w:t>taxes</w:t>
            </w:r>
          </w:p>
        </w:tc>
        <w:tc>
          <w:tcPr>
            <w:tcW w:w="4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1,611,947</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138,781</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95,124</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172,269</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(139,092)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252095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04" w:right="239" w:bottom="1440" w:gutter="0" w:footer="0" w:header="0"/>
        </w:sectPr>
      </w:pPr>
    </w:p>
    <w:bookmarkStart w:id="39" w:name="page40"/>
    <w:bookmarkEnd w:id="39"/>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SAFE HARBOR STATEMENT</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“could,” “project,” “seek,” “should,” “will,” or “would,” or the negative of these words and phrases or similar words and phrases.</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to the foregoing, the COVID-19 pandemic is adversely affecting us, our customers, counterparties, employees and third party service providers. The ultimate extent of the impact on our business, financial position, results of operations, liquidity, and prospects is uncertain. Continued deterioration in general business and economic conditions, or turbulence in domestic or global financial markets could adversely affect our revenues and the values of our assets and liabilities, reduce the availability of funding and lead to a tightening of credit. Changes to statutes, regulations, or regulatory policies or practices as a result of, or in response to COVID-19, could affect us in substantial and unpredictable ways, including the potential adverse impact of loan modifications and payment deferrals implemented consistent with recent regulatory guidance. The following factors, among others, could cause our financial performance to differ materially from that expressed in such forward-looking statements: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Economic Conditions</w:t>
      </w:r>
    </w:p>
    <w:p>
      <w:pPr>
        <w:spacing w:after="0" w:line="239" w:lineRule="exact"/>
        <w:rPr>
          <w:sz w:val="20"/>
          <w:szCs w:val="20"/>
          <w:color w:val="auto"/>
        </w:rPr>
      </w:pPr>
    </w:p>
    <w:p>
      <w:pPr>
        <w:ind w:left="640" w:hanging="316"/>
        <w:spacing w:after="0" w:line="25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conditions (including the interest rate environment, government economic and monetary policies, the strength of global financial markets and inflation and deflation) that impact the financial services industry as a whole and/or our business;</w:t>
      </w:r>
    </w:p>
    <w:p>
      <w:pPr>
        <w:spacing w:after="0" w:line="150"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changes in interest rates, and the impact to our earnings from changes in interest rates;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Maryland metropolitan areas and the effect of changes in the economic, political and environmental conditions on these markets;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Operations</w:t>
      </w:r>
    </w:p>
    <w:p>
      <w:pPr>
        <w:spacing w:after="0" w:line="239"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material risks of non-payment or other unfavorable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3"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possible impact of uncertainty about the future of LIBOR on our net interest income;</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due to the Federal Reserve Board’s target federal funds rate near 0%, the yield on our assets may decline to a greater extent than the decline in our cost of interest-bearing liabilities, reducing our net interest margin and spread and reducing net income;</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 and our ability to remediate any future material weakness in our internal controls over financial reporting;</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our OpenSky credit card division, including compliance with applicable consumer finance and fraud prevention regulations;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repurchase loans originated for sale by our mortgage banking division;</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150"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Deposit Insurance Corporation premiums may increase if the agency experiences additional resolution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16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 and</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beliefs, and expectations, if a change occurs or our beliefs, assumptions, or expectations were incorrect, our business, financial condition, liquidity 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2020 and those referenced in other reports on file with the SEC.</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Critical Accounting Policies</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accounting and reporting policies of the Company are in accordance with U.S.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needed. Management has discussed the Company’s critical accounting policies and estimates with the Audit Committee of the Board of Directors of the Company.</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critical accounting and reporting policies include the Company’s accounting for the allowance for loan losses. The Company’s accounting policies are fundamental to understanding the Company’s consolidated financial position and consolidated results of operations. Accordingly, the Company’s significant accounting policies are discussed in detail in Note 1 “Nature of Business and Basis of Presentation” in the “Notes to the Consolidated Financial Statements” contained in Item 8 "Financial Statements and Supplementary Data" of the Company’s 2020 Form 10-K.</w:t>
      </w:r>
    </w:p>
    <w:p>
      <w:pPr>
        <w:spacing w:after="0" w:line="20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provides additional information on its allowance for loan losses in Note 1 “Significant Accounting Policies” within Part I, Item 1 of this Quarterly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Capital Bancorp, Inc. (the “Company”) was incorporated in 1998 in Maryland to act as the bank holding company for Capital Bank, N.A. (the “Bank”) which received its charter in 1999 and began operations in 1999. The Bank is headquartered in Rockville, Maryland and serves the Washington, D.C. and Baltimore, Maryland metropolitan areas through five commercial bank branches, five mortgage offices, two loan production offices, a limited service branch and three corporate and operations facilities located in key markets throughout our operating area. We serve businesses, not-for-profit associations and entrepreneurs throughout the region by partnering with them to design tailored financial solutions supported by customized technology and “client first” advice.</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Commercial Banking division accounts for the majority of the Bank’s total assets. Our commercial bankers endeavor to provide quality service, customized solutions and tailored advice to commercial clients in our operating markets.</w:t>
      </w:r>
    </w:p>
    <w:p>
      <w:pPr>
        <w:spacing w:after="0" w:line="2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Capital Bank Home Loan (“CBHL”) division originates conventional and government-guaranteed residential mortgage loans on a nationwide basis primarily for sale into the secondary market and in certain, limited circumstances for the Bank’s loan portfolio.</w:t>
      </w:r>
    </w:p>
    <w:p>
      <w:pPr>
        <w:spacing w:after="0" w:line="193"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 provides secured credit cards on a nationwide basis to under-banked populations and those looking to rebuild their credit scores.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cards operate on a digital and mobile enabled platform with almost all marketing and application procedures conducted through website and mobile applications. A deposit equal to the full credit limit of the card is made into a noninterest-bearing demand account with the Bank when the account is opened and the deposit is required to be maintained throughout the life of the card. Using our proprietary scoring model, which considers credit score and repayment history (typically a minimum of six months of on-time repayments, but ultimately determined on a case-by-case basis),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also offers certain existing customers an unsecured line in excess of their secured line of credit.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COVID-19 Pandemic</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outbreak of COVID-19, which was declared a pandemic by the World Health Organization on March 11, 2020, has led to adverse impacts on economic conditions and created uncertainty in financial markets. In early March 2020, the Company began preparing for potential disruptions and government limitations on activity in the markets in which we serve. Our team activated our Business Continuity Program and was able to quickly execute on multiple initiatives to adjust our operations to protect the health and safety of our employees and clients. Currently, a significant portion of our workforce is working remotely without materially impacting our productivity while continuing to provide a high level of customer service. Since the beginning of the crisis, we have been in close contact with our clients, assessing the level of impact on their businesses, and providing relief programs according to each client’s specific situation and qualifications. Currently, the Company has four branches open and one previous location has been permanently closed. We have enhanced awareness of digital banking offerings and limited the number of customers in the branch and have taken steps to comply with various government directives regarding “social distancing,” as well as enhanced cleaning and disinfecting of surface areas to protect our clients and employees.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Small Business Administration’s Paycheck Protection Program</w:t>
      </w:r>
    </w:p>
    <w:p>
      <w:pPr>
        <w:spacing w:after="0" w:line="21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were able to quickly establish our process for participating in the Small Business Administration’s Paycheck Protection Program (“SBA-PPP”) that enabled our clients to utilize this valuable resource. SBA-PPP loans are designed to provide assistance for small businesses during the COVID-19 pandemic to help meet the costs associated with payroll, mortgage interest, rent and utilities. These loans are 100% guaranteed by the SBA and, under certain circumstances, forgiveness of the loan by the SBA is granted to the borrower. In general, forgiveness is predicated on the small business maintaining or quickly rehiring their employees and maintaining salary levels for their employees. SBA-PPP loans do not require any collateral or personal guarantees. As of September 30, 2021, the outstanding loan balance was approximately $141.4 million for SBA-PPP loans that were originated in the first and second rounds of the program. These efforts have allowed us to strengthen and deepen our client relationships, while positively impacting thousands of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Short-term Modifications for Borrowers</w:t>
      </w:r>
    </w:p>
    <w:p>
      <w:pPr>
        <w:spacing w:after="0" w:line="217" w:lineRule="exact"/>
        <w:rPr>
          <w:sz w:val="20"/>
          <w:szCs w:val="20"/>
          <w:color w:val="auto"/>
        </w:rPr>
      </w:pPr>
    </w:p>
    <w:p>
      <w:pPr>
        <w:jc w:val="both"/>
        <w:ind w:right="100" w:firstLine="318"/>
        <w:spacing w:after="0" w:line="262" w:lineRule="auto"/>
        <w:rPr>
          <w:sz w:val="20"/>
          <w:szCs w:val="20"/>
          <w:color w:val="auto"/>
        </w:rPr>
      </w:pPr>
      <w:r>
        <w:rPr>
          <w:rFonts w:ascii="Arial" w:cs="Arial" w:eastAsia="Arial" w:hAnsi="Arial"/>
          <w:sz w:val="17"/>
          <w:szCs w:val="17"/>
          <w:color w:val="auto"/>
        </w:rPr>
        <w:t>In keeping with regulatory guidance to work with borrowers during this unprecedented situation and as outlined in Section 4013 of the Coronavirus Aid, Relief, and Economic Security Act (“CARES Act”), the Company is providing loan modifications where appropriate, including potential interest only payments or payment deferrals for clients that are adversely affected by the COVID-19 pandemic. Section 4013 of the CARES Act, as amended by the Consolidated Appropriations Act, 2021, also addressed COVID-19 related modifications and specified that such modifications made between March 1, 2020 and the earlier of (i) 60 days after the date of termination of the National Emergency or (ii) January 1, 2022, on loans that were current as of December 31, 2019 are not TDRs. In accordance with interagency guidance issued in April 2020, these short-term modifications made to a borrower affected by the COVID-19 pandemic and governmental shutdown orders, such as payment deferrals, fee waivers and extensions of repayment terms, do not need to be identified as TDRs if the loans were current at the time a modification plan was implemented. Commercial and consumer loans still on COVID-19 related deferrals were $30.5 million at December 31, 2020 and have decreased to $7.3 million or approximately 0.50% of total portfolio loans receivable as of September 30, 2021.</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Liquidity</w:t>
      </w:r>
    </w:p>
    <w:p>
      <w:pPr>
        <w:spacing w:after="0" w:line="217"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We are monitoring our liquidity position on an ongoing basis as the circumstances surrounding the pandemic continue to evolve. The Company has several available sources of on and off-balance sheet liquidity. Currently, the Company has not needed to tap into these available liquidity sources. The potential for increased reliance on available liquidity sources may be required based on the effects of the pandemic and their impact on the level of deposits and other factors. Additional discussion on our liquidity as of the report date is reflected in the “Liquidity” section of management’s discussion and analysis.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Capital</w:t>
      </w:r>
    </w:p>
    <w:p>
      <w:pPr>
        <w:spacing w:after="0" w:line="217"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As of September 30, 2021, the Bank exceeded all the capital requirements to which it was subject and based on the most recent notification from its primary federal regulator is considered to be well-capitalized. There are no conditions or events since that notification that management believes would change the Bank’s classification. We are closely monitoring our capital position and intend to take appropriate steps to ensure our level of capital remains strong.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tcBorders>
              <w:bottom w:val="single" w:sz="8" w:color="auto"/>
            </w:tcBorders>
          </w:tcPr>
          <w:p>
            <w:pPr>
              <w:spacing w:after="0"/>
              <w:rPr>
                <w:sz w:val="16"/>
                <w:szCs w:val="16"/>
                <w:color w:val="auto"/>
              </w:rPr>
            </w:pPr>
          </w:p>
        </w:tc>
      </w:tr>
      <w:tr>
        <w:trPr>
          <w:trHeight w:val="179"/>
        </w:trPr>
        <w:tc>
          <w:tcPr>
            <w:tcW w:w="58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118"/>
        </w:trPr>
        <w:tc>
          <w:tcPr>
            <w:tcW w:w="580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1"/>
        </w:trPr>
        <w:tc>
          <w:tcPr>
            <w:tcW w:w="5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240" w:type="dxa"/>
            <w:vAlign w:val="bottom"/>
            <w:shd w:val="clear" w:color="auto" w:fill="CCEEFF"/>
          </w:tcPr>
          <w:p>
            <w:pPr>
              <w:jc w:val="right"/>
              <w:ind w:right="723"/>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33,528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25,189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33.1</w:t>
            </w:r>
          </w:p>
        </w:tc>
      </w:tr>
      <w:tr>
        <w:trPr>
          <w:trHeight w:val="212"/>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1,469</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3,150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(53.4)</w:t>
            </w:r>
          </w:p>
        </w:tc>
      </w:tr>
      <w:tr>
        <w:trPr>
          <w:trHeight w:val="205"/>
        </w:trPr>
        <w:tc>
          <w:tcPr>
            <w:tcW w:w="5800" w:type="dxa"/>
            <w:vAlign w:val="bottom"/>
            <w:shd w:val="clear" w:color="auto" w:fill="CCEEFF"/>
          </w:tcPr>
          <w:p>
            <w:pPr>
              <w:ind w:left="540"/>
              <w:spacing w:after="0"/>
              <w:rPr>
                <w:sz w:val="20"/>
                <w:szCs w:val="20"/>
                <w:color w:val="auto"/>
              </w:rPr>
            </w:pPr>
            <w:r>
              <w:rPr>
                <w:rFonts w:ascii="Arial" w:cs="Arial" w:eastAsia="Arial" w:hAnsi="Arial"/>
                <w:sz w:val="16"/>
                <w:szCs w:val="16"/>
                <w:b w:val="1"/>
                <w:bCs w:val="1"/>
                <w:color w:val="auto"/>
              </w:rPr>
              <w:t>Net interest income</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32,059</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22,039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45.5</w:t>
            </w:r>
          </w:p>
        </w:tc>
      </w:tr>
      <w:tr>
        <w:trPr>
          <w:trHeight w:val="212"/>
        </w:trPr>
        <w:tc>
          <w:tcPr>
            <w:tcW w:w="58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Provision for loan losses</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975</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(72.1)</w:t>
            </w:r>
          </w:p>
        </w:tc>
      </w:tr>
      <w:tr>
        <w:trPr>
          <w:trHeight w:val="205"/>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 after provision</w:t>
            </w: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31,084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18,539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67.7</w:t>
            </w:r>
          </w:p>
        </w:tc>
      </w:tr>
      <w:tr>
        <w:trPr>
          <w:trHeight w:val="212"/>
        </w:trPr>
        <w:tc>
          <w:tcPr>
            <w:tcW w:w="5800" w:type="dxa"/>
            <w:vAlign w:val="bottom"/>
          </w:tcPr>
          <w:p>
            <w:pPr>
              <w:ind w:left="340"/>
              <w:spacing w:after="0"/>
              <w:rPr>
                <w:sz w:val="20"/>
                <w:szCs w:val="20"/>
                <w:color w:val="auto"/>
              </w:rPr>
            </w:pPr>
            <w:r>
              <w:rPr>
                <w:rFonts w:ascii="Arial" w:cs="Arial" w:eastAsia="Arial" w:hAnsi="Arial"/>
                <w:sz w:val="16"/>
                <w:szCs w:val="16"/>
                <w:color w:val="auto"/>
              </w:rPr>
              <w:t>Noninterest income</w:t>
            </w:r>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12,597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17,477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(27.9)</w:t>
            </w: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Noninterest expenses</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28,627</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24,450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17.1</w:t>
            </w:r>
          </w:p>
        </w:tc>
      </w:tr>
      <w:tr>
        <w:trPr>
          <w:trHeight w:val="205"/>
        </w:trPr>
        <w:tc>
          <w:tcPr>
            <w:tcW w:w="5800" w:type="dxa"/>
            <w:vAlign w:val="bottom"/>
          </w:tcPr>
          <w:p>
            <w:pPr>
              <w:ind w:left="540"/>
              <w:spacing w:after="0"/>
              <w:rPr>
                <w:sz w:val="20"/>
                <w:szCs w:val="20"/>
                <w:color w:val="auto"/>
              </w:rPr>
            </w:pPr>
            <w:r>
              <w:rPr>
                <w:rFonts w:ascii="Arial" w:cs="Arial" w:eastAsia="Arial" w:hAnsi="Arial"/>
                <w:sz w:val="16"/>
                <w:szCs w:val="16"/>
                <w:b w:val="1"/>
                <w:bCs w:val="1"/>
                <w:color w:val="auto"/>
              </w:rPr>
              <w:t>Net income before income taxes</w:t>
            </w:r>
          </w:p>
        </w:tc>
        <w:tc>
          <w:tcPr>
            <w:tcW w:w="1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15,054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11,566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30.2</w:t>
            </w:r>
          </w:p>
        </w:tc>
      </w:t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w:t>
            </w:r>
          </w:p>
        </w:tc>
        <w:tc>
          <w:tcPr>
            <w:tcW w:w="1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3,877</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3,128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23.9</w:t>
            </w:r>
          </w:p>
        </w:tc>
      </w:tr>
      <w:tr>
        <w:trPr>
          <w:trHeight w:val="205"/>
        </w:trPr>
        <w:tc>
          <w:tcPr>
            <w:tcW w:w="5800" w:type="dxa"/>
            <w:vAlign w:val="bottom"/>
          </w:tcPr>
          <w:p>
            <w:pPr>
              <w:ind w:left="540"/>
              <w:spacing w:after="0"/>
              <w:rPr>
                <w:sz w:val="20"/>
                <w:szCs w:val="20"/>
                <w:color w:val="auto"/>
              </w:rPr>
            </w:pPr>
            <w:r>
              <w:rPr>
                <w:rFonts w:ascii="Arial" w:cs="Arial" w:eastAsia="Arial" w:hAnsi="Arial"/>
                <w:sz w:val="16"/>
                <w:szCs w:val="16"/>
                <w:b w:val="1"/>
                <w:bCs w:val="1"/>
                <w:color w:val="auto"/>
              </w:rPr>
              <w:t>Net income</w:t>
            </w:r>
          </w:p>
        </w:tc>
        <w:tc>
          <w:tcPr>
            <w:tcW w:w="1240" w:type="dxa"/>
            <w:vAlign w:val="bottom"/>
            <w:tcBorders>
              <w:bottom w:val="single" w:sz="8" w:color="auto"/>
            </w:tcBorders>
          </w:tcPr>
          <w:p>
            <w:pPr>
              <w:jc w:val="right"/>
              <w:ind w:right="723"/>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11,177</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8,438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32.5</w:t>
            </w:r>
          </w:p>
        </w:tc>
      </w:tr>
      <w:tr>
        <w:trPr>
          <w:trHeight w:val="20"/>
        </w:trPr>
        <w:tc>
          <w:tcPr>
            <w:tcW w:w="5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4" w:name="page45"/>
    <w:bookmarkEnd w:id="44"/>
    <w:p>
      <w:pPr>
        <w:spacing w:after="0" w:line="183" w:lineRule="exact"/>
        <w:rPr>
          <w:sz w:val="20"/>
          <w:szCs w:val="20"/>
          <w:color w:val="auto"/>
        </w:rPr>
      </w:pPr>
    </w:p>
    <w:p>
      <w:pPr>
        <w:jc w:val="both"/>
        <w:ind w:firstLine="318"/>
        <w:spacing w:after="0"/>
        <w:rPr>
          <w:sz w:val="20"/>
          <w:szCs w:val="20"/>
          <w:color w:val="auto"/>
        </w:rPr>
      </w:pPr>
      <w:r>
        <w:rPr>
          <w:rFonts w:ascii="Arial" w:cs="Arial" w:eastAsia="Arial" w:hAnsi="Arial"/>
          <w:sz w:val="18"/>
          <w:szCs w:val="18"/>
          <w:color w:val="auto"/>
        </w:rPr>
        <w:t>Net income for the three months ended September 30, 2021 increased 32.5 percent to $11.2 million from $8.4 million for the three months ended September 30, 2020. The increase was primarily due to increases in interest income and credit card fees of $8.3 million and $1.8 million, respectively, and decreases in interest expense and the provision for loan losses of $1.7 million and $2.5 million, respectively. The decrease in the quarterly provision for loan losses was a result of the improving economic environment from the COVID-19 worldwide pandemic when comparing third quarter 2020 to third quarter 2021. Noninterest expense was $28.6 million for the three months ended September 30, 2021, compared to $24.5 million for the three months ended September 30, 2020, an increase of $4.1 million, or 17.1 percent. The increase was primarily due to an increase of $2.3 million, or 28.9 percent, in data processing expenses, a $1.0 million, or 11.4 percent, increase in salaries and employee benefits, and a $1.2 million, or 95.5 percent, increase in professional fees. The increase in data processing expenses was a result of a 32.4 percent increase in the number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accounts, to 700 thousand from 529 thousand, when comparing the three months ended September 30, 2021 to the three months ended September 30, 2020.</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Nine Months Ended September 30,</w:t>
            </w: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79"/>
        </w:trPr>
        <w:tc>
          <w:tcPr>
            <w:tcW w:w="534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auto"/>
            </w:tcBorders>
          </w:tcPr>
          <w:p>
            <w:pPr>
              <w:spacing w:after="0"/>
              <w:rPr>
                <w:sz w:val="15"/>
                <w:szCs w:val="15"/>
                <w:color w:val="auto"/>
              </w:rPr>
            </w:pPr>
          </w:p>
        </w:tc>
      </w:tr>
      <w:tr>
        <w:trPr>
          <w:trHeight w:val="118"/>
        </w:trPr>
        <w:tc>
          <w:tcPr>
            <w:tcW w:w="534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1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1"/>
        </w:trPr>
        <w:tc>
          <w:tcPr>
            <w:tcW w:w="5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2"/>
        </w:trPr>
        <w:tc>
          <w:tcPr>
            <w:tcW w:w="5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220" w:type="dxa"/>
            <w:vAlign w:val="bottom"/>
            <w:shd w:val="clear" w:color="auto" w:fill="CCEEFF"/>
          </w:tcPr>
          <w:p>
            <w:pPr>
              <w:jc w:val="right"/>
              <w:ind w:right="723"/>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89,455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68,933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29.8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5,433</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(48.7)</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340" w:type="dxa"/>
            <w:vAlign w:val="bottom"/>
            <w:shd w:val="clear" w:color="auto" w:fill="CCEEFF"/>
          </w:tcPr>
          <w:p>
            <w:pPr>
              <w:ind w:left="540"/>
              <w:spacing w:after="0"/>
              <w:rPr>
                <w:sz w:val="20"/>
                <w:szCs w:val="20"/>
                <w:color w:val="auto"/>
              </w:rPr>
            </w:pPr>
            <w:r>
              <w:rPr>
                <w:rFonts w:ascii="Arial" w:cs="Arial" w:eastAsia="Arial" w:hAnsi="Arial"/>
                <w:sz w:val="16"/>
                <w:szCs w:val="16"/>
                <w:b w:val="1"/>
                <w:bCs w:val="1"/>
                <w:color w:val="auto"/>
              </w:rPr>
              <w:t>Net interest income</w:t>
            </w: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84,022</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44.0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Provision for loan losses</w:t>
            </w: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2,259</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(75.5)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34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rPr>
              <w:t>Net interest income after provision</w:t>
            </w: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81,763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49,141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66.4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340" w:type="dxa"/>
            <w:vAlign w:val="bottom"/>
          </w:tcPr>
          <w:p>
            <w:pPr>
              <w:ind w:left="340"/>
              <w:spacing w:after="0"/>
              <w:rPr>
                <w:sz w:val="20"/>
                <w:szCs w:val="20"/>
                <w:color w:val="auto"/>
              </w:rPr>
            </w:pPr>
            <w:r>
              <w:rPr>
                <w:rFonts w:ascii="Arial" w:cs="Arial" w:eastAsia="Arial" w:hAnsi="Arial"/>
                <w:sz w:val="16"/>
                <w:szCs w:val="16"/>
                <w:color w:val="auto"/>
              </w:rPr>
              <w:t>Noninterest income</w:t>
            </w:r>
          </w:p>
        </w:tc>
        <w:tc>
          <w:tcPr>
            <w:tcW w:w="12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w w:val="98"/>
              </w:rPr>
              <w:t>40,019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17.3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Noninterest expenses</w:t>
            </w:r>
          </w:p>
        </w:tc>
        <w:tc>
          <w:tcPr>
            <w:tcW w:w="1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81,599</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33.4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340" w:type="dxa"/>
            <w:vAlign w:val="bottom"/>
          </w:tcPr>
          <w:p>
            <w:pPr>
              <w:ind w:left="540"/>
              <w:spacing w:after="0"/>
              <w:rPr>
                <w:sz w:val="20"/>
                <w:szCs w:val="20"/>
                <w:color w:val="auto"/>
              </w:rPr>
            </w:pPr>
            <w:r>
              <w:rPr>
                <w:rFonts w:ascii="Arial" w:cs="Arial" w:eastAsia="Arial" w:hAnsi="Arial"/>
                <w:sz w:val="16"/>
                <w:szCs w:val="16"/>
                <w:b w:val="1"/>
                <w:bCs w:val="1"/>
                <w:color w:val="auto"/>
              </w:rPr>
              <w:t>Net income before income taxes</w:t>
            </w:r>
          </w:p>
        </w:tc>
        <w:tc>
          <w:tcPr>
            <w:tcW w:w="122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w w:val="98"/>
              </w:rPr>
              <w:t>40,183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22,102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81.8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w:t>
            </w:r>
          </w:p>
        </w:tc>
        <w:tc>
          <w:tcPr>
            <w:tcW w:w="1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10,376</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73.9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340" w:type="dxa"/>
            <w:vAlign w:val="bottom"/>
          </w:tcPr>
          <w:p>
            <w:pPr>
              <w:ind w:left="540"/>
              <w:spacing w:after="0"/>
              <w:rPr>
                <w:sz w:val="20"/>
                <w:szCs w:val="20"/>
                <w:color w:val="auto"/>
              </w:rPr>
            </w:pPr>
            <w:r>
              <w:rPr>
                <w:rFonts w:ascii="Arial" w:cs="Arial" w:eastAsia="Arial" w:hAnsi="Arial"/>
                <w:sz w:val="16"/>
                <w:szCs w:val="16"/>
                <w:b w:val="1"/>
                <w:bCs w:val="1"/>
                <w:color w:val="auto"/>
              </w:rPr>
              <w:t>Net income</w:t>
            </w:r>
          </w:p>
        </w:tc>
        <w:tc>
          <w:tcPr>
            <w:tcW w:w="1220" w:type="dxa"/>
            <w:vAlign w:val="bottom"/>
            <w:tcBorders>
              <w:bottom w:val="single" w:sz="8" w:color="auto"/>
            </w:tcBorders>
          </w:tcPr>
          <w:p>
            <w:pPr>
              <w:jc w:val="right"/>
              <w:ind w:right="723"/>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8"/>
              </w:rPr>
              <w:t>29,807</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84.7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17"/>
          <w:szCs w:val="17"/>
          <w:color w:val="auto"/>
        </w:rPr>
        <w:t>Net income for the nine months ended September 30, 2021 was $29.8 million, an increase of approximately $13.7 million, or 84.7%, from net income for the nine months ended September 30, 2020 of $16.1 million. The increase was primarily due to increases in interest income and credit card fees of $20.5 million and $10.5 million, respectively, and decreases in interest expense and the provision for loan losses of $5.1 million and $6.9 million, respectively. The decrease in the provision for loan losses when comparing the nine months ended September 30, 2020 to the nine months ended September 30, 2021 reflects improvement in overall economic conditions from the comparable prior year period. Noninterest expense was $81.6 million for the nine months ended September 30, 2021, compared to $61.2 million for the nine months ended September 30, 2020, an increase of $20.4 million, or 33.4 percent. The increase was primarily due to an increase of $11.9 million, or 67.5 percent, in data processing expenses, a $2.4 million, or 9.8 percent, increase in salaries and employee benefits, a $2.6 million, or 86.5 percent, increase in professional fees, a $2.2 million, or 28.7 percent, increase in other operating expenses, and a $1.3 million, or 68.2 percent, increase in advertising. The increase in data processing expenses was a result of a 32.4 percent increase in OpenSky</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accounts, to 700 thousand from 529 thousand, when comparing the nine months ended September 30, 2021 to the nine months ended September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35" w:lineRule="exact"/>
        <w:rPr>
          <w:sz w:val="20"/>
          <w:szCs w:val="20"/>
          <w:color w:val="auto"/>
        </w:rPr>
      </w:pPr>
    </w:p>
    <w:p>
      <w:pPr>
        <w:jc w:val="both"/>
        <w:ind w:right="40" w:firstLine="318"/>
        <w:spacing w:after="0" w:line="248" w:lineRule="auto"/>
        <w:rPr>
          <w:sz w:val="20"/>
          <w:szCs w:val="20"/>
          <w:color w:val="auto"/>
        </w:rPr>
      </w:pPr>
      <w:r>
        <w:rPr>
          <w:rFonts w:ascii="Arial" w:cs="Arial" w:eastAsia="Arial" w:hAnsi="Arial"/>
          <w:sz w:val="18"/>
          <w:szCs w:val="18"/>
          <w:color w:val="auto"/>
        </w:rPr>
        <w:t>We analyze our ability to generate income from interest earning assets and endeavor to control the interest expenses of our liabilities, measured as net interest income, through our net interest margin and net interest spread. Net interest income is the difference between the interest and fees earned on interest earning assets, such as loans and securities, and the interest expense incurred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3"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interest bearing liabilities, such as deposits and borrowings, which are used to fund those assets. Net interest margin is a ratio calculated as net interest income divided by average interest earning assets for the same period. Net interest spread is the difference between average interest rates earned on interest earning assets and average interest rates paid on interest bearing liabilities.</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 bearing liabilities, as well as in the volume and types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Maryland metropolitan areas, as well as developments affecting the real estate, technology, government services, hospitality, tourism, financial services and other sectors within our target markets and throughout the Washington, D.C. and Baltimore, Maryland metropolitan areas. Our ability to respond to changes in these factors by using effective asset-liability management techniques will affect the stability of our net interest income and net interest margin.</w:t>
      </w:r>
    </w:p>
    <w:p>
      <w:pPr>
        <w:spacing w:after="0" w:line="21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shows the average outstanding balance of each principal category of our assets, liabilities and stockholders’ equity, together with the average yields on our assets and the average costs of our liabilities for the periods indicated. Such yields and costs are calculated by dividing income or expense by the average daily balances of the corresponding assets or liabilities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2"/>
                <w:szCs w:val="12"/>
                <w:color w:val="auto"/>
              </w:rPr>
            </w:pPr>
          </w:p>
        </w:tc>
        <w:tc>
          <w:tcPr>
            <w:tcW w:w="920" w:type="dxa"/>
            <w:vAlign w:val="bottom"/>
          </w:tcPr>
          <w:p>
            <w:pPr>
              <w:jc w:val="center"/>
              <w:ind w:right="109"/>
              <w:spacing w:after="0" w:line="139" w:lineRule="exact"/>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Average</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9"/>
              </w:rPr>
              <w:t>Outstanding</w:t>
            </w:r>
          </w:p>
        </w:tc>
        <w:tc>
          <w:tcPr>
            <w:tcW w:w="180" w:type="dxa"/>
            <w:vAlign w:val="bottom"/>
          </w:tcPr>
          <w:p>
            <w:pPr>
              <w:spacing w:after="0"/>
              <w:rPr>
                <w:sz w:val="11"/>
                <w:szCs w:val="11"/>
                <w:color w:val="auto"/>
              </w:rPr>
            </w:pPr>
          </w:p>
        </w:tc>
        <w:tc>
          <w:tcPr>
            <w:tcW w:w="920" w:type="dxa"/>
            <w:vAlign w:val="bottom"/>
          </w:tcPr>
          <w:p>
            <w:pPr>
              <w:jc w:val="center"/>
              <w:ind w:right="149"/>
              <w:spacing w:after="0" w:line="133"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rPr>
              <w:t>Outstanding</w:t>
            </w:r>
          </w:p>
        </w:tc>
        <w:tc>
          <w:tcPr>
            <w:tcW w:w="1240" w:type="dxa"/>
            <w:vAlign w:val="bottom"/>
            <w:gridSpan w:val="3"/>
            <w:vMerge w:val="continue"/>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2"/>
        </w:trPr>
        <w:tc>
          <w:tcPr>
            <w:tcW w:w="36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 in thousands)</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Expense</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line="172"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118"/>
        </w:trPr>
        <w:tc>
          <w:tcPr>
            <w:tcW w:w="3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250,326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0.15 %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0.10 %</w:t>
            </w: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2,421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760"/>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tcPr>
          <w:p>
            <w:pPr>
              <w:ind w:left="64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171,506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549</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1.27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3,480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220" w:type="dxa"/>
            <w:vAlign w:val="bottom"/>
            <w:gridSpan w:val="2"/>
          </w:tcPr>
          <w:p>
            <w:pPr>
              <w:ind w:left="760"/>
              <w:spacing w:after="0"/>
              <w:rPr>
                <w:sz w:val="20"/>
                <w:szCs w:val="20"/>
                <w:color w:val="auto"/>
              </w:rPr>
            </w:pPr>
            <w:r>
              <w:rPr>
                <w:rFonts w:ascii="Arial" w:cs="Arial" w:eastAsia="Arial" w:hAnsi="Arial"/>
                <w:sz w:val="14"/>
                <w:szCs w:val="14"/>
                <w:b w:val="1"/>
                <w:bCs w:val="1"/>
                <w:color w:val="auto"/>
              </w:rPr>
              <w:t>4.64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1100" w:type="dxa"/>
            <w:vAlign w:val="bottom"/>
          </w:tcPr>
          <w:p>
            <w:pPr>
              <w:ind w:left="640"/>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32,660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3.02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112,890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162,217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1,525</w:t>
            </w:r>
          </w:p>
        </w:tc>
        <w:tc>
          <w:tcPr>
            <w:tcW w:w="1220" w:type="dxa"/>
            <w:vAlign w:val="bottom"/>
            <w:gridSpan w:val="2"/>
          </w:tcPr>
          <w:p>
            <w:pPr>
              <w:ind w:left="760"/>
              <w:spacing w:after="0"/>
              <w:rPr>
                <w:sz w:val="20"/>
                <w:szCs w:val="20"/>
                <w:color w:val="auto"/>
              </w:rPr>
            </w:pPr>
            <w:r>
              <w:rPr>
                <w:rFonts w:ascii="Arial" w:cs="Arial" w:eastAsia="Arial" w:hAnsi="Arial"/>
                <w:sz w:val="14"/>
                <w:szCs w:val="14"/>
                <w:b w:val="1"/>
                <w:bCs w:val="1"/>
                <w:color w:val="auto"/>
              </w:rPr>
              <w:t>3.73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235,160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1,470</w:t>
            </w:r>
          </w:p>
        </w:tc>
        <w:tc>
          <w:tcPr>
            <w:tcW w:w="120" w:type="dxa"/>
            <w:vAlign w:val="bottom"/>
          </w:tcPr>
          <w:p>
            <w:pPr>
              <w:spacing w:after="0"/>
              <w:rPr>
                <w:sz w:val="16"/>
                <w:szCs w:val="16"/>
                <w:color w:val="auto"/>
              </w:rPr>
            </w:pPr>
          </w:p>
        </w:tc>
        <w:tc>
          <w:tcPr>
            <w:tcW w:w="1100" w:type="dxa"/>
            <w:vAlign w:val="bottom"/>
          </w:tcPr>
          <w:p>
            <w:pPr>
              <w:ind w:left="640"/>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line="186"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1,404,006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31,067</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8.78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1,218,589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22,510</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79"/>
        </w:trPr>
        <w:tc>
          <w:tcPr>
            <w:tcW w:w="3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interest earning assets</w:t>
            </w:r>
          </w:p>
        </w:tc>
        <w:tc>
          <w:tcPr>
            <w:tcW w:w="160" w:type="dxa"/>
            <w:vAlign w:val="bottom"/>
            <w:tcBorders>
              <w:top w:val="single" w:sz="8" w:color="auto"/>
              <w:bottom w:val="single" w:sz="8" w:color="CCEEFF"/>
            </w:tcBorders>
          </w:tcPr>
          <w:p>
            <w:pPr>
              <w:spacing w:after="0"/>
              <w:rPr>
                <w:sz w:val="15"/>
                <w:szCs w:val="15"/>
                <w:color w:val="auto"/>
              </w:rPr>
            </w:pPr>
          </w:p>
        </w:tc>
        <w:tc>
          <w:tcPr>
            <w:tcW w:w="1140" w:type="dxa"/>
            <w:vAlign w:val="bottom"/>
            <w:tcBorders>
              <w:top w:val="single" w:sz="8" w:color="auto"/>
              <w:bottom w:val="single" w:sz="8" w:color="CCEEFF"/>
            </w:tcBorders>
          </w:tcPr>
          <w:p>
            <w:pPr>
              <w:jc w:val="right"/>
              <w:ind w:right="9"/>
              <w:spacing w:after="0"/>
              <w:rPr>
                <w:sz w:val="20"/>
                <w:szCs w:val="20"/>
                <w:color w:val="auto"/>
              </w:rPr>
            </w:pPr>
            <w:r>
              <w:rPr>
                <w:rFonts w:ascii="Arial" w:cs="Arial" w:eastAsia="Arial" w:hAnsi="Arial"/>
                <w:sz w:val="14"/>
                <w:szCs w:val="14"/>
                <w:b w:val="1"/>
                <w:bCs w:val="1"/>
                <w:color w:val="auto"/>
              </w:rPr>
              <w:t>2,026,616</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33,528</w:t>
            </w:r>
          </w:p>
        </w:tc>
        <w:tc>
          <w:tcPr>
            <w:tcW w:w="1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CCEEFF"/>
            </w:tcBorders>
          </w:tcPr>
          <w:p>
            <w:pPr>
              <w:ind w:left="640"/>
              <w:spacing w:after="0"/>
              <w:rPr>
                <w:sz w:val="20"/>
                <w:szCs w:val="20"/>
                <w:color w:val="auto"/>
              </w:rPr>
            </w:pPr>
            <w:r>
              <w:rPr>
                <w:rFonts w:ascii="Arial" w:cs="Arial" w:eastAsia="Arial" w:hAnsi="Arial"/>
                <w:sz w:val="14"/>
                <w:szCs w:val="14"/>
                <w:b w:val="1"/>
                <w:bCs w:val="1"/>
                <w:color w:val="auto"/>
              </w:rPr>
              <w:t>6.55</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1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4"/>
                <w:szCs w:val="14"/>
                <w:color w:val="auto"/>
              </w:rPr>
              <w:t>1,748,894</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25,189</w:t>
            </w:r>
          </w:p>
        </w:tc>
        <w:tc>
          <w:tcPr>
            <w:tcW w:w="1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CCEEFF"/>
            </w:tcBorders>
          </w:tcPr>
          <w:p>
            <w:pPr>
              <w:ind w:left="640"/>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6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58,156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22,768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2,084,772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1,771,662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bearing liabilities: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ind w:left="180"/>
              <w:spacing w:after="0"/>
              <w:rPr>
                <w:sz w:val="20"/>
                <w:szCs w:val="20"/>
                <w:color w:val="auto"/>
              </w:rPr>
            </w:pPr>
            <w:r>
              <w:rPr>
                <w:rFonts w:ascii="Arial" w:cs="Arial" w:eastAsia="Arial" w:hAnsi="Arial"/>
                <w:sz w:val="14"/>
                <w:szCs w:val="14"/>
                <w:color w:val="auto"/>
              </w:rPr>
              <w:t>Interest bearing demand accounts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301,272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220" w:type="dxa"/>
            <w:vAlign w:val="bottom"/>
            <w:gridSpan w:val="2"/>
          </w:tcPr>
          <w:p>
            <w:pPr>
              <w:ind w:left="760"/>
              <w:spacing w:after="0"/>
              <w:rPr>
                <w:sz w:val="20"/>
                <w:szCs w:val="20"/>
                <w:color w:val="auto"/>
              </w:rPr>
            </w:pPr>
            <w:r>
              <w:rPr>
                <w:rFonts w:ascii="Arial" w:cs="Arial" w:eastAsia="Arial" w:hAnsi="Arial"/>
                <w:sz w:val="14"/>
                <w:szCs w:val="14"/>
                <w:b w:val="1"/>
                <w:bCs w:val="1"/>
                <w:color w:val="auto"/>
              </w:rPr>
              <w:t>0.06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218,415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6"/>
                <w:szCs w:val="16"/>
                <w:color w:val="auto"/>
              </w:rPr>
            </w:pPr>
          </w:p>
        </w:tc>
        <w:tc>
          <w:tcPr>
            <w:tcW w:w="1100" w:type="dxa"/>
            <w:vAlign w:val="bottom"/>
          </w:tcPr>
          <w:p>
            <w:pPr>
              <w:ind w:left="640"/>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7,025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0.05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86"/>
        </w:trPr>
        <w:tc>
          <w:tcPr>
            <w:tcW w:w="360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495,534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335</w:t>
            </w:r>
          </w:p>
        </w:tc>
        <w:tc>
          <w:tcPr>
            <w:tcW w:w="1220" w:type="dxa"/>
            <w:vAlign w:val="bottom"/>
            <w:gridSpan w:val="2"/>
          </w:tcPr>
          <w:p>
            <w:pPr>
              <w:ind w:left="760"/>
              <w:spacing w:after="0"/>
              <w:rPr>
                <w:sz w:val="20"/>
                <w:szCs w:val="20"/>
                <w:color w:val="auto"/>
              </w:rPr>
            </w:pPr>
            <w:r>
              <w:rPr>
                <w:rFonts w:ascii="Arial" w:cs="Arial" w:eastAsia="Arial" w:hAnsi="Arial"/>
                <w:sz w:val="14"/>
                <w:szCs w:val="14"/>
                <w:b w:val="1"/>
                <w:bCs w:val="1"/>
                <w:color w:val="auto"/>
              </w:rPr>
              <w:t>0.27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532,973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1,186</w:t>
            </w:r>
          </w:p>
        </w:tc>
        <w:tc>
          <w:tcPr>
            <w:tcW w:w="120" w:type="dxa"/>
            <w:vAlign w:val="bottom"/>
          </w:tcPr>
          <w:p>
            <w:pPr>
              <w:spacing w:after="0"/>
              <w:rPr>
                <w:sz w:val="16"/>
                <w:szCs w:val="16"/>
                <w:color w:val="auto"/>
              </w:rPr>
            </w:pPr>
          </w:p>
        </w:tc>
        <w:tc>
          <w:tcPr>
            <w:tcW w:w="1100" w:type="dxa"/>
            <w:vAlign w:val="bottom"/>
          </w:tcPr>
          <w:p>
            <w:pPr>
              <w:ind w:left="640"/>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250,836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904</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4"/>
                <w:szCs w:val="14"/>
                <w:b w:val="1"/>
                <w:bCs w:val="1"/>
                <w:color w:val="auto"/>
              </w:rPr>
              <w:t>1.43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267,970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Borrowed funds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36,384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184</w:t>
            </w:r>
          </w:p>
        </w:tc>
        <w:tc>
          <w:tcPr>
            <w:tcW w:w="1220" w:type="dxa"/>
            <w:vAlign w:val="bottom"/>
            <w:gridSpan w:val="2"/>
          </w:tcPr>
          <w:p>
            <w:pPr>
              <w:ind w:left="760"/>
              <w:spacing w:after="0"/>
              <w:rPr>
                <w:sz w:val="20"/>
                <w:szCs w:val="20"/>
                <w:color w:val="auto"/>
              </w:rPr>
            </w:pPr>
            <w:r>
              <w:rPr>
                <w:rFonts w:ascii="Arial" w:cs="Arial" w:eastAsia="Arial" w:hAnsi="Arial"/>
                <w:sz w:val="14"/>
                <w:szCs w:val="14"/>
                <w:b w:val="1"/>
                <w:bCs w:val="1"/>
                <w:color w:val="auto"/>
              </w:rPr>
              <w:t>2.01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41,069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6"/>
                <w:szCs w:val="16"/>
                <w:color w:val="auto"/>
              </w:rPr>
            </w:pPr>
          </w:p>
        </w:tc>
        <w:tc>
          <w:tcPr>
            <w:tcW w:w="1100" w:type="dxa"/>
            <w:vAlign w:val="bottom"/>
          </w:tcPr>
          <w:p>
            <w:pPr>
              <w:ind w:left="640"/>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79"/>
        </w:trPr>
        <w:tc>
          <w:tcPr>
            <w:tcW w:w="36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interest bearing liabilities</w:t>
            </w:r>
          </w:p>
        </w:tc>
        <w:tc>
          <w:tcPr>
            <w:tcW w:w="1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1,091,051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1,469</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b w:val="1"/>
                <w:bCs w:val="1"/>
                <w:color w:val="auto"/>
              </w:rPr>
              <w:t>0.53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1,065,553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65"/>
        </w:trPr>
        <w:tc>
          <w:tcPr>
            <w:tcW w:w="3600" w:type="dxa"/>
            <w:vAlign w:val="bottom"/>
          </w:tcPr>
          <w:p>
            <w:pPr>
              <w:ind w:left="20"/>
              <w:spacing w:after="0"/>
              <w:rPr>
                <w:sz w:val="20"/>
                <w:szCs w:val="20"/>
                <w:color w:val="auto"/>
              </w:rPr>
            </w:pPr>
            <w:r>
              <w:rPr>
                <w:rFonts w:ascii="Arial" w:cs="Arial" w:eastAsia="Arial" w:hAnsi="Arial"/>
                <w:sz w:val="14"/>
                <w:szCs w:val="14"/>
                <w:color w:val="auto"/>
              </w:rPr>
              <w:t>Noninterest bearing liabilities: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liabilities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21,138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180"/>
              <w:spacing w:after="0"/>
              <w:rPr>
                <w:sz w:val="20"/>
                <w:szCs w:val="20"/>
                <w:color w:val="auto"/>
              </w:rPr>
            </w:pPr>
            <w:r>
              <w:rPr>
                <w:rFonts w:ascii="Arial" w:cs="Arial" w:eastAsia="Arial" w:hAnsi="Arial"/>
                <w:sz w:val="14"/>
                <w:szCs w:val="14"/>
                <w:color w:val="auto"/>
              </w:rPr>
              <w:t>Noninterest bearing deposits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786,784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539,220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185,799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144,187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0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2,084,772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1,771,662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2"/>
          </w:tcPr>
          <w:p>
            <w:pPr>
              <w:ind w:left="760"/>
              <w:spacing w:after="0"/>
              <w:rPr>
                <w:sz w:val="20"/>
                <w:szCs w:val="20"/>
                <w:color w:val="auto"/>
              </w:rPr>
            </w:pPr>
            <w:r>
              <w:rPr>
                <w:rFonts w:ascii="Arial" w:cs="Arial" w:eastAsia="Arial" w:hAnsi="Arial"/>
                <w:sz w:val="14"/>
                <w:szCs w:val="14"/>
                <w:b w:val="1"/>
                <w:bCs w:val="1"/>
                <w:color w:val="auto"/>
              </w:rPr>
              <w:t>6.02 %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ind w:left="640"/>
              <w:spacing w:after="0"/>
              <w:rPr>
                <w:sz w:val="20"/>
                <w:szCs w:val="20"/>
                <w:color w:val="auto"/>
              </w:rPr>
            </w:pPr>
            <w:r>
              <w:rPr>
                <w:rFonts w:ascii="Arial" w:cs="Arial" w:eastAsia="Arial" w:hAnsi="Arial"/>
                <w:sz w:val="14"/>
                <w:szCs w:val="14"/>
                <w:color w:val="auto"/>
              </w:rPr>
              <w:t>4.55 %</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0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Net interest income</w:t>
            </w: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9"/>
              <w:spacing w:after="0" w:line="15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32,059</w:t>
            </w: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22,039</w:t>
            </w: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8"/>
                <w:szCs w:val="18"/>
                <w:color w:val="auto"/>
                <w:vertAlign w:val="superscript"/>
              </w:rPr>
              <w:t>(3)</w:t>
            </w: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ind w:left="760"/>
              <w:spacing w:after="0"/>
              <w:rPr>
                <w:sz w:val="20"/>
                <w:szCs w:val="20"/>
                <w:color w:val="auto"/>
              </w:rPr>
            </w:pPr>
            <w:r>
              <w:rPr>
                <w:rFonts w:ascii="Arial" w:cs="Arial" w:eastAsia="Arial" w:hAnsi="Arial"/>
                <w:sz w:val="14"/>
                <w:szCs w:val="14"/>
                <w:b w:val="1"/>
                <w:bCs w:val="1"/>
                <w:color w:val="auto"/>
              </w:rPr>
              <w:t>6.27 %</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4"/>
                <w:szCs w:val="14"/>
                <w:color w:val="auto"/>
              </w:rPr>
              <w:t>5.01 %</w:t>
            </w:r>
          </w:p>
        </w:tc>
        <w:tc>
          <w:tcPr>
            <w:tcW w:w="0" w:type="dxa"/>
            <w:vAlign w:val="bottom"/>
          </w:tcPr>
          <w:p>
            <w:pPr>
              <w:spacing w:after="0" w:line="20" w:lineRule="exact"/>
              <w:rPr>
                <w:sz w:val="1"/>
                <w:szCs w:val="1"/>
                <w:color w:val="auto"/>
              </w:rPr>
            </w:pPr>
          </w:p>
        </w:tc>
      </w:tr>
      <w:tr>
        <w:trPr>
          <w:trHeight w:val="132"/>
        </w:trPr>
        <w:tc>
          <w:tcPr>
            <w:tcW w:w="3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85" w:lineRule="auto"/>
        <w:tabs>
          <w:tab w:leader="none" w:pos="32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Annualized.</w:t>
      </w:r>
    </w:p>
    <w:p>
      <w:pPr>
        <w:ind w:left="320" w:hanging="314"/>
        <w:spacing w:after="0" w:line="191" w:lineRule="auto"/>
        <w:tabs>
          <w:tab w:leader="none" w:pos="320" w:val="left"/>
        </w:tabs>
        <w:numPr>
          <w:ilvl w:val="0"/>
          <w:numId w:val="9"/>
        </w:numPr>
        <w:rPr>
          <w:rFonts w:ascii="Arial" w:cs="Arial" w:eastAsia="Arial" w:hAnsi="Arial"/>
          <w:sz w:val="13"/>
          <w:szCs w:val="13"/>
          <w:color w:val="auto"/>
          <w:vertAlign w:val="superscript"/>
        </w:rPr>
      </w:pPr>
      <w:r>
        <w:rPr>
          <w:rFonts w:ascii="Arial" w:cs="Arial" w:eastAsia="Arial" w:hAnsi="Arial"/>
          <w:sz w:val="10"/>
          <w:szCs w:val="10"/>
          <w:color w:val="auto"/>
        </w:rPr>
        <w:t>Includes nonaccrual loans.</w:t>
      </w:r>
    </w:p>
    <w:p>
      <w:pPr>
        <w:ind w:left="320" w:hanging="314"/>
        <w:spacing w:after="0" w:line="190" w:lineRule="auto"/>
        <w:tabs>
          <w:tab w:leader="none" w:pos="320"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For the three months ended September 30, 2021 and 2020 , SBA-PPP loans and credit card loans collectively accounted for 275 and 117 basis points of the reported net interest margin,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83"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The following table presents information regarding the dollar amount of changes in interest income and interest expense for the periods indicated for each major component of interest earning assets and interest bearing liabilities and distinguishes between the changes attributable to changes in volume and changes attributable to changes in interest rates. For purposes of this table, changes attributable to both rate and volume that cannot be segregated have been proportionately allocated to both volume and rate.</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40" w:type="dxa"/>
            <w:vAlign w:val="bottom"/>
            <w:gridSpan w:val="6"/>
          </w:tcPr>
          <w:p>
            <w:pPr>
              <w:jc w:val="center"/>
              <w:ind w:left="329"/>
              <w:spacing w:after="0"/>
              <w:rPr>
                <w:sz w:val="20"/>
                <w:szCs w:val="20"/>
                <w:color w:val="auto"/>
              </w:rPr>
            </w:pPr>
            <w:r>
              <w:rPr>
                <w:rFonts w:ascii="Arial" w:cs="Arial" w:eastAsia="Arial" w:hAnsi="Arial"/>
                <w:sz w:val="14"/>
                <w:szCs w:val="14"/>
                <w:b w:val="1"/>
                <w:bCs w:val="1"/>
                <w:color w:val="auto"/>
              </w:rPr>
              <w:t>Three Months Ended September 30, 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60" w:type="dxa"/>
            <w:vAlign w:val="bottom"/>
            <w:gridSpan w:val="6"/>
          </w:tcPr>
          <w:p>
            <w:pPr>
              <w:jc w:val="center"/>
              <w:ind w:left="349"/>
              <w:spacing w:after="0"/>
              <w:rPr>
                <w:sz w:val="20"/>
                <w:szCs w:val="20"/>
                <w:color w:val="auto"/>
              </w:rPr>
            </w:pPr>
            <w:r>
              <w:rPr>
                <w:rFonts w:ascii="Arial" w:cs="Arial" w:eastAsia="Arial" w:hAnsi="Arial"/>
                <w:sz w:val="14"/>
                <w:szCs w:val="14"/>
                <w:b w:val="1"/>
                <w:bCs w:val="1"/>
                <w:color w:val="auto"/>
              </w:rPr>
              <w:t>Nine Months Ended September 30, 2021</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left="189"/>
              <w:spacing w:after="0"/>
              <w:rPr>
                <w:sz w:val="20"/>
                <w:szCs w:val="20"/>
                <w:color w:val="auto"/>
              </w:rPr>
            </w:pPr>
            <w:r>
              <w:rPr>
                <w:rFonts w:ascii="Arial" w:cs="Arial" w:eastAsia="Arial" w:hAnsi="Arial"/>
                <w:sz w:val="14"/>
                <w:szCs w:val="14"/>
                <w:b w:val="1"/>
                <w:bCs w:val="1"/>
                <w:color w:val="auto"/>
              </w:rPr>
              <w:t>Compared to the</w:t>
            </w: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center"/>
              <w:ind w:left="189"/>
              <w:spacing w:after="0"/>
              <w:rPr>
                <w:sz w:val="20"/>
                <w:szCs w:val="20"/>
                <w:color w:val="auto"/>
              </w:rPr>
            </w:pPr>
            <w:r>
              <w:rPr>
                <w:rFonts w:ascii="Arial" w:cs="Arial" w:eastAsia="Arial" w:hAnsi="Arial"/>
                <w:sz w:val="14"/>
                <w:szCs w:val="14"/>
                <w:b w:val="1"/>
                <w:bCs w:val="1"/>
                <w:color w:val="auto"/>
              </w:rPr>
              <w:t>Compared to the</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center"/>
              <w:ind w:left="329"/>
              <w:spacing w:after="0"/>
              <w:rPr>
                <w:sz w:val="20"/>
                <w:szCs w:val="20"/>
                <w:color w:val="auto"/>
              </w:rPr>
            </w:pPr>
            <w:r>
              <w:rPr>
                <w:rFonts w:ascii="Arial" w:cs="Arial" w:eastAsia="Arial" w:hAnsi="Arial"/>
                <w:sz w:val="14"/>
                <w:szCs w:val="14"/>
                <w:b w:val="1"/>
                <w:bCs w:val="1"/>
                <w:color w:val="auto"/>
              </w:rPr>
              <w:t>Three Months Ended September 30, 2020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center"/>
              <w:ind w:left="349"/>
              <w:spacing w:after="0"/>
              <w:rPr>
                <w:sz w:val="20"/>
                <w:szCs w:val="20"/>
                <w:color w:val="auto"/>
              </w:rPr>
            </w:pPr>
            <w:r>
              <w:rPr>
                <w:rFonts w:ascii="Arial" w:cs="Arial" w:eastAsia="Arial" w:hAnsi="Arial"/>
                <w:sz w:val="14"/>
                <w:szCs w:val="14"/>
                <w:b w:val="1"/>
                <w:bCs w:val="1"/>
                <w:color w:val="auto"/>
              </w:rPr>
              <w:t>Nine Months Ended September 30, 2020</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 Due To</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Interest</w:t>
            </w:r>
          </w:p>
        </w:tc>
        <w:tc>
          <w:tcPr>
            <w:tcW w:w="52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 Due To</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29"/>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57"/>
        </w:trPr>
        <w:tc>
          <w:tcPr>
            <w:tcW w:w="24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420" w:type="dxa"/>
            <w:vAlign w:val="bottom"/>
          </w:tcPr>
          <w:p>
            <w:pPr>
              <w:ind w:left="340"/>
              <w:spacing w:after="0"/>
              <w:rPr>
                <w:sz w:val="20"/>
                <w:szCs w:val="20"/>
                <w:color w:val="auto"/>
              </w:rPr>
            </w:pPr>
            <w:r>
              <w:rPr>
                <w:rFonts w:ascii="Arial" w:cs="Arial" w:eastAsia="Arial" w:hAnsi="Arial"/>
                <w:sz w:val="11"/>
                <w:szCs w:val="11"/>
                <w:i w:val="1"/>
                <w:iCs w:val="1"/>
                <w:color w:val="auto"/>
              </w:rPr>
              <w:t>(in thousands)</w:t>
            </w:r>
          </w:p>
        </w:tc>
        <w:tc>
          <w:tcPr>
            <w:tcW w:w="50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Volume</w:t>
            </w:r>
          </w:p>
        </w:tc>
        <w:tc>
          <w:tcPr>
            <w:tcW w:w="640" w:type="dxa"/>
            <w:vAlign w:val="bottom"/>
          </w:tcPr>
          <w:p>
            <w:pPr>
              <w:spacing w:after="0"/>
              <w:rPr>
                <w:sz w:val="17"/>
                <w:szCs w:val="17"/>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Rate</w:t>
            </w:r>
          </w:p>
        </w:tc>
        <w:tc>
          <w:tcPr>
            <w:tcW w:w="1480" w:type="dxa"/>
            <w:vAlign w:val="bottom"/>
            <w:gridSpan w:val="3"/>
          </w:tcPr>
          <w:p>
            <w:pPr>
              <w:ind w:left="400"/>
              <w:spacing w:after="0"/>
              <w:rPr>
                <w:sz w:val="20"/>
                <w:szCs w:val="20"/>
                <w:color w:val="auto"/>
              </w:rPr>
            </w:pPr>
            <w:r>
              <w:rPr>
                <w:rFonts w:ascii="Arial" w:cs="Arial" w:eastAsia="Arial" w:hAnsi="Arial"/>
                <w:sz w:val="14"/>
                <w:szCs w:val="14"/>
                <w:b w:val="1"/>
                <w:bCs w:val="1"/>
                <w:color w:val="auto"/>
              </w:rPr>
              <w:t>Variance</w:t>
            </w:r>
          </w:p>
        </w:tc>
        <w:tc>
          <w:tcPr>
            <w:tcW w:w="52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Volume</w:t>
            </w:r>
          </w:p>
        </w:tc>
        <w:tc>
          <w:tcPr>
            <w:tcW w:w="660" w:type="dxa"/>
            <w:vAlign w:val="bottom"/>
          </w:tcPr>
          <w:p>
            <w:pPr>
              <w:spacing w:after="0"/>
              <w:rPr>
                <w:sz w:val="17"/>
                <w:szCs w:val="17"/>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Rate</w:t>
            </w:r>
          </w:p>
        </w:tc>
        <w:tc>
          <w:tcPr>
            <w:tcW w:w="122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1"/>
        </w:trPr>
        <w:tc>
          <w:tcPr>
            <w:tcW w:w="24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Interest Income:</w:t>
            </w: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24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Interest bearing deposits</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2420" w:type="dxa"/>
            <w:vAlign w:val="bottom"/>
          </w:tcPr>
          <w:p>
            <w:pPr>
              <w:ind w:left="500"/>
              <w:spacing w:after="0"/>
              <w:rPr>
                <w:sz w:val="20"/>
                <w:szCs w:val="20"/>
                <w:color w:val="auto"/>
              </w:rPr>
            </w:pPr>
            <w:r>
              <w:rPr>
                <w:rFonts w:ascii="Arial" w:cs="Arial" w:eastAsia="Arial" w:hAnsi="Arial"/>
                <w:sz w:val="14"/>
                <w:szCs w:val="14"/>
                <w:color w:val="auto"/>
              </w:rPr>
              <w:t>Federal funds sold</w:t>
            </w:r>
          </w:p>
        </w:tc>
        <w:tc>
          <w:tcPr>
            <w:tcW w:w="5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6"/>
        </w:trPr>
        <w:tc>
          <w:tcPr>
            <w:tcW w:w="2420" w:type="dxa"/>
            <w:vAlign w:val="bottom"/>
          </w:tcPr>
          <w:p>
            <w:pPr>
              <w:ind w:left="180"/>
              <w:spacing w:after="0"/>
              <w:rPr>
                <w:sz w:val="20"/>
                <w:szCs w:val="20"/>
                <w:color w:val="auto"/>
              </w:rPr>
            </w:pPr>
            <w:r>
              <w:rPr>
                <w:rFonts w:ascii="Arial" w:cs="Arial" w:eastAsia="Arial" w:hAnsi="Arial"/>
                <w:sz w:val="14"/>
                <w:szCs w:val="14"/>
                <w:color w:val="auto"/>
              </w:rPr>
              <w:t>Restricted stock</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5"/>
        </w:trPr>
        <w:tc>
          <w:tcPr>
            <w:tcW w:w="242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3,784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86"/>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Portfolio loans receivable</w:t>
            </w:r>
          </w:p>
        </w:tc>
        <w:tc>
          <w:tcPr>
            <w:tcW w:w="5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3,754</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4,803</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8,557</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7,870</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9,242</w:t>
            </w: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179"/>
        </w:trPr>
        <w:tc>
          <w:tcPr>
            <w:tcW w:w="2420" w:type="dxa"/>
            <w:vAlign w:val="bottom"/>
            <w:tcBorders>
              <w:bottom w:val="single" w:sz="8" w:color="CCEEFF"/>
            </w:tcBorders>
          </w:tcPr>
          <w:p>
            <w:pPr>
              <w:ind w:left="620"/>
              <w:spacing w:after="0"/>
              <w:rPr>
                <w:sz w:val="20"/>
                <w:szCs w:val="20"/>
                <w:color w:val="auto"/>
              </w:rPr>
            </w:pPr>
            <w:r>
              <w:rPr>
                <w:rFonts w:ascii="Arial" w:cs="Arial" w:eastAsia="Arial" w:hAnsi="Arial"/>
                <w:sz w:val="14"/>
                <w:szCs w:val="14"/>
                <w:color w:val="auto"/>
              </w:rPr>
              <w:t>Total interest income</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3,370</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4,969</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11,643</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8,879</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20,52</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Pr>
          <w:p>
            <w:pPr>
              <w:ind w:left="340"/>
              <w:spacing w:after="0"/>
              <w:rPr>
                <w:sz w:val="20"/>
                <w:szCs w:val="20"/>
                <w:color w:val="auto"/>
              </w:rPr>
            </w:pPr>
            <w:r>
              <w:rPr>
                <w:rFonts w:ascii="Arial" w:cs="Arial" w:eastAsia="Arial" w:hAnsi="Arial"/>
                <w:sz w:val="14"/>
                <w:szCs w:val="14"/>
                <w:b w:val="1"/>
                <w:bCs w:val="1"/>
                <w:color w:val="auto"/>
              </w:rPr>
              <w:t>Interest Expense:</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420" w:type="dxa"/>
            <w:vAlign w:val="bottom"/>
            <w:shd w:val="clear" w:color="auto" w:fill="CCEEFF"/>
          </w:tcPr>
          <w:p>
            <w:pPr>
              <w:ind w:left="500"/>
              <w:spacing w:after="0" w:line="151" w:lineRule="exact"/>
              <w:rPr>
                <w:sz w:val="20"/>
                <w:szCs w:val="20"/>
                <w:color w:val="auto"/>
              </w:rPr>
            </w:pPr>
            <w:r>
              <w:rPr>
                <w:rFonts w:ascii="Arial" w:cs="Arial" w:eastAsia="Arial" w:hAnsi="Arial"/>
                <w:sz w:val="14"/>
                <w:szCs w:val="14"/>
                <w:color w:val="auto"/>
              </w:rPr>
              <w:t>Interest bearing demand</w:t>
            </w:r>
          </w:p>
        </w:tc>
        <w:tc>
          <w:tcPr>
            <w:tcW w:w="5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w:t>
            </w:r>
          </w:p>
        </w:tc>
        <w:tc>
          <w:tcPr>
            <w:tcW w:w="5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20" w:type="dxa"/>
            <w:vAlign w:val="bottom"/>
          </w:tcPr>
          <w:p>
            <w:pPr>
              <w:ind w:left="500"/>
              <w:spacing w:after="0"/>
              <w:rPr>
                <w:sz w:val="20"/>
                <w:szCs w:val="20"/>
                <w:color w:val="auto"/>
              </w:rPr>
            </w:pPr>
            <w:r>
              <w:rPr>
                <w:rFonts w:ascii="Arial" w:cs="Arial" w:eastAsia="Arial" w:hAnsi="Arial"/>
                <w:sz w:val="14"/>
                <w:szCs w:val="14"/>
                <w:color w:val="auto"/>
              </w:rPr>
              <w:t>Savings</w:t>
            </w:r>
          </w:p>
        </w:tc>
        <w:tc>
          <w:tcPr>
            <w:tcW w:w="5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Money market accounts</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85"/>
        </w:trPr>
        <w:tc>
          <w:tcPr>
            <w:tcW w:w="2420" w:type="dxa"/>
            <w:vAlign w:val="bottom"/>
          </w:tcPr>
          <w:p>
            <w:pPr>
              <w:ind w:left="500"/>
              <w:spacing w:after="0"/>
              <w:rPr>
                <w:sz w:val="20"/>
                <w:szCs w:val="20"/>
                <w:color w:val="auto"/>
              </w:rPr>
            </w:pPr>
            <w:r>
              <w:rPr>
                <w:rFonts w:ascii="Arial" w:cs="Arial" w:eastAsia="Arial" w:hAnsi="Arial"/>
                <w:sz w:val="14"/>
                <w:szCs w:val="14"/>
                <w:color w:val="auto"/>
              </w:rPr>
              <w:t>Time deposits</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Borrowed funds</w:t>
            </w:r>
          </w:p>
        </w:tc>
        <w:tc>
          <w:tcPr>
            <w:tcW w:w="5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79"/>
        </w:trPr>
        <w:tc>
          <w:tcPr>
            <w:tcW w:w="242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interest expense</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(5,803)</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04"/>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Net interest income</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3,476</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6,544</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10,990</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14,682</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For the three months ended September 30, 2021, net interest income increased $10.0 million, or 45.5 percent, to $32.1 million from the same period in 2020, primarily due to an increase in interest earning assets, an increase in rates on portfolio loans receivable and a decrease in rates on interest bearing liabilities. The net interest margin increased 126 basis points to 6.27% for the three months ended September 30, 2021 from the same period in 2020. Net interest margin, excluding credit card and SBA-PPP loans, was 3.52% for the third quarter of 2021 compared to 3.84% for the same period in 2020.</w:t>
      </w:r>
    </w:p>
    <w:p>
      <w:pPr>
        <w:spacing w:after="0" w:line="207"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For the three months ended September 30, 2021, average interest earning assets increased $277.7 million, or 15.9 percent, to $2.0 billion as compared to the same period in 2020. The average yield on interest earning assets increased 82 basis points, from 5.73% for the three months ended September 30, 2020 to 6.55% for the three months ended September 30, 2021. The largest increase in interest income when comparing these two time periods related to the income generated by the average portfolio loans receivable, which grew $185.4 million, from $1.2 billion at September 30, 2020 to $1.4 billion at September 30, 2021. This growth in average balances for the three month period ended September 30, 2021 compared to the three month period ended September 30, 2020, along with the average rate increase for portfolio loans when comparing the same time periods in 2021 and 2020 of 143 basis points, generated $8.6 million in additional interest income, 43.9 percent due to the increase in average balances and 56.1 percent due to the increase in the average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8" w:name="page49"/>
    <w:bookmarkEnd w:id="48"/>
    <w:p>
      <w:pPr>
        <w:spacing w:after="0" w:line="18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three months ended September 30, 2021, average interest-bearing liabilities increased $25.5 million, or 2.4 percent when compared to the three month period ended September 30, 2020. Average interest bearing deposits grew $30.2 million, or 2.9 percent, and was partially offset by a decrease in the average balance of borrowed funds of $4.7 million, or 11.4 percent. The average cost of interest bearing liabilities decreased 65 basis points to 0.53% from 1.18% when comparing the three months ended September 30, 2021 to the three months ended September 30, 2020. The decreases in the interest rates primarily reflect market interest rate decreases in 2021.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2"/>
                <w:szCs w:val="12"/>
                <w:color w:val="auto"/>
              </w:rPr>
            </w:pPr>
          </w:p>
        </w:tc>
        <w:tc>
          <w:tcPr>
            <w:tcW w:w="98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Interest</w:t>
            </w:r>
          </w:p>
        </w:tc>
        <w:tc>
          <w:tcPr>
            <w:tcW w:w="1060" w:type="dxa"/>
            <w:vAlign w:val="bottom"/>
          </w:tcPr>
          <w:p>
            <w:pPr>
              <w:ind w:left="480"/>
              <w:spacing w:after="0" w:line="13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ind w:left="180"/>
              <w:spacing w:after="0" w:line="139" w:lineRule="exact"/>
              <w:rPr>
                <w:sz w:val="20"/>
                <w:szCs w:val="20"/>
                <w:color w:val="auto"/>
              </w:rPr>
            </w:pPr>
            <w:r>
              <w:rPr>
                <w:rFonts w:ascii="Arial" w:cs="Arial" w:eastAsia="Arial" w:hAnsi="Arial"/>
                <w:sz w:val="14"/>
                <w:szCs w:val="14"/>
                <w:b w:val="1"/>
                <w:bCs w:val="1"/>
                <w:color w:val="auto"/>
              </w:rPr>
              <w:t>Average</w:t>
            </w:r>
          </w:p>
        </w:tc>
        <w:tc>
          <w:tcPr>
            <w:tcW w:w="480" w:type="dxa"/>
            <w:vAlign w:val="bottom"/>
          </w:tcPr>
          <w:p>
            <w:pPr>
              <w:spacing w:after="0"/>
              <w:rPr>
                <w:sz w:val="12"/>
                <w:szCs w:val="12"/>
                <w:color w:val="auto"/>
              </w:rPr>
            </w:pPr>
          </w:p>
        </w:tc>
        <w:tc>
          <w:tcPr>
            <w:tcW w:w="96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Interest</w:t>
            </w:r>
          </w:p>
        </w:tc>
        <w:tc>
          <w:tcPr>
            <w:tcW w:w="1080" w:type="dxa"/>
            <w:vAlign w:val="bottom"/>
          </w:tcPr>
          <w:p>
            <w:pPr>
              <w:ind w:left="500"/>
              <w:spacing w:after="0" w:line="13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40" w:type="dxa"/>
            <w:vAlign w:val="bottom"/>
          </w:tcPr>
          <w:p>
            <w:pPr>
              <w:spacing w:after="0"/>
              <w:rPr>
                <w:sz w:val="11"/>
                <w:szCs w:val="11"/>
                <w:color w:val="auto"/>
              </w:rPr>
            </w:pPr>
          </w:p>
        </w:tc>
        <w:tc>
          <w:tcPr>
            <w:tcW w:w="1640" w:type="dxa"/>
            <w:vAlign w:val="bottom"/>
            <w:gridSpan w:val="3"/>
          </w:tcPr>
          <w:p>
            <w:pPr>
              <w:ind w:left="340"/>
              <w:spacing w:after="0" w:line="133" w:lineRule="exact"/>
              <w:rPr>
                <w:sz w:val="20"/>
                <w:szCs w:val="20"/>
                <w:color w:val="auto"/>
              </w:rPr>
            </w:pPr>
            <w:r>
              <w:rPr>
                <w:rFonts w:ascii="Arial" w:cs="Arial" w:eastAsia="Arial" w:hAnsi="Arial"/>
                <w:sz w:val="14"/>
                <w:szCs w:val="14"/>
                <w:b w:val="1"/>
                <w:bCs w:val="1"/>
                <w:color w:val="auto"/>
              </w:rPr>
              <w:t>Outstanding</w:t>
            </w:r>
          </w:p>
        </w:tc>
        <w:tc>
          <w:tcPr>
            <w:tcW w:w="1440" w:type="dxa"/>
            <w:vAlign w:val="bottom"/>
            <w:gridSpan w:val="3"/>
          </w:tcPr>
          <w:p>
            <w:pPr>
              <w:ind w:left="380"/>
              <w:spacing w:after="0" w:line="133" w:lineRule="exact"/>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ind w:left="69"/>
              <w:spacing w:after="0" w:line="133" w:lineRule="exact"/>
              <w:rPr>
                <w:sz w:val="20"/>
                <w:szCs w:val="20"/>
                <w:color w:val="auto"/>
              </w:rPr>
            </w:pPr>
            <w:r>
              <w:rPr>
                <w:rFonts w:ascii="Arial" w:cs="Arial" w:eastAsia="Arial" w:hAnsi="Arial"/>
                <w:sz w:val="14"/>
                <w:szCs w:val="14"/>
                <w:b w:val="1"/>
                <w:bCs w:val="1"/>
                <w:color w:val="auto"/>
                <w:w w:val="96"/>
              </w:rPr>
              <w:t>Yield/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ind w:left="340"/>
              <w:spacing w:after="0" w:line="133" w:lineRule="exact"/>
              <w:rPr>
                <w:sz w:val="20"/>
                <w:szCs w:val="20"/>
                <w:color w:val="auto"/>
              </w:rPr>
            </w:pPr>
            <w:r>
              <w:rPr>
                <w:rFonts w:ascii="Arial" w:cs="Arial" w:eastAsia="Arial" w:hAnsi="Arial"/>
                <w:sz w:val="14"/>
                <w:szCs w:val="14"/>
                <w:b w:val="1"/>
                <w:bCs w:val="1"/>
                <w:color w:val="auto"/>
              </w:rPr>
              <w:t>Outstanding</w:t>
            </w:r>
          </w:p>
        </w:tc>
        <w:tc>
          <w:tcPr>
            <w:tcW w:w="1440" w:type="dxa"/>
            <w:vAlign w:val="bottom"/>
            <w:gridSpan w:val="3"/>
          </w:tcPr>
          <w:p>
            <w:pPr>
              <w:ind w:left="380"/>
              <w:spacing w:after="0" w:line="133" w:lineRule="exact"/>
              <w:rPr>
                <w:sz w:val="20"/>
                <w:szCs w:val="20"/>
                <w:color w:val="auto"/>
              </w:rPr>
            </w:pPr>
            <w:r>
              <w:rPr>
                <w:rFonts w:ascii="Arial" w:cs="Arial" w:eastAsia="Arial" w:hAnsi="Arial"/>
                <w:sz w:val="14"/>
                <w:szCs w:val="14"/>
                <w:b w:val="1"/>
                <w:bCs w:val="1"/>
                <w:color w:val="auto"/>
              </w:rPr>
              <w:t>Income/</w:t>
            </w:r>
          </w:p>
        </w:tc>
        <w:tc>
          <w:tcPr>
            <w:tcW w:w="1080" w:type="dxa"/>
            <w:vAlign w:val="bottom"/>
          </w:tcPr>
          <w:p>
            <w:pPr>
              <w:jc w:val="center"/>
              <w:ind w:left="69"/>
              <w:spacing w:after="0" w:line="133" w:lineRule="exact"/>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40" w:type="dxa"/>
            <w:vAlign w:val="bottom"/>
            <w:vMerge w:val="restart"/>
          </w:tcPr>
          <w:p>
            <w:pPr>
              <w:ind w:left="340"/>
              <w:spacing w:after="0"/>
              <w:rPr>
                <w:sz w:val="20"/>
                <w:szCs w:val="20"/>
                <w:color w:val="auto"/>
              </w:rPr>
            </w:pPr>
            <w:r>
              <w:rPr>
                <w:rFonts w:ascii="Arial" w:cs="Arial" w:eastAsia="Arial" w:hAnsi="Arial"/>
                <w:sz w:val="11"/>
                <w:szCs w:val="11"/>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14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Expense</w:t>
            </w:r>
          </w:p>
        </w:tc>
        <w:tc>
          <w:tcPr>
            <w:tcW w:w="1060" w:type="dxa"/>
            <w:vAlign w:val="bottom"/>
            <w:tcBorders>
              <w:bottom w:val="single" w:sz="8" w:color="auto"/>
            </w:tcBorders>
          </w:tcPr>
          <w:p>
            <w:pPr>
              <w:jc w:val="center"/>
              <w:ind w:left="129"/>
              <w:spacing w:after="0" w:line="172"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14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Expense</w:t>
            </w:r>
          </w:p>
        </w:tc>
        <w:tc>
          <w:tcPr>
            <w:tcW w:w="1080" w:type="dxa"/>
            <w:vAlign w:val="bottom"/>
            <w:tcBorders>
              <w:bottom w:val="single" w:sz="8" w:color="auto"/>
            </w:tcBorders>
          </w:tcPr>
          <w:p>
            <w:pPr>
              <w:jc w:val="center"/>
              <w:ind w:left="109"/>
              <w:spacing w:after="0" w:line="172"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8"/>
                <w:szCs w:val="18"/>
                <w:b w:val="1"/>
                <w:bCs w:val="1"/>
                <w:color w:val="auto"/>
                <w:w w:val="93"/>
                <w:vertAlign w:val="superscript"/>
              </w:rPr>
              <w:t>(1)</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040" w:type="dxa"/>
            <w:vAlign w:val="bottom"/>
          </w:tcPr>
          <w:p>
            <w:pPr>
              <w:ind w:left="340"/>
              <w:spacing w:after="0"/>
              <w:rPr>
                <w:sz w:val="20"/>
                <w:szCs w:val="20"/>
                <w:color w:val="auto"/>
              </w:rPr>
            </w:pPr>
            <w:r>
              <w:rPr>
                <w:rFonts w:ascii="Arial" w:cs="Arial" w:eastAsia="Arial" w:hAnsi="Arial"/>
                <w:sz w:val="14"/>
                <w:szCs w:val="14"/>
                <w:b w:val="1"/>
                <w:bCs w:val="1"/>
                <w:color w:val="auto"/>
              </w:rPr>
              <w:t>Assets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earning assets: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180"/>
              <w:spacing w:after="0"/>
              <w:rPr>
                <w:sz w:val="20"/>
                <w:szCs w:val="20"/>
                <w:color w:val="auto"/>
              </w:rPr>
            </w:pPr>
            <w:r>
              <w:rPr>
                <w:rFonts w:ascii="Arial" w:cs="Arial" w:eastAsia="Arial" w:hAnsi="Arial"/>
                <w:sz w:val="14"/>
                <w:szCs w:val="14"/>
                <w:color w:val="auto"/>
              </w:rPr>
              <w:t>Interest bearing deposits</w:t>
            </w:r>
          </w:p>
        </w:tc>
        <w:tc>
          <w:tcPr>
            <w:tcW w:w="46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238,648</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211</w:t>
            </w:r>
          </w:p>
        </w:tc>
        <w:tc>
          <w:tcPr>
            <w:tcW w:w="100" w:type="dxa"/>
            <w:vAlign w:val="bottom"/>
          </w:tcPr>
          <w:p>
            <w:pPr>
              <w:spacing w:after="0"/>
              <w:rPr>
                <w:sz w:val="16"/>
                <w:szCs w:val="16"/>
                <w:color w:val="auto"/>
              </w:rPr>
            </w:pPr>
          </w:p>
        </w:tc>
        <w:tc>
          <w:tcPr>
            <w:tcW w:w="1060" w:type="dxa"/>
            <w:vAlign w:val="bottom"/>
          </w:tcPr>
          <w:p>
            <w:pPr>
              <w:jc w:val="center"/>
              <w:ind w:left="69"/>
              <w:spacing w:after="0"/>
              <w:rPr>
                <w:sz w:val="20"/>
                <w:szCs w:val="20"/>
                <w:color w:val="auto"/>
              </w:rPr>
            </w:pPr>
            <w:r>
              <w:rPr>
                <w:rFonts w:ascii="Arial" w:cs="Arial" w:eastAsia="Arial" w:hAnsi="Arial"/>
                <w:sz w:val="14"/>
                <w:szCs w:val="14"/>
                <w:b w:val="1"/>
                <w:bCs w:val="1"/>
                <w:color w:val="auto"/>
              </w:rPr>
              <w:t>0.12</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98,661</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1080" w:type="dxa"/>
            <w:vAlign w:val="bottom"/>
          </w:tcPr>
          <w:p>
            <w:pPr>
              <w:jc w:val="center"/>
              <w:ind w:left="89"/>
              <w:spacing w:after="0"/>
              <w:rPr>
                <w:sz w:val="20"/>
                <w:szCs w:val="20"/>
                <w:color w:val="auto"/>
              </w:rPr>
            </w:pPr>
            <w:r>
              <w:rPr>
                <w:rFonts w:ascii="Arial" w:cs="Arial" w:eastAsia="Arial" w:hAnsi="Arial"/>
                <w:sz w:val="14"/>
                <w:szCs w:val="14"/>
                <w:color w:val="auto"/>
              </w:rPr>
              <w:t>0.41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 funds sold</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3,121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center"/>
              <w:ind w:left="69"/>
              <w:spacing w:after="0"/>
              <w:rPr>
                <w:sz w:val="20"/>
                <w:szCs w:val="20"/>
                <w:color w:val="auto"/>
              </w:rPr>
            </w:pPr>
            <w:r>
              <w:rPr>
                <w:rFonts w:ascii="Arial" w:cs="Arial" w:eastAsia="Arial" w:hAnsi="Arial"/>
                <w:sz w:val="14"/>
                <w:szCs w:val="14"/>
                <w:b w:val="1"/>
                <w:bCs w:val="1"/>
                <w:color w:val="auto"/>
              </w:rPr>
              <w:t>0.00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2,319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rPr>
              <w:t>0.22</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180"/>
              <w:spacing w:after="0"/>
              <w:rPr>
                <w:sz w:val="20"/>
                <w:szCs w:val="20"/>
                <w:color w:val="auto"/>
              </w:rPr>
            </w:pPr>
            <w:r>
              <w:rPr>
                <w:rFonts w:ascii="Arial" w:cs="Arial" w:eastAsia="Arial" w:hAnsi="Arial"/>
                <w:sz w:val="14"/>
                <w:szCs w:val="14"/>
                <w:color w:val="auto"/>
              </w:rPr>
              <w:t>Investment securities</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139,643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1,571</w:t>
            </w:r>
          </w:p>
        </w:tc>
        <w:tc>
          <w:tcPr>
            <w:tcW w:w="100" w:type="dxa"/>
            <w:vAlign w:val="bottom"/>
          </w:tcPr>
          <w:p>
            <w:pPr>
              <w:spacing w:after="0"/>
              <w:rPr>
                <w:sz w:val="16"/>
                <w:szCs w:val="16"/>
                <w:color w:val="auto"/>
              </w:rPr>
            </w:pPr>
          </w:p>
        </w:tc>
        <w:tc>
          <w:tcPr>
            <w:tcW w:w="1060" w:type="dxa"/>
            <w:vAlign w:val="bottom"/>
          </w:tcPr>
          <w:p>
            <w:pPr>
              <w:jc w:val="center"/>
              <w:ind w:left="69"/>
              <w:spacing w:after="0"/>
              <w:rPr>
                <w:sz w:val="20"/>
                <w:szCs w:val="20"/>
                <w:color w:val="auto"/>
              </w:rPr>
            </w:pPr>
            <w:r>
              <w:rPr>
                <w:rFonts w:ascii="Arial" w:cs="Arial" w:eastAsia="Arial" w:hAnsi="Arial"/>
                <w:sz w:val="14"/>
                <w:szCs w:val="14"/>
                <w:b w:val="1"/>
                <w:bCs w:val="1"/>
                <w:color w:val="auto"/>
              </w:rPr>
              <w:t>1.50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58,071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6"/>
                <w:szCs w:val="16"/>
                <w:color w:val="auto"/>
              </w:rPr>
            </w:pPr>
          </w:p>
        </w:tc>
        <w:tc>
          <w:tcPr>
            <w:tcW w:w="1080" w:type="dxa"/>
            <w:vAlign w:val="bottom"/>
          </w:tcPr>
          <w:p>
            <w:pPr>
              <w:jc w:val="center"/>
              <w:ind w:left="89"/>
              <w:spacing w:after="0"/>
              <w:rPr>
                <w:sz w:val="20"/>
                <w:szCs w:val="20"/>
                <w:color w:val="auto"/>
              </w:rPr>
            </w:pPr>
            <w:r>
              <w:rPr>
                <w:rFonts w:ascii="Arial" w:cs="Arial" w:eastAsia="Arial" w:hAnsi="Arial"/>
                <w:sz w:val="14"/>
                <w:szCs w:val="14"/>
                <w:color w:val="auto"/>
              </w:rPr>
              <w:t>2.14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investments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3,620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124</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69"/>
              <w:spacing w:after="0"/>
              <w:rPr>
                <w:sz w:val="20"/>
                <w:szCs w:val="20"/>
                <w:color w:val="auto"/>
              </w:rPr>
            </w:pPr>
            <w:r>
              <w:rPr>
                <w:rFonts w:ascii="Arial" w:cs="Arial" w:eastAsia="Arial" w:hAnsi="Arial"/>
                <w:sz w:val="14"/>
                <w:szCs w:val="14"/>
                <w:b w:val="1"/>
                <w:bCs w:val="1"/>
                <w:color w:val="auto"/>
              </w:rPr>
              <w:t>4.59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4,025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rPr>
              <w:t>5.78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40" w:type="dxa"/>
            <w:vAlign w:val="bottom"/>
          </w:tcPr>
          <w:p>
            <w:pPr>
              <w:ind w:left="180"/>
              <w:spacing w:after="0"/>
              <w:rPr>
                <w:sz w:val="20"/>
                <w:szCs w:val="20"/>
                <w:color w:val="auto"/>
              </w:rPr>
            </w:pPr>
            <w:r>
              <w:rPr>
                <w:rFonts w:ascii="Arial" w:cs="Arial" w:eastAsia="Arial" w:hAnsi="Arial"/>
                <w:sz w:val="14"/>
                <w:szCs w:val="14"/>
                <w:color w:val="auto"/>
              </w:rPr>
              <w:t>Loans held for sale</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49,775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1,043</w:t>
            </w:r>
          </w:p>
        </w:tc>
        <w:tc>
          <w:tcPr>
            <w:tcW w:w="100" w:type="dxa"/>
            <w:vAlign w:val="bottom"/>
          </w:tcPr>
          <w:p>
            <w:pPr>
              <w:spacing w:after="0"/>
              <w:rPr>
                <w:sz w:val="16"/>
                <w:szCs w:val="16"/>
                <w:color w:val="auto"/>
              </w:rPr>
            </w:pPr>
          </w:p>
        </w:tc>
        <w:tc>
          <w:tcPr>
            <w:tcW w:w="1060" w:type="dxa"/>
            <w:vAlign w:val="bottom"/>
          </w:tcPr>
          <w:p>
            <w:pPr>
              <w:jc w:val="center"/>
              <w:ind w:left="69"/>
              <w:spacing w:after="0"/>
              <w:rPr>
                <w:sz w:val="20"/>
                <w:szCs w:val="20"/>
                <w:color w:val="auto"/>
              </w:rPr>
            </w:pPr>
            <w:r>
              <w:rPr>
                <w:rFonts w:ascii="Arial" w:cs="Arial" w:eastAsia="Arial" w:hAnsi="Arial"/>
                <w:sz w:val="14"/>
                <w:szCs w:val="14"/>
                <w:b w:val="1"/>
                <w:bCs w:val="1"/>
                <w:color w:val="auto"/>
              </w:rPr>
              <w:t>2.80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77,878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1,909</w:t>
            </w:r>
          </w:p>
        </w:tc>
        <w:tc>
          <w:tcPr>
            <w:tcW w:w="100" w:type="dxa"/>
            <w:vAlign w:val="bottom"/>
          </w:tcPr>
          <w:p>
            <w:pPr>
              <w:spacing w:after="0"/>
              <w:rPr>
                <w:sz w:val="16"/>
                <w:szCs w:val="16"/>
                <w:color w:val="auto"/>
              </w:rPr>
            </w:pPr>
          </w:p>
        </w:tc>
        <w:tc>
          <w:tcPr>
            <w:tcW w:w="1080" w:type="dxa"/>
            <w:vAlign w:val="bottom"/>
          </w:tcPr>
          <w:p>
            <w:pPr>
              <w:jc w:val="center"/>
              <w:ind w:left="89"/>
              <w:spacing w:after="0"/>
              <w:rPr>
                <w:sz w:val="20"/>
                <w:szCs w:val="20"/>
                <w:color w:val="auto"/>
              </w:rPr>
            </w:pPr>
            <w:r>
              <w:rPr>
                <w:rFonts w:ascii="Arial" w:cs="Arial" w:eastAsia="Arial" w:hAnsi="Arial"/>
                <w:sz w:val="14"/>
                <w:szCs w:val="14"/>
                <w:color w:val="auto"/>
              </w:rPr>
              <w:t>3.27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SBA-PPP loans receivable</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215,524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6,266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69"/>
              <w:spacing w:after="0"/>
              <w:rPr>
                <w:sz w:val="20"/>
                <w:szCs w:val="20"/>
                <w:color w:val="auto"/>
              </w:rPr>
            </w:pPr>
            <w:r>
              <w:rPr>
                <w:rFonts w:ascii="Arial" w:cs="Arial" w:eastAsia="Arial" w:hAnsi="Arial"/>
                <w:sz w:val="14"/>
                <w:szCs w:val="14"/>
                <w:b w:val="1"/>
                <w:bCs w:val="1"/>
                <w:color w:val="auto"/>
              </w:rPr>
              <w:t>3.89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134,130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rPr>
              <w:t>2.47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40" w:type="dxa"/>
            <w:vAlign w:val="bottom"/>
            <w:tcBorders>
              <w:bottom w:val="single" w:sz="8" w:color="CCEEFF"/>
            </w:tcBorders>
          </w:tcPr>
          <w:p>
            <w:pPr>
              <w:ind w:left="180"/>
              <w:spacing w:after="0" w:line="186"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1,339,010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80,240</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rPr>
              <w:t>8.01</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1,197,719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63,129</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color w:val="auto"/>
              </w:rPr>
              <w:t>7.04</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ind w:left="300"/>
              <w:spacing w:after="0" w:line="131" w:lineRule="exact"/>
              <w:rPr>
                <w:sz w:val="20"/>
                <w:szCs w:val="20"/>
                <w:color w:val="auto"/>
              </w:rPr>
            </w:pPr>
            <w:r>
              <w:rPr>
                <w:rFonts w:ascii="Arial" w:cs="Arial" w:eastAsia="Arial" w:hAnsi="Arial"/>
                <w:sz w:val="14"/>
                <w:szCs w:val="14"/>
                <w:color w:val="auto"/>
              </w:rPr>
              <w:t>Total interest earning</w:t>
            </w:r>
          </w:p>
        </w:tc>
        <w:tc>
          <w:tcPr>
            <w:tcW w:w="4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1,989,341</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89,455</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center"/>
              <w:ind w:left="69"/>
              <w:spacing w:after="0"/>
              <w:rPr>
                <w:sz w:val="20"/>
                <w:szCs w:val="20"/>
                <w:color w:val="auto"/>
              </w:rPr>
            </w:pPr>
            <w:r>
              <w:rPr>
                <w:rFonts w:ascii="Arial" w:cs="Arial" w:eastAsia="Arial" w:hAnsi="Arial"/>
                <w:sz w:val="14"/>
                <w:szCs w:val="14"/>
                <w:b w:val="1"/>
                <w:bCs w:val="1"/>
                <w:color w:val="auto"/>
              </w:rPr>
              <w:t>6.01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1,572,803</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68,933</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ind w:left="89"/>
              <w:spacing w:after="0"/>
              <w:rPr>
                <w:sz w:val="20"/>
                <w:szCs w:val="20"/>
                <w:color w:val="auto"/>
              </w:rPr>
            </w:pPr>
            <w:r>
              <w:rPr>
                <w:rFonts w:ascii="Arial" w:cs="Arial" w:eastAsia="Arial" w:hAnsi="Arial"/>
                <w:sz w:val="14"/>
                <w:szCs w:val="14"/>
                <w:color w:val="auto"/>
              </w:rPr>
              <w:t>5.85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assets</w:t>
            </w:r>
          </w:p>
        </w:tc>
        <w:tc>
          <w:tcPr>
            <w:tcW w:w="46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Noninterest earning assets</w:t>
            </w: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36,245</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21,779</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assets</w:t>
            </w:r>
          </w:p>
        </w:tc>
        <w:tc>
          <w:tcPr>
            <w:tcW w:w="46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2,025,586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1,594,582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b w:val="1"/>
                <w:bCs w:val="1"/>
                <w:color w:val="auto"/>
              </w:rPr>
              <w:t>Liabilities and Stockholders’</w:t>
            </w:r>
          </w:p>
        </w:tc>
        <w:tc>
          <w:tcPr>
            <w:tcW w:w="4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Equity</w:t>
            </w: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340"/>
              <w:spacing w:after="0"/>
              <w:rPr>
                <w:sz w:val="20"/>
                <w:szCs w:val="20"/>
                <w:color w:val="auto"/>
              </w:rPr>
            </w:pPr>
            <w:r>
              <w:rPr>
                <w:rFonts w:ascii="Arial" w:cs="Arial" w:eastAsia="Arial" w:hAnsi="Arial"/>
                <w:sz w:val="14"/>
                <w:szCs w:val="14"/>
                <w:color w:val="auto"/>
              </w:rPr>
              <w:t>Interest bearing liabilities:</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40" w:type="dxa"/>
            <w:vAlign w:val="bottom"/>
            <w:shd w:val="clear" w:color="auto" w:fill="CCEEFF"/>
          </w:tcPr>
          <w:p>
            <w:pPr>
              <w:ind w:left="180"/>
              <w:spacing w:after="0" w:line="151" w:lineRule="exact"/>
              <w:rPr>
                <w:sz w:val="20"/>
                <w:szCs w:val="20"/>
                <w:color w:val="auto"/>
              </w:rPr>
            </w:pPr>
            <w:r>
              <w:rPr>
                <w:rFonts w:ascii="Arial" w:cs="Arial" w:eastAsia="Arial" w:hAnsi="Arial"/>
                <w:sz w:val="14"/>
                <w:szCs w:val="14"/>
                <w:color w:val="auto"/>
              </w:rPr>
              <w:t>Interest bearing demand</w:t>
            </w:r>
          </w:p>
        </w:tc>
        <w:tc>
          <w:tcPr>
            <w:tcW w:w="460" w:type="dxa"/>
            <w:vAlign w:val="bottom"/>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280,305</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163</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center"/>
              <w:ind w:left="69"/>
              <w:spacing w:after="0"/>
              <w:rPr>
                <w:sz w:val="20"/>
                <w:szCs w:val="20"/>
                <w:color w:val="auto"/>
              </w:rPr>
            </w:pPr>
            <w:r>
              <w:rPr>
                <w:rFonts w:ascii="Arial" w:cs="Arial" w:eastAsia="Arial" w:hAnsi="Arial"/>
                <w:sz w:val="14"/>
                <w:szCs w:val="14"/>
                <w:b w:val="1"/>
                <w:bCs w:val="1"/>
                <w:color w:val="auto"/>
              </w:rPr>
              <w:t>0.08</w:t>
            </w:r>
          </w:p>
        </w:tc>
        <w:tc>
          <w:tcPr>
            <w:tcW w:w="180" w:type="dxa"/>
            <w:vAlign w:val="bottom"/>
            <w:shd w:val="clear" w:color="auto" w:fill="CCEEFF"/>
          </w:tcPr>
          <w:p>
            <w:pPr>
              <w:spacing w:after="0"/>
              <w:rPr>
                <w:sz w:val="13"/>
                <w:szCs w:val="13"/>
                <w:color w:val="auto"/>
              </w:rPr>
            </w:pPr>
          </w:p>
        </w:tc>
        <w:tc>
          <w:tcPr>
            <w:tcW w:w="5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181,597</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center"/>
              <w:ind w:left="89"/>
              <w:spacing w:after="0"/>
              <w:rPr>
                <w:sz w:val="20"/>
                <w:szCs w:val="20"/>
                <w:color w:val="auto"/>
              </w:rPr>
            </w:pPr>
            <w:r>
              <w:rPr>
                <w:rFonts w:ascii="Arial" w:cs="Arial" w:eastAsia="Arial" w:hAnsi="Arial"/>
                <w:sz w:val="14"/>
                <w:szCs w:val="14"/>
                <w:color w:val="auto"/>
              </w:rPr>
              <w:t>0.41</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w:t>
            </w:r>
          </w:p>
        </w:tc>
        <w:tc>
          <w:tcPr>
            <w:tcW w:w="46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tcPr>
          <w:p>
            <w:pPr>
              <w:ind w:left="180"/>
              <w:spacing w:after="0"/>
              <w:rPr>
                <w:sz w:val="20"/>
                <w:szCs w:val="20"/>
                <w:color w:val="auto"/>
              </w:rPr>
            </w:pPr>
            <w:r>
              <w:rPr>
                <w:rFonts w:ascii="Arial" w:cs="Arial" w:eastAsia="Arial" w:hAnsi="Arial"/>
                <w:sz w:val="14"/>
                <w:szCs w:val="14"/>
                <w:color w:val="auto"/>
              </w:rPr>
              <w:t>Savings</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6,435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060" w:type="dxa"/>
            <w:vAlign w:val="bottom"/>
          </w:tcPr>
          <w:p>
            <w:pPr>
              <w:jc w:val="center"/>
              <w:ind w:left="69"/>
              <w:spacing w:after="0"/>
              <w:rPr>
                <w:sz w:val="20"/>
                <w:szCs w:val="20"/>
                <w:color w:val="auto"/>
              </w:rPr>
            </w:pPr>
            <w:r>
              <w:rPr>
                <w:rFonts w:ascii="Arial" w:cs="Arial" w:eastAsia="Arial" w:hAnsi="Arial"/>
                <w:sz w:val="14"/>
                <w:szCs w:val="14"/>
                <w:b w:val="1"/>
                <w:bCs w:val="1"/>
                <w:color w:val="auto"/>
              </w:rPr>
              <w:t>0.05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4,686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080" w:type="dxa"/>
            <w:vAlign w:val="bottom"/>
          </w:tcPr>
          <w:p>
            <w:pPr>
              <w:jc w:val="center"/>
              <w:ind w:left="89"/>
              <w:spacing w:after="0"/>
              <w:rPr>
                <w:sz w:val="20"/>
                <w:szCs w:val="20"/>
                <w:color w:val="auto"/>
              </w:rPr>
            </w:pPr>
            <w:r>
              <w:rPr>
                <w:rFonts w:ascii="Arial" w:cs="Arial" w:eastAsia="Arial" w:hAnsi="Arial"/>
                <w:sz w:val="14"/>
                <w:szCs w:val="14"/>
                <w:color w:val="auto"/>
              </w:rPr>
              <w:t>0.13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Money market accounts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475,875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1,217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69"/>
              <w:spacing w:after="0"/>
              <w:rPr>
                <w:sz w:val="20"/>
                <w:szCs w:val="20"/>
                <w:color w:val="auto"/>
              </w:rPr>
            </w:pPr>
            <w:r>
              <w:rPr>
                <w:rFonts w:ascii="Arial" w:cs="Arial" w:eastAsia="Arial" w:hAnsi="Arial"/>
                <w:sz w:val="14"/>
                <w:szCs w:val="14"/>
                <w:b w:val="1"/>
                <w:bCs w:val="1"/>
                <w:color w:val="auto"/>
              </w:rPr>
              <w:t>0.34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484,412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rPr>
              <w:t>1.15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40" w:type="dxa"/>
            <w:vAlign w:val="bottom"/>
          </w:tcPr>
          <w:p>
            <w:pPr>
              <w:ind w:left="180"/>
              <w:spacing w:after="0"/>
              <w:rPr>
                <w:sz w:val="20"/>
                <w:szCs w:val="20"/>
                <w:color w:val="auto"/>
              </w:rPr>
            </w:pPr>
            <w:r>
              <w:rPr>
                <w:rFonts w:ascii="Arial" w:cs="Arial" w:eastAsia="Arial" w:hAnsi="Arial"/>
                <w:sz w:val="14"/>
                <w:szCs w:val="14"/>
                <w:color w:val="auto"/>
              </w:rPr>
              <w:t>Time deposits</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295,705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b w:val="1"/>
                <w:bCs w:val="1"/>
                <w:color w:val="auto"/>
              </w:rPr>
              <w:t>3,492</w:t>
            </w:r>
          </w:p>
        </w:tc>
        <w:tc>
          <w:tcPr>
            <w:tcW w:w="100" w:type="dxa"/>
            <w:vAlign w:val="bottom"/>
          </w:tcPr>
          <w:p>
            <w:pPr>
              <w:spacing w:after="0"/>
              <w:rPr>
                <w:sz w:val="16"/>
                <w:szCs w:val="16"/>
                <w:color w:val="auto"/>
              </w:rPr>
            </w:pPr>
          </w:p>
        </w:tc>
        <w:tc>
          <w:tcPr>
            <w:tcW w:w="1060" w:type="dxa"/>
            <w:vAlign w:val="bottom"/>
          </w:tcPr>
          <w:p>
            <w:pPr>
              <w:jc w:val="center"/>
              <w:ind w:left="69"/>
              <w:spacing w:after="0"/>
              <w:rPr>
                <w:sz w:val="20"/>
                <w:szCs w:val="20"/>
                <w:color w:val="auto"/>
              </w:rPr>
            </w:pPr>
            <w:r>
              <w:rPr>
                <w:rFonts w:ascii="Arial" w:cs="Arial" w:eastAsia="Arial" w:hAnsi="Arial"/>
                <w:sz w:val="14"/>
                <w:szCs w:val="14"/>
                <w:b w:val="1"/>
                <w:bCs w:val="1"/>
                <w:color w:val="auto"/>
              </w:rPr>
              <w:t>1.58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284,844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4,489</w:t>
            </w:r>
          </w:p>
        </w:tc>
        <w:tc>
          <w:tcPr>
            <w:tcW w:w="100" w:type="dxa"/>
            <w:vAlign w:val="bottom"/>
          </w:tcPr>
          <w:p>
            <w:pPr>
              <w:spacing w:after="0"/>
              <w:rPr>
                <w:sz w:val="16"/>
                <w:szCs w:val="16"/>
                <w:color w:val="auto"/>
              </w:rPr>
            </w:pPr>
          </w:p>
        </w:tc>
        <w:tc>
          <w:tcPr>
            <w:tcW w:w="1080" w:type="dxa"/>
            <w:vAlign w:val="bottom"/>
          </w:tcPr>
          <w:p>
            <w:pPr>
              <w:jc w:val="center"/>
              <w:ind w:left="89"/>
              <w:spacing w:after="0"/>
              <w:rPr>
                <w:sz w:val="20"/>
                <w:szCs w:val="20"/>
                <w:color w:val="auto"/>
              </w:rPr>
            </w:pPr>
            <w:r>
              <w:rPr>
                <w:rFonts w:ascii="Arial" w:cs="Arial" w:eastAsia="Arial" w:hAnsi="Arial"/>
                <w:sz w:val="14"/>
                <w:szCs w:val="14"/>
                <w:color w:val="auto"/>
              </w:rPr>
              <w:t>2.11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Borrowed funds</w:t>
            </w: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34,265</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559</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center"/>
              <w:ind w:left="69"/>
              <w:spacing w:after="0"/>
              <w:rPr>
                <w:sz w:val="20"/>
                <w:szCs w:val="20"/>
                <w:color w:val="auto"/>
              </w:rPr>
            </w:pPr>
            <w:r>
              <w:rPr>
                <w:rFonts w:ascii="Arial" w:cs="Arial" w:eastAsia="Arial" w:hAnsi="Arial"/>
                <w:sz w:val="14"/>
                <w:szCs w:val="14"/>
                <w:b w:val="1"/>
                <w:bCs w:val="1"/>
                <w:color w:val="auto"/>
              </w:rPr>
              <w:t>2.18</w:t>
            </w:r>
          </w:p>
        </w:tc>
        <w:tc>
          <w:tcPr>
            <w:tcW w:w="1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43,823</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center"/>
              <w:ind w:left="89"/>
              <w:spacing w:after="0"/>
              <w:rPr>
                <w:sz w:val="20"/>
                <w:szCs w:val="20"/>
                <w:color w:val="auto"/>
              </w:rPr>
            </w:pPr>
            <w:r>
              <w:rPr>
                <w:rFonts w:ascii="Arial" w:cs="Arial" w:eastAsia="Arial" w:hAnsi="Arial"/>
                <w:sz w:val="14"/>
                <w:szCs w:val="14"/>
                <w:color w:val="auto"/>
              </w:rPr>
              <w:t>4.21</w:t>
            </w:r>
          </w:p>
        </w:tc>
        <w:tc>
          <w:tcPr>
            <w:tcW w:w="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40" w:type="dxa"/>
            <w:vAlign w:val="bottom"/>
          </w:tcPr>
          <w:p>
            <w:pPr>
              <w:ind w:left="300"/>
              <w:spacing w:after="0" w:line="131" w:lineRule="exact"/>
              <w:rPr>
                <w:sz w:val="20"/>
                <w:szCs w:val="20"/>
                <w:color w:val="auto"/>
              </w:rPr>
            </w:pPr>
            <w:r>
              <w:rPr>
                <w:rFonts w:ascii="Arial" w:cs="Arial" w:eastAsia="Arial" w:hAnsi="Arial"/>
                <w:sz w:val="14"/>
                <w:szCs w:val="14"/>
                <w:color w:val="auto"/>
              </w:rPr>
              <w:t>Total interest bearing</w:t>
            </w:r>
          </w:p>
        </w:tc>
        <w:tc>
          <w:tcPr>
            <w:tcW w:w="4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1,092,585</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5,433</w:t>
            </w:r>
          </w:p>
        </w:tc>
        <w:tc>
          <w:tcPr>
            <w:tcW w:w="100" w:type="dxa"/>
            <w:vAlign w:val="bottom"/>
          </w:tcPr>
          <w:p>
            <w:pPr>
              <w:spacing w:after="0"/>
              <w:rPr>
                <w:sz w:val="11"/>
                <w:szCs w:val="11"/>
                <w:color w:val="auto"/>
              </w:rPr>
            </w:pPr>
          </w:p>
        </w:tc>
        <w:tc>
          <w:tcPr>
            <w:tcW w:w="1060" w:type="dxa"/>
            <w:vAlign w:val="bottom"/>
            <w:vMerge w:val="restart"/>
          </w:tcPr>
          <w:p>
            <w:pPr>
              <w:jc w:val="center"/>
              <w:ind w:left="69"/>
              <w:spacing w:after="0"/>
              <w:rPr>
                <w:sz w:val="20"/>
                <w:szCs w:val="20"/>
                <w:color w:val="auto"/>
              </w:rPr>
            </w:pPr>
            <w:r>
              <w:rPr>
                <w:rFonts w:ascii="Arial" w:cs="Arial" w:eastAsia="Arial" w:hAnsi="Arial"/>
                <w:sz w:val="14"/>
                <w:szCs w:val="14"/>
                <w:b w:val="1"/>
                <w:bCs w:val="1"/>
                <w:color w:val="auto"/>
              </w:rPr>
              <w:t>0.66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vMerge w:val="restart"/>
          </w:tcPr>
          <w:p>
            <w:pPr>
              <w:jc w:val="right"/>
              <w:ind w:right="9"/>
              <w:spacing w:after="0"/>
              <w:rPr>
                <w:sz w:val="20"/>
                <w:szCs w:val="20"/>
                <w:color w:val="auto"/>
              </w:rPr>
            </w:pPr>
            <w:r>
              <w:rPr>
                <w:rFonts w:ascii="Arial" w:cs="Arial" w:eastAsia="Arial" w:hAnsi="Arial"/>
                <w:sz w:val="14"/>
                <w:szCs w:val="14"/>
                <w:color w:val="auto"/>
              </w:rPr>
              <w:t>999,362</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10,583</w:t>
            </w:r>
          </w:p>
        </w:tc>
        <w:tc>
          <w:tcPr>
            <w:tcW w:w="100" w:type="dxa"/>
            <w:vAlign w:val="bottom"/>
          </w:tcPr>
          <w:p>
            <w:pPr>
              <w:spacing w:after="0"/>
              <w:rPr>
                <w:sz w:val="11"/>
                <w:szCs w:val="11"/>
                <w:color w:val="auto"/>
              </w:rPr>
            </w:pPr>
          </w:p>
        </w:tc>
        <w:tc>
          <w:tcPr>
            <w:tcW w:w="1080" w:type="dxa"/>
            <w:vAlign w:val="bottom"/>
            <w:vMerge w:val="restart"/>
          </w:tcPr>
          <w:p>
            <w:pPr>
              <w:jc w:val="center"/>
              <w:ind w:left="89"/>
              <w:spacing w:after="0"/>
              <w:rPr>
                <w:sz w:val="20"/>
                <w:szCs w:val="20"/>
                <w:color w:val="auto"/>
              </w:rPr>
            </w:pPr>
            <w:r>
              <w:rPr>
                <w:rFonts w:ascii="Arial" w:cs="Arial" w:eastAsia="Arial" w:hAnsi="Arial"/>
                <w:sz w:val="14"/>
                <w:szCs w:val="14"/>
                <w:color w:val="auto"/>
              </w:rPr>
              <w:t>1.41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liabilities</w:t>
            </w:r>
          </w:p>
        </w:tc>
        <w:tc>
          <w:tcPr>
            <w:tcW w:w="4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bearing liabilities:</w:t>
            </w: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tcPr>
          <w:p>
            <w:pPr>
              <w:ind w:left="180"/>
              <w:spacing w:after="0"/>
              <w:rPr>
                <w:sz w:val="20"/>
                <w:szCs w:val="20"/>
                <w:color w:val="auto"/>
              </w:rPr>
            </w:pPr>
            <w:r>
              <w:rPr>
                <w:rFonts w:ascii="Arial" w:cs="Arial" w:eastAsia="Arial" w:hAnsi="Arial"/>
                <w:sz w:val="14"/>
                <w:szCs w:val="14"/>
                <w:color w:val="auto"/>
              </w:rPr>
              <w:t>Noninterest bearing liabilities</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23,327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21,401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deposits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735,509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433,381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Stockholders’ equity</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174,165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140,438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ind w:left="300"/>
              <w:spacing w:after="0" w:line="131" w:lineRule="exact"/>
              <w:rPr>
                <w:sz w:val="20"/>
                <w:szCs w:val="20"/>
                <w:color w:val="auto"/>
              </w:rPr>
            </w:pPr>
            <w:r>
              <w:rPr>
                <w:rFonts w:ascii="Arial" w:cs="Arial" w:eastAsia="Arial" w:hAnsi="Arial"/>
                <w:sz w:val="14"/>
                <w:szCs w:val="14"/>
                <w:color w:val="auto"/>
              </w:rPr>
              <w:t>Total liabilities and</w:t>
            </w:r>
          </w:p>
        </w:tc>
        <w:tc>
          <w:tcPr>
            <w:tcW w:w="460" w:type="dxa"/>
            <w:vAlign w:val="bottom"/>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2,025,586</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1,594,582</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40" w:type="dxa"/>
            <w:vAlign w:val="bottom"/>
            <w:shd w:val="clear" w:color="auto" w:fill="CCEEFF"/>
          </w:tcPr>
          <w:p>
            <w:pPr>
              <w:ind w:left="460"/>
              <w:spacing w:after="0" w:line="141" w:lineRule="exact"/>
              <w:rPr>
                <w:sz w:val="20"/>
                <w:szCs w:val="20"/>
                <w:color w:val="auto"/>
              </w:rPr>
            </w:pPr>
            <w:r>
              <w:rPr>
                <w:rFonts w:ascii="Arial" w:cs="Arial" w:eastAsia="Arial" w:hAnsi="Arial"/>
                <w:sz w:val="14"/>
                <w:szCs w:val="14"/>
                <w:color w:val="auto"/>
              </w:rPr>
              <w:t>stockholders’ equity</w:t>
            </w:r>
          </w:p>
        </w:tc>
        <w:tc>
          <w:tcPr>
            <w:tcW w:w="46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interest spread</w:t>
            </w: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left="69"/>
              <w:spacing w:after="0"/>
              <w:rPr>
                <w:sz w:val="20"/>
                <w:szCs w:val="20"/>
                <w:color w:val="auto"/>
              </w:rPr>
            </w:pPr>
            <w:r>
              <w:rPr>
                <w:rFonts w:ascii="Arial" w:cs="Arial" w:eastAsia="Arial" w:hAnsi="Arial"/>
                <w:sz w:val="14"/>
                <w:szCs w:val="14"/>
                <w:b w:val="1"/>
                <w:bCs w:val="1"/>
                <w:color w:val="auto"/>
              </w:rPr>
              <w:t>5.35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ind w:left="89"/>
              <w:spacing w:after="0"/>
              <w:rPr>
                <w:sz w:val="20"/>
                <w:szCs w:val="20"/>
                <w:color w:val="auto"/>
              </w:rPr>
            </w:pPr>
            <w:r>
              <w:rPr>
                <w:rFonts w:ascii="Arial" w:cs="Arial" w:eastAsia="Arial" w:hAnsi="Arial"/>
                <w:sz w:val="14"/>
                <w:szCs w:val="14"/>
                <w:color w:val="auto"/>
              </w:rPr>
              <w:t>4.44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color w:val="auto"/>
              </w:rPr>
              <w:t>Net interest income</w:t>
            </w: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CCEEFF"/>
              <w:bottom w:val="single" w:sz="8" w:color="CCEEFF"/>
            </w:tcBorders>
            <w:vMerge w:val="restart"/>
          </w:tcPr>
          <w:p>
            <w:pPr>
              <w:jc w:val="right"/>
              <w:ind w:right="9"/>
              <w:spacing w:after="0"/>
              <w:rPr>
                <w:sz w:val="20"/>
                <w:szCs w:val="20"/>
                <w:color w:val="auto"/>
              </w:rPr>
            </w:pPr>
            <w:r>
              <w:rPr>
                <w:rFonts w:ascii="Arial" w:cs="Arial" w:eastAsia="Arial" w:hAnsi="Arial"/>
                <w:sz w:val="14"/>
                <w:szCs w:val="14"/>
                <w:b w:val="1"/>
                <w:bCs w:val="1"/>
                <w:color w:val="auto"/>
              </w:rPr>
              <w:t>84,022</w:t>
            </w: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58,350</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40" w:type="dxa"/>
            <w:vAlign w:val="bottom"/>
            <w:tcBorders>
              <w:bottom w:val="single" w:sz="8" w:color="CCEEFF"/>
            </w:tcBorders>
            <w:shd w:val="clear" w:color="auto" w:fill="CCEEFF"/>
          </w:tcPr>
          <w:p>
            <w:pPr>
              <w:ind w:left="340"/>
              <w:spacing w:after="0" w:line="152"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7"/>
                <w:szCs w:val="17"/>
                <w:color w:val="auto"/>
                <w:vertAlign w:val="superscript"/>
              </w:rPr>
              <w:t>(3)</w:t>
            </w:r>
          </w:p>
        </w:tc>
        <w:tc>
          <w:tcPr>
            <w:tcW w:w="4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center"/>
              <w:ind w:left="69"/>
              <w:spacing w:after="0" w:line="152" w:lineRule="exact"/>
              <w:rPr>
                <w:sz w:val="20"/>
                <w:szCs w:val="20"/>
                <w:color w:val="auto"/>
              </w:rPr>
            </w:pPr>
            <w:r>
              <w:rPr>
                <w:rFonts w:ascii="Arial" w:cs="Arial" w:eastAsia="Arial" w:hAnsi="Arial"/>
                <w:sz w:val="14"/>
                <w:szCs w:val="14"/>
                <w:b w:val="1"/>
                <w:bCs w:val="1"/>
                <w:color w:val="auto"/>
              </w:rPr>
              <w:t>5.65</w:t>
            </w:r>
          </w:p>
        </w:tc>
        <w:tc>
          <w:tcPr>
            <w:tcW w:w="1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center"/>
              <w:ind w:left="89"/>
              <w:spacing w:after="0" w:line="152" w:lineRule="exact"/>
              <w:rPr>
                <w:sz w:val="20"/>
                <w:szCs w:val="20"/>
                <w:color w:val="auto"/>
              </w:rPr>
            </w:pPr>
            <w:r>
              <w:rPr>
                <w:rFonts w:ascii="Arial" w:cs="Arial" w:eastAsia="Arial" w:hAnsi="Arial"/>
                <w:sz w:val="14"/>
                <w:szCs w:val="14"/>
                <w:color w:val="auto"/>
              </w:rPr>
              <w:t>4.96</w:t>
            </w:r>
          </w:p>
        </w:tc>
        <w:tc>
          <w:tcPr>
            <w:tcW w:w="1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Annualized</w:t>
      </w:r>
    </w:p>
    <w:p>
      <w:pPr>
        <w:ind w:left="320" w:hanging="314"/>
        <w:spacing w:after="0" w:line="191" w:lineRule="auto"/>
        <w:tabs>
          <w:tab w:leader="none" w:pos="320"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Includes nonaccrual loans.</w:t>
      </w:r>
    </w:p>
    <w:p>
      <w:pPr>
        <w:ind w:left="320" w:hanging="314"/>
        <w:spacing w:after="0" w:line="190" w:lineRule="auto"/>
        <w:tabs>
          <w:tab w:leader="none" w:pos="320"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For the nine months ended September 30, 2021 and 2020, SBA-PPP loans and credit card loans collectively accounted for 208 and 104 basis points of the reported net interest margin,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8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nine months ended September 30, 2021, net interest income increased $25.7 million, or 44.0 percent, to $84.0 million from the same period in 2020, primarily due to an increase in interest earning assets, an increase in rates on portfolio loans receivable and a decrease in rates on interest bearing liabilities. The net interest margin increased 69 basis points to 5.65% for the nine months ended September 30, 2021 from the same period in 2020. Net interest margin, excluding credit card and SBA-PPP loans, was 3.57% for the nine months ended September 30, 2021 compared to 3.92% for the same period in 2020.</w:t>
      </w:r>
    </w:p>
    <w:p>
      <w:pPr>
        <w:spacing w:after="0" w:line="207"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For the nine months ended September 30, 2021, average interest earning assets increased $416.5 million, or 26.5 percent, to $2.0 billion as compared to the same period in 2020, and the average yield on interest earning assets increased 16 basis points, from 5.85% for the nine months ended September 30, 2020 to 6.01% for the nine months ended September 30, 2021. The largest increase in interest income when comparing these two time periods related to the income generated by the average portfolio loans receivable, which grew $141.3 million, from $1.2 billion at September 30, 2020 to $1.3 billion at September 30, 2021. This growth in average balances for the nine month period ended September 30, 2021 compared to the nine month period ended September 30, 2020, along with the average rate increase for portfolio loans when comparing the same time periods in 2021 and 2020 of 97 basis points, generated $17.1 million in additional interest income, 46.0 percent due to the increase in average balances and 54.0 percent due to the increase in the average interest rate.</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For the nine months ended September 30, 2021, average interest-bearing liabilities increased $93.2 million, or 9.3 percent when compared to the nine month period ended September 30, 2020. Average interest bearing deposits grew $102.8 million, or 10.8 percent, and was partially offset by a decrease in the average balance of borrowed funds of $9.6 million, or 21.8 percent. The average cost of interest bearing liabilities decreased 75 basis points to 0.66% from 1.41% when comparing the nine months ended September 30, 2021 to the nine months ended September 30, 2020. The decreases in the interest rates primarily reflect market interest rate decreases in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provision for loan losses is a charge to income in order to bring our allowance for loan losses to a level deemed appropriate by management. For a description of the factors taken into account by our management in determining the allowance for loan losses, see “Financial Condition—Allowance for Loan Losses.”</w:t>
      </w:r>
    </w:p>
    <w:p>
      <w:pPr>
        <w:spacing w:after="0" w:line="20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During the quarter ended September 30, 2021, credit metrics improved as the economy continued to recover from the effects of COVID-19. Primarily as a result of an improving economic environment, the provision for loan losses declined from $3.5 million for the three months ended September 30, 2020 to $975 thousand for the three months ended September 30, 2021. On an annualized basis, net charge-offs for the third quarter of 2021 were $301 thousand, or 0.09% of average loans, compared to $163 thousand, or 0.06% of average loans on an annualized basis, for the third quarter of 2020. The $301 thousand in net charge-offs during the quarter was mainly comprised of $302 thousand in net credit card charge-offs.</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For the nine months ended September 30, 2021, the provision for loan losses was $2.3 million, a decrease of $6.9 million from the prior year to date period. Net charge-offs for the nine months ended September 30, 2021 were $940 thousand, or 0.09% of average portfolio loans on an annualized basis, compared to $494 thousand, or 0.05% of average portfolio loans on an annualized basis, for the same period in 2020. The $940 thousand in net charge-offs during the nine months ended September 30, 2021 was comprised of commercial real estate net charge-offs of $161 thousand, commercial loan net charge-offs of $33 thousand, and net charge-offs of $747 thousand in the credit card portfolio and was offset by construction loan net recoveries of $1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83"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allowance for loan losses as a percent of portfolio loans was 1.71% and 1.78% at September 30, 2021 and December 31, 2020,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35"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Our primary sources of recurring noninterest income are service charges on deposit accounts, certain credit card fees, such as interchange fees and statement fees, credit card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19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NONINTEREST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582"/>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right"/>
              <w:ind w:right="52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9"/>
        </w:trPr>
        <w:tc>
          <w:tcPr>
            <w:tcW w:w="2420" w:type="dxa"/>
            <w:vAlign w:val="bottom"/>
            <w:vMerge w:val="restart"/>
          </w:tcPr>
          <w:p>
            <w:pPr>
              <w:ind w:left="340"/>
              <w:spacing w:after="0"/>
              <w:rPr>
                <w:sz w:val="20"/>
                <w:szCs w:val="20"/>
                <w:color w:val="auto"/>
              </w:rPr>
            </w:pPr>
            <w:r>
              <w:rPr>
                <w:rFonts w:ascii="Arial" w:cs="Arial" w:eastAsia="Arial" w:hAnsi="Arial"/>
                <w:sz w:val="11"/>
                <w:szCs w:val="11"/>
                <w:i w:val="1"/>
                <w:iCs w:val="1"/>
                <w:color w:val="auto"/>
              </w:rPr>
              <w:t>(in thousands)</w:t>
            </w: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18"/>
        </w:trPr>
        <w:tc>
          <w:tcPr>
            <w:tcW w:w="24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Noninterest income:</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420" w:type="dxa"/>
            <w:vAlign w:val="bottom"/>
          </w:tcPr>
          <w:p>
            <w:pPr>
              <w:ind w:left="440"/>
              <w:spacing w:after="0" w:line="175" w:lineRule="exact"/>
              <w:rPr>
                <w:sz w:val="20"/>
                <w:szCs w:val="20"/>
                <w:color w:val="auto"/>
              </w:rPr>
            </w:pPr>
            <w:r>
              <w:rPr>
                <w:rFonts w:ascii="Arial" w:cs="Arial" w:eastAsia="Arial" w:hAnsi="Arial"/>
                <w:sz w:val="16"/>
                <w:szCs w:val="16"/>
                <w:color w:val="auto"/>
              </w:rPr>
              <w:t>Service charges on deposit</w:t>
            </w:r>
          </w:p>
        </w:tc>
        <w:tc>
          <w:tcPr>
            <w:tcW w:w="5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160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120"/>
              <w:spacing w:after="0"/>
              <w:rPr>
                <w:sz w:val="20"/>
                <w:szCs w:val="20"/>
                <w:color w:val="auto"/>
              </w:rPr>
            </w:pPr>
            <w:r>
              <w:rPr>
                <w:rFonts w:ascii="Arial" w:cs="Arial" w:eastAsia="Arial" w:hAnsi="Arial"/>
                <w:sz w:val="16"/>
                <w:szCs w:val="16"/>
                <w:color w:val="auto"/>
              </w:rPr>
              <w:t>accounts</w:t>
            </w:r>
          </w:p>
        </w:tc>
        <w:tc>
          <w:tcPr>
            <w:tcW w:w="5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7"/>
                <w:szCs w:val="17"/>
                <w:color w:val="auto"/>
              </w:rPr>
            </w:pPr>
          </w:p>
        </w:tc>
        <w:tc>
          <w:tcPr>
            <w:tcW w:w="1220" w:type="dxa"/>
            <w:vAlign w:val="bottom"/>
          </w:tcPr>
          <w:p>
            <w:pPr>
              <w:jc w:val="right"/>
              <w:ind w:right="262"/>
              <w:spacing w:after="0"/>
              <w:rPr>
                <w:sz w:val="20"/>
                <w:szCs w:val="20"/>
                <w:color w:val="auto"/>
              </w:rPr>
            </w:pPr>
            <w:r>
              <w:rPr>
                <w:rFonts w:ascii="Arial" w:cs="Arial" w:eastAsia="Arial" w:hAnsi="Arial"/>
                <w:sz w:val="16"/>
                <w:szCs w:val="16"/>
                <w:color w:val="auto"/>
              </w:rPr>
              <w:t>34.5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473</w:t>
            </w:r>
          </w:p>
        </w:tc>
        <w:tc>
          <w:tcPr>
            <w:tcW w:w="1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7"/>
                <w:szCs w:val="17"/>
                <w:color w:val="auto"/>
              </w:rPr>
            </w:pPr>
          </w:p>
        </w:tc>
        <w:tc>
          <w:tcPr>
            <w:tcW w:w="1160" w:type="dxa"/>
            <w:vAlign w:val="bottom"/>
          </w:tcPr>
          <w:p>
            <w:pPr>
              <w:jc w:val="right"/>
              <w:ind w:right="209"/>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Credit card fees</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7,554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5,773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30.9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12"/>
        </w:trPr>
        <w:tc>
          <w:tcPr>
            <w:tcW w:w="2420" w:type="dxa"/>
            <w:vAlign w:val="bottom"/>
          </w:tcPr>
          <w:p>
            <w:pPr>
              <w:ind w:left="440"/>
              <w:spacing w:after="0"/>
              <w:rPr>
                <w:sz w:val="20"/>
                <w:szCs w:val="20"/>
                <w:color w:val="auto"/>
              </w:rPr>
            </w:pPr>
            <w:r>
              <w:rPr>
                <w:rFonts w:ascii="Arial" w:cs="Arial" w:eastAsia="Arial" w:hAnsi="Arial"/>
                <w:sz w:val="16"/>
                <w:szCs w:val="16"/>
                <w:color w:val="auto"/>
              </w:rPr>
              <w:t>Mortgage banking revenue</w:t>
            </w:r>
          </w:p>
        </w:tc>
        <w:tc>
          <w:tcPr>
            <w:tcW w:w="5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b w:val="1"/>
                <w:bCs w:val="1"/>
                <w:color w:val="auto"/>
              </w:rPr>
              <w:t>4,465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10,690</w:t>
            </w:r>
          </w:p>
        </w:tc>
        <w:tc>
          <w:tcPr>
            <w:tcW w:w="100" w:type="dxa"/>
            <w:vAlign w:val="bottom"/>
          </w:tcPr>
          <w:p>
            <w:pPr>
              <w:spacing w:after="0"/>
              <w:rPr>
                <w:sz w:val="18"/>
                <w:szCs w:val="18"/>
                <w:color w:val="auto"/>
              </w:rPr>
            </w:pPr>
          </w:p>
        </w:tc>
        <w:tc>
          <w:tcPr>
            <w:tcW w:w="1220" w:type="dxa"/>
            <w:vAlign w:val="bottom"/>
          </w:tcPr>
          <w:p>
            <w:pPr>
              <w:jc w:val="right"/>
              <w:ind w:right="222"/>
              <w:spacing w:after="0"/>
              <w:rPr>
                <w:sz w:val="20"/>
                <w:szCs w:val="20"/>
                <w:color w:val="auto"/>
              </w:rPr>
            </w:pPr>
            <w:r>
              <w:rPr>
                <w:rFonts w:ascii="Arial" w:cs="Arial" w:eastAsia="Arial" w:hAnsi="Arial"/>
                <w:sz w:val="16"/>
                <w:szCs w:val="16"/>
                <w:color w:val="auto"/>
              </w:rPr>
              <w:t>(58.2)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17,478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20,984</w:t>
            </w:r>
          </w:p>
        </w:tc>
        <w:tc>
          <w:tcPr>
            <w:tcW w:w="100" w:type="dxa"/>
            <w:vAlign w:val="bottom"/>
          </w:tcPr>
          <w:p>
            <w:pPr>
              <w:spacing w:after="0"/>
              <w:rPr>
                <w:sz w:val="18"/>
                <w:szCs w:val="18"/>
                <w:color w:val="auto"/>
              </w:rPr>
            </w:pPr>
          </w:p>
        </w:tc>
        <w:tc>
          <w:tcPr>
            <w:tcW w:w="1160" w:type="dxa"/>
            <w:vAlign w:val="bottom"/>
          </w:tcPr>
          <w:p>
            <w:pPr>
              <w:jc w:val="right"/>
              <w:ind w:right="169"/>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Gain on sale of securities</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4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Other fees and charges</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418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(53.3)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noninterest income</w:t>
            </w: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12,597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17,477</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(27.9)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40,019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34,114</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For the quarter ended September 30, 2021, noninterest income was $12.6 million, a decrease of $4.9 million, or 27.92 percent, from $17.5 million in the prior year quarter. The decrease was primarily the result of reduced mortgage banking revenue. The third quarter of 2021 saw mortgage origination volumes slow after a record-breaking 2020. Origination volumes declined 49.6 percent, to $217 million, in the third quarter of 2021, when compared to $431 million in the third quarter of 2020. The steepening yield curve in the third quarter of 2021 has slowed originations from the year earlier period when low interest rates fueled refinance volumes. Purchase volumes increased to 51.0 percent of total originations for the third quarter of 2021, up from 33.8 percent during the third quarter of 2020. Partially offsetting the decrease in mortgage banking revenue, credit card fees increased $1.8 million to $7.6 million for the three months ended September 30, 2021, from $5.8 million for the three months ended September 30, 2020.</w:t>
      </w:r>
    </w:p>
    <w:p>
      <w:pPr>
        <w:spacing w:after="0" w:line="211"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For the nine months ended September 30, 2021, noninterest income was $40.0 million, an increase of $5.9 million, or 17.3 percent, from the same period in 2020. The increase was primarily driven by significant growth in credit card fees, which increased by $10.5 million, partially offset by a decrease in mortgage banking revenues of $3.5 million. The year-to-date gain on sale of mortgage loans grew modestly to $25.9 million at September 30, 2021 from $25.5 million at September 30, 2020, even as year to date origination volumes declined 8.2 percent, to $845 million at September 30, 2021 from $920 million at September 30, 2020. Gain on sale margins remained strong at 2.85% for the nine months ended September 30, 2021. The steepening yield curve in 2021 has slowed originations from the year earlier period when low interest rates fueled refinance volumes. Historically-low housing inventory, shortages in new home building materials, and fluctuating interest rates are likely to continue suppressing origination volumes throughout the remainder of 2021. Purchase volume as a percentage of loan originations was 39.6 percent for the nine months ended September 30, 2021, compared to 32.69 percent for the nine months ended September 30, 2020. Proceeds from the sale of loans held for sale amounted to $925.1 million for the nine months ended September 30, 2021 compared to $880.9 million for the nine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1" w:name="page52"/>
    <w:bookmarkEnd w:id="51"/>
    <w:p>
      <w:pPr>
        <w:spacing w:after="0" w:line="17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ended September 30, 2020.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 account growth led to higher credit card fees, which increased to $21.2 million compared to $10.7 million for the same nine month period last year, largely driven by the larger number of accounts in the portfolio.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3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NONINTEREST EXPENSE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549"/>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609"/>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10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100" w:type="dxa"/>
            <w:vAlign w:val="bottom"/>
          </w:tcPr>
          <w:p>
            <w:pPr>
              <w:ind w:left="340"/>
              <w:spacing w:after="0"/>
              <w:rPr>
                <w:sz w:val="20"/>
                <w:szCs w:val="20"/>
                <w:color w:val="auto"/>
              </w:rPr>
            </w:pPr>
            <w:r>
              <w:rPr>
                <w:rFonts w:ascii="Arial" w:cs="Arial" w:eastAsia="Arial" w:hAnsi="Arial"/>
                <w:sz w:val="16"/>
                <w:szCs w:val="16"/>
                <w:color w:val="auto"/>
              </w:rPr>
              <w:t>Noninterest expense:</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100" w:type="dxa"/>
            <w:vAlign w:val="bottom"/>
            <w:shd w:val="clear" w:color="auto" w:fill="CCEEFF"/>
          </w:tcPr>
          <w:p>
            <w:pPr>
              <w:ind w:left="180"/>
              <w:spacing w:after="0" w:line="177" w:lineRule="exact"/>
              <w:rPr>
                <w:sz w:val="20"/>
                <w:szCs w:val="20"/>
                <w:color w:val="auto"/>
              </w:rPr>
            </w:pPr>
            <w:r>
              <w:rPr>
                <w:rFonts w:ascii="Arial" w:cs="Arial" w:eastAsia="Arial" w:hAnsi="Arial"/>
                <w:sz w:val="16"/>
                <w:szCs w:val="16"/>
                <w:color w:val="auto"/>
              </w:rPr>
              <w:t>Salaries and employee</w:t>
            </w:r>
          </w:p>
        </w:tc>
        <w:tc>
          <w:tcPr>
            <w:tcW w:w="5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9,962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27,279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w:t>
            </w:r>
          </w:p>
        </w:tc>
        <w:tc>
          <w:tcPr>
            <w:tcW w:w="5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8,940</w:t>
            </w:r>
          </w:p>
        </w:tc>
        <w:tc>
          <w:tcPr>
            <w:tcW w:w="1280" w:type="dxa"/>
            <w:vAlign w:val="bottom"/>
            <w:gridSpan w:val="2"/>
            <w:shd w:val="clear" w:color="auto" w:fill="CCEEFF"/>
          </w:tcPr>
          <w:p>
            <w:pPr>
              <w:jc w:val="right"/>
              <w:ind w:right="289"/>
              <w:spacing w:after="0"/>
              <w:rPr>
                <w:sz w:val="20"/>
                <w:szCs w:val="20"/>
                <w:color w:val="auto"/>
              </w:rPr>
            </w:pPr>
            <w:r>
              <w:rPr>
                <w:rFonts w:ascii="Arial" w:cs="Arial" w:eastAsia="Arial" w:hAnsi="Arial"/>
                <w:sz w:val="16"/>
                <w:szCs w:val="16"/>
                <w:color w:val="auto"/>
              </w:rPr>
              <w:t>11.4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24,849</w:t>
            </w:r>
          </w:p>
        </w:tc>
        <w:tc>
          <w:tcPr>
            <w:tcW w:w="1300" w:type="dxa"/>
            <w:vAlign w:val="bottom"/>
            <w:gridSpan w:val="2"/>
            <w:shd w:val="clear" w:color="auto" w:fill="CCEEFF"/>
          </w:tcPr>
          <w:p>
            <w:pPr>
              <w:jc w:val="right"/>
              <w:ind w:right="289"/>
              <w:spacing w:after="0"/>
              <w:rPr>
                <w:sz w:val="20"/>
                <w:szCs w:val="20"/>
                <w:color w:val="auto"/>
              </w:rPr>
            </w:pPr>
            <w:r>
              <w:rPr>
                <w:rFonts w:ascii="Arial" w:cs="Arial" w:eastAsia="Arial" w:hAnsi="Arial"/>
                <w:sz w:val="16"/>
                <w:szCs w:val="16"/>
                <w:color w:val="auto"/>
              </w:rPr>
              <w:t>9.8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2"/>
        </w:trPr>
        <w:tc>
          <w:tcPr>
            <w:tcW w:w="2100" w:type="dxa"/>
            <w:vAlign w:val="bottom"/>
          </w:tcPr>
          <w:p>
            <w:pPr>
              <w:ind w:left="180"/>
              <w:spacing w:after="0"/>
              <w:rPr>
                <w:sz w:val="20"/>
                <w:szCs w:val="20"/>
                <w:color w:val="auto"/>
              </w:rPr>
            </w:pPr>
            <w:r>
              <w:rPr>
                <w:rFonts w:ascii="Arial" w:cs="Arial" w:eastAsia="Arial" w:hAnsi="Arial"/>
                <w:sz w:val="16"/>
                <w:szCs w:val="16"/>
                <w:color w:val="auto"/>
                <w:w w:val="99"/>
              </w:rPr>
              <w:t>Occupancy and equipment</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1,328</w:t>
            </w:r>
          </w:p>
        </w:tc>
        <w:tc>
          <w:tcPr>
            <w:tcW w:w="1280" w:type="dxa"/>
            <w:vAlign w:val="bottom"/>
            <w:gridSpan w:val="2"/>
          </w:tcPr>
          <w:p>
            <w:pPr>
              <w:jc w:val="right"/>
              <w:ind w:right="229"/>
              <w:spacing w:after="0"/>
              <w:rPr>
                <w:sz w:val="20"/>
                <w:szCs w:val="20"/>
                <w:color w:val="auto"/>
              </w:rPr>
            </w:pPr>
            <w:r>
              <w:rPr>
                <w:rFonts w:ascii="Arial" w:cs="Arial" w:eastAsia="Arial" w:hAnsi="Arial"/>
                <w:sz w:val="16"/>
                <w:szCs w:val="16"/>
                <w:color w:val="auto"/>
              </w:rPr>
              <w:t>(24.8)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3,322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3,658</w:t>
            </w:r>
          </w:p>
        </w:tc>
        <w:tc>
          <w:tcPr>
            <w:tcW w:w="1300" w:type="dxa"/>
            <w:vAlign w:val="bottom"/>
            <w:gridSpan w:val="2"/>
          </w:tcPr>
          <w:p>
            <w:pPr>
              <w:jc w:val="right"/>
              <w:ind w:right="249"/>
              <w:spacing w:after="0"/>
              <w:rPr>
                <w:sz w:val="20"/>
                <w:szCs w:val="20"/>
                <w:color w:val="auto"/>
              </w:rPr>
            </w:pPr>
            <w:r>
              <w:rPr>
                <w:rFonts w:ascii="Arial" w:cs="Arial" w:eastAsia="Arial" w:hAnsi="Arial"/>
                <w:sz w:val="16"/>
                <w:szCs w:val="16"/>
                <w:color w:val="auto"/>
              </w:rPr>
              <w:t>(9.2)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Professional services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1,307</w:t>
            </w:r>
          </w:p>
        </w:tc>
        <w:tc>
          <w:tcPr>
            <w:tcW w:w="1280" w:type="dxa"/>
            <w:vAlign w:val="bottom"/>
            <w:gridSpan w:val="2"/>
            <w:shd w:val="clear" w:color="auto" w:fill="CCEEFF"/>
          </w:tcPr>
          <w:p>
            <w:pPr>
              <w:jc w:val="right"/>
              <w:ind w:right="289"/>
              <w:spacing w:after="0"/>
              <w:rPr>
                <w:sz w:val="20"/>
                <w:szCs w:val="20"/>
                <w:color w:val="auto"/>
              </w:rPr>
            </w:pPr>
            <w:r>
              <w:rPr>
                <w:rFonts w:ascii="Arial" w:cs="Arial" w:eastAsia="Arial" w:hAnsi="Arial"/>
                <w:sz w:val="16"/>
                <w:szCs w:val="16"/>
                <w:color w:val="auto"/>
              </w:rPr>
              <w:t>95.5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2,971</w:t>
            </w:r>
          </w:p>
        </w:tc>
        <w:tc>
          <w:tcPr>
            <w:tcW w:w="1300" w:type="dxa"/>
            <w:vAlign w:val="bottom"/>
            <w:gridSpan w:val="2"/>
            <w:shd w:val="clear" w:color="auto" w:fill="CCEEFF"/>
          </w:tcPr>
          <w:p>
            <w:pPr>
              <w:jc w:val="right"/>
              <w:ind w:right="289"/>
              <w:spacing w:after="0"/>
              <w:rPr>
                <w:sz w:val="20"/>
                <w:szCs w:val="20"/>
                <w:color w:val="auto"/>
              </w:rPr>
            </w:pPr>
            <w:r>
              <w:rPr>
                <w:rFonts w:ascii="Arial" w:cs="Arial" w:eastAsia="Arial" w:hAnsi="Arial"/>
                <w:sz w:val="16"/>
                <w:szCs w:val="16"/>
                <w:color w:val="auto"/>
              </w:rPr>
              <w:t>86.5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2"/>
        </w:trPr>
        <w:tc>
          <w:tcPr>
            <w:tcW w:w="2100" w:type="dxa"/>
            <w:vAlign w:val="bottom"/>
          </w:tcPr>
          <w:p>
            <w:pPr>
              <w:ind w:left="180"/>
              <w:spacing w:after="0"/>
              <w:rPr>
                <w:sz w:val="20"/>
                <w:szCs w:val="20"/>
                <w:color w:val="auto"/>
              </w:rPr>
            </w:pPr>
            <w:r>
              <w:rPr>
                <w:rFonts w:ascii="Arial" w:cs="Arial" w:eastAsia="Arial" w:hAnsi="Arial"/>
                <w:sz w:val="16"/>
                <w:szCs w:val="16"/>
                <w:color w:val="auto"/>
              </w:rPr>
              <w:t>Data processing</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10,161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7,880</w:t>
            </w:r>
          </w:p>
        </w:tc>
        <w:tc>
          <w:tcPr>
            <w:tcW w:w="1280" w:type="dxa"/>
            <w:vAlign w:val="bottom"/>
            <w:gridSpan w:val="2"/>
          </w:tcPr>
          <w:p>
            <w:pPr>
              <w:jc w:val="right"/>
              <w:ind w:right="289"/>
              <w:spacing w:after="0"/>
              <w:rPr>
                <w:sz w:val="20"/>
                <w:szCs w:val="20"/>
                <w:color w:val="auto"/>
              </w:rPr>
            </w:pPr>
            <w:r>
              <w:rPr>
                <w:rFonts w:ascii="Arial" w:cs="Arial" w:eastAsia="Arial" w:hAnsi="Arial"/>
                <w:sz w:val="16"/>
                <w:szCs w:val="16"/>
                <w:color w:val="auto"/>
              </w:rPr>
              <w:t>28.9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29,594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17,664</w:t>
            </w:r>
          </w:p>
        </w:tc>
        <w:tc>
          <w:tcPr>
            <w:tcW w:w="1300" w:type="dxa"/>
            <w:vAlign w:val="bottom"/>
            <w:gridSpan w:val="2"/>
          </w:tcPr>
          <w:p>
            <w:pPr>
              <w:jc w:val="right"/>
              <w:ind w:right="289"/>
              <w:spacing w:after="0"/>
              <w:rPr>
                <w:sz w:val="20"/>
                <w:szCs w:val="20"/>
                <w:color w:val="auto"/>
              </w:rPr>
            </w:pPr>
            <w:r>
              <w:rPr>
                <w:rFonts w:ascii="Arial" w:cs="Arial" w:eastAsia="Arial" w:hAnsi="Arial"/>
                <w:sz w:val="16"/>
                <w:szCs w:val="16"/>
                <w:color w:val="auto"/>
              </w:rPr>
              <w:t>67.5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633</w:t>
            </w:r>
          </w:p>
        </w:tc>
        <w:tc>
          <w:tcPr>
            <w:tcW w:w="1280" w:type="dxa"/>
            <w:vAlign w:val="bottom"/>
            <w:gridSpan w:val="2"/>
            <w:shd w:val="clear" w:color="auto" w:fill="CCEEFF"/>
          </w:tcPr>
          <w:p>
            <w:pPr>
              <w:jc w:val="right"/>
              <w:ind w:right="289"/>
              <w:spacing w:after="0"/>
              <w:rPr>
                <w:sz w:val="20"/>
                <w:szCs w:val="20"/>
                <w:color w:val="auto"/>
              </w:rPr>
            </w:pPr>
            <w:r>
              <w:rPr>
                <w:rFonts w:ascii="Arial" w:cs="Arial" w:eastAsia="Arial" w:hAnsi="Arial"/>
                <w:sz w:val="16"/>
                <w:szCs w:val="16"/>
                <w:color w:val="auto"/>
              </w:rPr>
              <w:t>62.2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3,153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1,875</w:t>
            </w:r>
          </w:p>
        </w:tc>
        <w:tc>
          <w:tcPr>
            <w:tcW w:w="1300" w:type="dxa"/>
            <w:vAlign w:val="bottom"/>
            <w:gridSpan w:val="2"/>
            <w:shd w:val="clear" w:color="auto" w:fill="CCEEFF"/>
          </w:tcPr>
          <w:p>
            <w:pPr>
              <w:jc w:val="right"/>
              <w:ind w:right="289"/>
              <w:spacing w:after="0"/>
              <w:rPr>
                <w:sz w:val="20"/>
                <w:szCs w:val="20"/>
                <w:color w:val="auto"/>
              </w:rPr>
            </w:pPr>
            <w:r>
              <w:rPr>
                <w:rFonts w:ascii="Arial" w:cs="Arial" w:eastAsia="Arial" w:hAnsi="Arial"/>
                <w:sz w:val="16"/>
                <w:szCs w:val="16"/>
                <w:color w:val="auto"/>
              </w:rPr>
              <w:t>68.2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2"/>
        </w:trPr>
        <w:tc>
          <w:tcPr>
            <w:tcW w:w="2100" w:type="dxa"/>
            <w:vAlign w:val="bottom"/>
          </w:tcPr>
          <w:p>
            <w:pPr>
              <w:ind w:left="180"/>
              <w:spacing w:after="0"/>
              <w:rPr>
                <w:sz w:val="20"/>
                <w:szCs w:val="20"/>
                <w:color w:val="auto"/>
              </w:rPr>
            </w:pPr>
            <w:r>
              <w:rPr>
                <w:rFonts w:ascii="Arial" w:cs="Arial" w:eastAsia="Arial" w:hAnsi="Arial"/>
                <w:sz w:val="16"/>
                <w:szCs w:val="16"/>
                <w:color w:val="auto"/>
              </w:rPr>
              <w:t>Loan processing</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644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1,264</w:t>
            </w:r>
          </w:p>
        </w:tc>
        <w:tc>
          <w:tcPr>
            <w:tcW w:w="1280" w:type="dxa"/>
            <w:vAlign w:val="bottom"/>
            <w:gridSpan w:val="2"/>
          </w:tcPr>
          <w:p>
            <w:pPr>
              <w:jc w:val="right"/>
              <w:ind w:right="229"/>
              <w:spacing w:after="0"/>
              <w:rPr>
                <w:sz w:val="20"/>
                <w:szCs w:val="20"/>
                <w:color w:val="auto"/>
              </w:rPr>
            </w:pPr>
            <w:r>
              <w:rPr>
                <w:rFonts w:ascii="Arial" w:cs="Arial" w:eastAsia="Arial" w:hAnsi="Arial"/>
                <w:sz w:val="16"/>
                <w:szCs w:val="16"/>
                <w:color w:val="auto"/>
              </w:rPr>
              <w:t>(49.1)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2,670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2,451</w:t>
            </w:r>
          </w:p>
        </w:tc>
        <w:tc>
          <w:tcPr>
            <w:tcW w:w="1300" w:type="dxa"/>
            <w:vAlign w:val="bottom"/>
            <w:gridSpan w:val="2"/>
          </w:tcPr>
          <w:p>
            <w:pPr>
              <w:jc w:val="right"/>
              <w:ind w:right="289"/>
              <w:spacing w:after="0"/>
              <w:rPr>
                <w:sz w:val="20"/>
                <w:szCs w:val="20"/>
                <w:color w:val="auto"/>
              </w:rPr>
            </w:pPr>
            <w:r>
              <w:rPr>
                <w:rFonts w:ascii="Arial" w:cs="Arial" w:eastAsia="Arial" w:hAnsi="Arial"/>
                <w:sz w:val="16"/>
                <w:szCs w:val="16"/>
                <w:color w:val="auto"/>
              </w:rPr>
              <w:t>8.9</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74"/>
        </w:trPr>
        <w:tc>
          <w:tcPr>
            <w:tcW w:w="210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color w:val="auto"/>
              </w:rPr>
              <w:t>Foreclosed real estate</w:t>
            </w:r>
          </w:p>
        </w:tc>
        <w:tc>
          <w:tcPr>
            <w:tcW w:w="5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5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280" w:type="dxa"/>
            <w:vAlign w:val="bottom"/>
            <w:gridSpan w:val="2"/>
            <w:shd w:val="clear" w:color="auto" w:fill="CCEEFF"/>
          </w:tcPr>
          <w:p>
            <w:pPr>
              <w:jc w:val="right"/>
              <w:ind w:right="289"/>
              <w:spacing w:after="0"/>
              <w:rPr>
                <w:sz w:val="20"/>
                <w:szCs w:val="20"/>
                <w:color w:val="auto"/>
              </w:rPr>
            </w:pPr>
            <w:r>
              <w:rPr>
                <w:rFonts w:ascii="Arial" w:cs="Arial" w:eastAsia="Arial" w:hAnsi="Arial"/>
                <w:sz w:val="16"/>
                <w:szCs w:val="16"/>
                <w:color w:val="auto"/>
              </w:rPr>
              <w:t>388.9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w:t>
            </w:r>
          </w:p>
        </w:tc>
        <w:tc>
          <w:tcPr>
            <w:tcW w:w="1300" w:type="dxa"/>
            <w:vAlign w:val="bottom"/>
            <w:gridSpan w:val="2"/>
            <w:shd w:val="clear" w:color="auto" w:fill="CCEEFF"/>
          </w:tcPr>
          <w:p>
            <w:pPr>
              <w:jc w:val="right"/>
              <w:ind w:right="289"/>
              <w:spacing w:after="0"/>
              <w:rPr>
                <w:sz w:val="20"/>
                <w:szCs w:val="20"/>
                <w:color w:val="auto"/>
              </w:rPr>
            </w:pPr>
            <w:r>
              <w:rPr>
                <w:rFonts w:ascii="Arial" w:cs="Arial" w:eastAsia="Arial" w:hAnsi="Arial"/>
                <w:sz w:val="16"/>
                <w:szCs w:val="16"/>
                <w:color w:val="auto"/>
              </w:rPr>
              <w:t>134.3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2"/>
        </w:trPr>
        <w:tc>
          <w:tcPr>
            <w:tcW w:w="2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operating</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3,236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3,089</w:t>
            </w:r>
          </w:p>
        </w:tc>
        <w:tc>
          <w:tcPr>
            <w:tcW w:w="1280" w:type="dxa"/>
            <w:vAlign w:val="bottom"/>
            <w:tcBorders>
              <w:bottom w:val="single" w:sz="8" w:color="CCEEFF"/>
            </w:tcBorders>
            <w:gridSpan w:val="2"/>
          </w:tcPr>
          <w:p>
            <w:pPr>
              <w:jc w:val="right"/>
              <w:ind w:right="289"/>
              <w:spacing w:after="0"/>
              <w:rPr>
                <w:sz w:val="20"/>
                <w:szCs w:val="20"/>
                <w:color w:val="auto"/>
              </w:rPr>
            </w:pPr>
            <w:r>
              <w:rPr>
                <w:rFonts w:ascii="Arial" w:cs="Arial" w:eastAsia="Arial" w:hAnsi="Arial"/>
                <w:sz w:val="16"/>
                <w:szCs w:val="16"/>
                <w:color w:val="auto"/>
              </w:rPr>
              <w:t>4.8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9,718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7,548</w:t>
            </w:r>
          </w:p>
        </w:tc>
        <w:tc>
          <w:tcPr>
            <w:tcW w:w="1300" w:type="dxa"/>
            <w:vAlign w:val="bottom"/>
            <w:tcBorders>
              <w:bottom w:val="single" w:sz="8" w:color="CCEEFF"/>
            </w:tcBorders>
            <w:gridSpan w:val="2"/>
          </w:tcPr>
          <w:p>
            <w:pPr>
              <w:jc w:val="right"/>
              <w:ind w:right="289"/>
              <w:spacing w:after="0"/>
              <w:rPr>
                <w:sz w:val="20"/>
                <w:szCs w:val="20"/>
                <w:color w:val="auto"/>
              </w:rPr>
            </w:pPr>
            <w:r>
              <w:rPr>
                <w:rFonts w:ascii="Arial" w:cs="Arial" w:eastAsia="Arial" w:hAnsi="Arial"/>
                <w:sz w:val="16"/>
                <w:szCs w:val="16"/>
                <w:color w:val="auto"/>
              </w:rPr>
              <w:t>28.7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54"/>
        </w:trPr>
        <w:tc>
          <w:tcPr>
            <w:tcW w:w="2100" w:type="dxa"/>
            <w:vAlign w:val="bottom"/>
            <w:shd w:val="clear" w:color="auto" w:fill="CCEEFF"/>
          </w:tcPr>
          <w:p>
            <w:pPr>
              <w:ind w:left="340"/>
              <w:spacing w:after="0" w:line="155" w:lineRule="exact"/>
              <w:rPr>
                <w:sz w:val="20"/>
                <w:szCs w:val="20"/>
                <w:color w:val="auto"/>
              </w:rPr>
            </w:pPr>
            <w:r>
              <w:rPr>
                <w:rFonts w:ascii="Arial" w:cs="Arial" w:eastAsia="Arial" w:hAnsi="Arial"/>
                <w:sz w:val="16"/>
                <w:szCs w:val="16"/>
                <w:color w:val="auto"/>
              </w:rPr>
              <w:t>Total noninterest</w:t>
            </w:r>
          </w:p>
        </w:tc>
        <w:tc>
          <w:tcPr>
            <w:tcW w:w="5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28,627</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24,450</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81,599</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61,153</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100" w:type="dxa"/>
            <w:vAlign w:val="bottom"/>
            <w:tcBorders>
              <w:bottom w:val="single" w:sz="8" w:color="CCEEFF"/>
            </w:tcBorders>
            <w:shd w:val="clear" w:color="auto" w:fill="CCEEFF"/>
          </w:tcPr>
          <w:p>
            <w:pPr>
              <w:ind w:left="20"/>
              <w:spacing w:after="0" w:line="171" w:lineRule="exact"/>
              <w:rPr>
                <w:sz w:val="20"/>
                <w:szCs w:val="20"/>
                <w:color w:val="auto"/>
              </w:rPr>
            </w:pPr>
            <w:r>
              <w:rPr>
                <w:rFonts w:ascii="Arial" w:cs="Arial" w:eastAsia="Arial" w:hAnsi="Arial"/>
                <w:sz w:val="16"/>
                <w:szCs w:val="16"/>
                <w:color w:val="auto"/>
              </w:rPr>
              <w:t>expense</w:t>
            </w: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89"/>
              <w:spacing w:after="0" w:line="171" w:lineRule="exact"/>
              <w:rPr>
                <w:sz w:val="20"/>
                <w:szCs w:val="20"/>
                <w:color w:val="auto"/>
              </w:rPr>
            </w:pPr>
            <w:r>
              <w:rPr>
                <w:rFonts w:ascii="Arial" w:cs="Arial" w:eastAsia="Arial" w:hAnsi="Arial"/>
                <w:sz w:val="16"/>
                <w:szCs w:val="16"/>
                <w:color w:val="auto"/>
              </w:rPr>
              <w:t>17.1</w:t>
            </w:r>
          </w:p>
        </w:tc>
        <w:tc>
          <w:tcPr>
            <w:tcW w:w="180" w:type="dxa"/>
            <w:vAlign w:val="bottom"/>
            <w:tcBorders>
              <w:bottom w:val="single" w:sz="8" w:color="CCEEFF"/>
            </w:tcBorders>
            <w:shd w:val="clear" w:color="auto" w:fill="CCEEFF"/>
          </w:tcPr>
          <w:p>
            <w:pPr>
              <w:jc w:val="right"/>
              <w:spacing w:after="0" w:line="171" w:lineRule="exact"/>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89"/>
              <w:spacing w:after="0" w:line="171" w:lineRule="exact"/>
              <w:rPr>
                <w:sz w:val="20"/>
                <w:szCs w:val="20"/>
                <w:color w:val="auto"/>
              </w:rPr>
            </w:pPr>
            <w:r>
              <w:rPr>
                <w:rFonts w:ascii="Arial" w:cs="Arial" w:eastAsia="Arial" w:hAnsi="Arial"/>
                <w:sz w:val="16"/>
                <w:szCs w:val="16"/>
                <w:color w:val="auto"/>
              </w:rPr>
              <w:t>33.4</w:t>
            </w:r>
          </w:p>
        </w:tc>
        <w:tc>
          <w:tcPr>
            <w:tcW w:w="160" w:type="dxa"/>
            <w:vAlign w:val="bottom"/>
            <w:tcBorders>
              <w:bottom w:val="single" w:sz="8" w:color="CCEEFF"/>
            </w:tcBorders>
            <w:shd w:val="clear" w:color="auto" w:fill="CCEEFF"/>
          </w:tcPr>
          <w:p>
            <w:pPr>
              <w:jc w:val="right"/>
              <w:spacing w:after="0" w:line="171"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Noninterest expense was $28.6 million for the three months ended September 30, 2021, as compared to $24.5 million for the three months ended September 30, 2020, an increase of $4.1 million, or 17.0 percent. The increase was primarily driven by a $2.3 million, or 28.9 percent, increase in data processing expenses, an increase in professional services of $1.2 million, or 95.5 percent, and an increase in salaries and employee benefits of $1.02 million, or 11.4 percent. The increase of $2.3 million in data processing expenses was mainly attributable to the higher volume of active credit cards during the third quarter of 2021, while the increases in professional services was primarily related to the preparatory activities for a possible expansion of credit card offerings.</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Noninterest expense was $81.6 million for the nine months ended September 30, 2021, as compared to $61.2 million for the nine months ended September 30, 2020, an increase of $20.4 million, or 33.4 percent. The increase was primarily driven by a $2.4 million, or 9.8 percent, increase in salaries and benefits, an increase in professional fees of 86.5 percent, or $2.6 million, a $11.9 million, or 67.5 percent, increase in data processing, and a $2.2 million, or 28.7 percent, increase in other operating expenses period over period. The increase of $11.9 million in data processing expenses was primarily due to the higher volume of open credit cards during the nine month period ended September 30, 2021. Additionally, operating expenses increased $2.2 million, primarily due to increases in outside service providers.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amount of income tax expense we incur is influenced by our pre-tax income and our nondeductible expenses. Deferred tax assets and liabilities are reflected at current income tax rates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effect for the period in which the deferred tax assets and liabilities are expected to be realized or settled. As changes in tax laws or rates are enacted, deferred tax assets and liabilities are adjusted through the provision for income taxes. Valuation allowances are established when necessary to reduce deferred tax assets to the amount expected to be realized.</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Income tax expense was $3.9 million for the three months ended September 30, 2021 compared to $3.1 million for the three months ended September 30, 2020. Our effective tax rates were approximately 25.8% and 27.0% for the 2021 and 2020 periods, respectively. For the nine months ended September 30, 2021, income tax expense was $10.4 million compared to $6.0 million for the nine months ended September 30, 2020, with effective tax rates of 25.8% and 27.0% for 2021 and 2020,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9" w:lineRule="exact"/>
        <w:rPr>
          <w:sz w:val="20"/>
          <w:szCs w:val="20"/>
          <w:color w:val="auto"/>
        </w:rPr>
      </w:pPr>
    </w:p>
    <w:p>
      <w:pPr>
        <w:jc w:val="both"/>
        <w:ind w:right="40" w:firstLine="318"/>
        <w:spacing w:after="0" w:line="235" w:lineRule="auto"/>
        <w:rPr>
          <w:sz w:val="20"/>
          <w:szCs w:val="20"/>
          <w:color w:val="auto"/>
        </w:rPr>
      </w:pPr>
      <w:r>
        <w:rPr>
          <w:rFonts w:ascii="Arial" w:cs="Arial" w:eastAsia="Arial" w:hAnsi="Arial"/>
          <w:sz w:val="18"/>
          <w:szCs w:val="18"/>
          <w:color w:val="auto"/>
        </w:rPr>
        <w:t>Total assets increased $293.0 million, or 20.9 percent on an annualized basis, during the nine months ended September 30, 2021. The growth of earning assets on the balance sheet consisted of increases in cash equivalents of $177.1 million, portfolio loans of $128.3 million which includes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loan growth of $32.8 million, investments available for sale of $89.4 million, and Bank Owned Life Insurance ("BOLI") of $35.3 million. Asset growth was offset by a decrease of $71.1 million in loans held for sale as well as a $63.8 million reduction in SBA-PPP loans. The asset growth was primarily funded by a $269.1 million increase in deposits.</w:t>
      </w:r>
    </w:p>
    <w:p>
      <w:pPr>
        <w:spacing w:after="0" w:line="214" w:lineRule="exact"/>
        <w:rPr>
          <w:sz w:val="20"/>
          <w:szCs w:val="20"/>
          <w:color w:val="auto"/>
        </w:rPr>
      </w:pPr>
    </w:p>
    <w:p>
      <w:pPr>
        <w:jc w:val="both"/>
        <w:ind w:right="40" w:firstLine="318"/>
        <w:spacing w:after="0" w:line="248" w:lineRule="auto"/>
        <w:rPr>
          <w:sz w:val="20"/>
          <w:szCs w:val="20"/>
          <w:color w:val="auto"/>
        </w:rPr>
      </w:pPr>
      <w:r>
        <w:rPr>
          <w:rFonts w:ascii="Arial" w:cs="Arial" w:eastAsia="Arial" w:hAnsi="Arial"/>
          <w:sz w:val="18"/>
          <w:szCs w:val="18"/>
          <w:color w:val="auto"/>
        </w:rPr>
        <w:t>Noninterest bearing deposits increased to $833.2 million at September 30, 2021 from $608.6 million at December 31, 2020 and interest bearing deposits increased to $1.1 billion from $1.0 billion in the period. Stockholders’ equity increased $29.8 million, or 18.7%, to $189.1 million at September 30, 2021, primarily due to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Bearing Deposits at Other Financial Institutions</w:t>
      </w:r>
    </w:p>
    <w:p>
      <w:pPr>
        <w:spacing w:after="0" w:line="23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of September 30, 2021, interest bearing deposits at other financial institutions increased $173.0 million, or 137.2%, to $299.0 million from $126.1 million at December 31, 2020. The increase was primarily due to increased deposits from customer deposit accounts.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35"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20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investment portfolio increased by 89.6 percent, or approximately $89.4 million, from $99.8 million at December 31, 2020, to $189.2 million at September 30, 2021 primarily due to excess liquidity resulting in purchases of $139.3 million, which were partially offset by $9.6 million of principal paydowns and a decrease in unrealized gain on securities of $2.1 million. To supplement interest income earned on our loan portfolio, we invest in mortgage-backed securities, U.S Government agency, U.S. Treasury bonds, and high quality municipal and corporate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3"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The following tables summarize the contractual maturities and weighted-average yields of investment securities at September 30, 2021 and the amortized cost and carrying value of those securities as of the indicated 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MATURITIES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One Year or Less</w:t>
            </w:r>
          </w:p>
        </w:tc>
        <w:tc>
          <w:tcPr>
            <w:tcW w:w="160" w:type="dxa"/>
            <w:vAlign w:val="bottom"/>
          </w:tcPr>
          <w:p>
            <w:pPr>
              <w:spacing w:after="0"/>
              <w:rPr>
                <w:sz w:val="12"/>
                <w:szCs w:val="12"/>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rPr>
              <w:t>More Than One Year</w:t>
            </w:r>
          </w:p>
        </w:tc>
        <w:tc>
          <w:tcPr>
            <w:tcW w:w="160" w:type="dxa"/>
            <w:vAlign w:val="bottom"/>
          </w:tcPr>
          <w:p>
            <w:pPr>
              <w:spacing w:after="0"/>
              <w:rPr>
                <w:sz w:val="12"/>
                <w:szCs w:val="12"/>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rPr>
              <w:t>More Than Five Years</w:t>
            </w:r>
          </w:p>
        </w:tc>
        <w:tc>
          <w:tcPr>
            <w:tcW w:w="180" w:type="dxa"/>
            <w:vAlign w:val="bottom"/>
          </w:tcPr>
          <w:p>
            <w:pPr>
              <w:spacing w:after="0"/>
              <w:rPr>
                <w:sz w:val="12"/>
                <w:szCs w:val="12"/>
                <w:color w:val="auto"/>
              </w:rPr>
            </w:pPr>
          </w:p>
        </w:tc>
        <w:tc>
          <w:tcPr>
            <w:tcW w:w="16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More Than 10 Years</w:t>
            </w:r>
          </w:p>
        </w:tc>
        <w:tc>
          <w:tcPr>
            <w:tcW w:w="8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rPr>
              <w:t>Through Five Years</w:t>
            </w:r>
          </w:p>
        </w:tc>
        <w:tc>
          <w:tcPr>
            <w:tcW w:w="160" w:type="dxa"/>
            <w:vAlign w:val="bottom"/>
          </w:tcPr>
          <w:p>
            <w:pPr>
              <w:spacing w:after="0"/>
              <w:rPr>
                <w:sz w:val="14"/>
                <w:szCs w:val="14"/>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rPr>
              <w:t>Through 10 Years</w:t>
            </w:r>
          </w:p>
        </w:tc>
        <w:tc>
          <w:tcPr>
            <w:tcW w:w="18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gridSpan w:val="2"/>
          </w:tcPr>
          <w:p>
            <w:pPr>
              <w:ind w:left="20"/>
              <w:spacing w:after="0" w:line="106" w:lineRule="exact"/>
              <w:rPr>
                <w:sz w:val="20"/>
                <w:szCs w:val="20"/>
                <w:color w:val="auto"/>
              </w:rPr>
            </w:pPr>
            <w:r>
              <w:rPr>
                <w:rFonts w:ascii="Arial" w:cs="Arial" w:eastAsia="Arial" w:hAnsi="Arial"/>
                <w:sz w:val="11"/>
                <w:szCs w:val="11"/>
                <w:b w:val="1"/>
                <w:bCs w:val="1"/>
                <w:color w:val="auto"/>
              </w:rPr>
              <w:t>Book</w:t>
            </w:r>
          </w:p>
        </w:tc>
        <w:tc>
          <w:tcPr>
            <w:tcW w:w="840" w:type="dxa"/>
            <w:vAlign w:val="bottom"/>
            <w:tcBorders>
              <w:top w:val="single" w:sz="8" w:color="auto"/>
            </w:tcBorders>
          </w:tcPr>
          <w:p>
            <w:pPr>
              <w:ind w:left="180"/>
              <w:spacing w:after="0" w:line="106" w:lineRule="exact"/>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6"/>
              </w:rPr>
              <w:t>Weighted</w:t>
            </w: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6"/>
              </w:rPr>
              <w:t>Weighted</w:t>
            </w: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1"/>
                <w:szCs w:val="11"/>
                <w:b w:val="1"/>
                <w:bCs w:val="1"/>
                <w:color w:val="auto"/>
                <w:w w:val="92"/>
              </w:rPr>
              <w:t>Weighted</w:t>
            </w: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right"/>
              <w:ind w:right="140"/>
              <w:spacing w:after="0" w:line="106"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59"/>
        </w:trPr>
        <w:tc>
          <w:tcPr>
            <w:tcW w:w="1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Value</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Average Yield</w:t>
            </w: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Book Value</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Average Yield</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Book Value</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Book Value</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Average Yield</w:t>
            </w:r>
          </w:p>
        </w:tc>
        <w:tc>
          <w:tcPr>
            <w:tcW w:w="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Book Value</w:t>
            </w:r>
          </w:p>
        </w:tc>
        <w:tc>
          <w:tcPr>
            <w:tcW w:w="1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Fair Value</w:t>
            </w:r>
          </w:p>
        </w:tc>
        <w:tc>
          <w:tcPr>
            <w:tcW w:w="860" w:type="dxa"/>
            <w:vAlign w:val="bottom"/>
          </w:tcPr>
          <w:p>
            <w:pPr>
              <w:jc w:val="right"/>
              <w:ind w:right="20"/>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118"/>
        </w:trPr>
        <w:tc>
          <w:tcPr>
            <w:tcW w:w="168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68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rPr>
              <w:t>Securities Available for</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20"/>
              <w:spacing w:after="0"/>
              <w:rPr>
                <w:sz w:val="20"/>
                <w:szCs w:val="20"/>
                <w:color w:val="auto"/>
              </w:rPr>
            </w:pPr>
            <w:r>
              <w:rPr>
                <w:rFonts w:ascii="Arial" w:cs="Arial" w:eastAsia="Arial" w:hAnsi="Arial"/>
                <w:sz w:val="12"/>
                <w:szCs w:val="12"/>
                <w:color w:val="auto"/>
              </w:rPr>
              <w:t>U.S. Treasuries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960" w:type="dxa"/>
            <w:vAlign w:val="bottom"/>
            <w:gridSpan w:val="2"/>
          </w:tcPr>
          <w:p>
            <w:pPr>
              <w:ind w:left="540"/>
              <w:spacing w:after="0"/>
              <w:rPr>
                <w:sz w:val="20"/>
                <w:szCs w:val="20"/>
                <w:color w:val="auto"/>
              </w:rPr>
            </w:pPr>
            <w:r>
              <w:rPr>
                <w:rFonts w:ascii="Arial" w:cs="Arial" w:eastAsia="Arial" w:hAnsi="Arial"/>
                <w:sz w:val="12"/>
                <w:szCs w:val="12"/>
                <w:color w:val="auto"/>
              </w:rPr>
              <w:t>— %</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58,652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0.56 %</w:t>
            </w:r>
          </w:p>
        </w:tc>
        <w:tc>
          <w:tcPr>
            <w:tcW w:w="120" w:type="dxa"/>
            <w:vAlign w:val="bottom"/>
          </w:tcPr>
          <w:p>
            <w:pPr>
              <w:spacing w:after="0"/>
              <w:rPr>
                <w:sz w:val="14"/>
                <w:szCs w:val="14"/>
                <w:color w:val="auto"/>
              </w:rPr>
            </w:pPr>
          </w:p>
        </w:tc>
        <w:tc>
          <w:tcPr>
            <w:tcW w:w="1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73,918</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1.26 %</w:t>
            </w:r>
          </w:p>
        </w:tc>
        <w:tc>
          <w:tcPr>
            <w:tcW w:w="120" w:type="dxa"/>
            <w:vAlign w:val="bottom"/>
          </w:tcPr>
          <w:p>
            <w:pPr>
              <w:spacing w:after="0"/>
              <w:rPr>
                <w:sz w:val="14"/>
                <w:szCs w:val="14"/>
                <w:color w:val="auto"/>
              </w:rPr>
            </w:pP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132,570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133,030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0.95 %</w:t>
            </w:r>
          </w:p>
        </w:tc>
        <w:tc>
          <w:tcPr>
            <w:tcW w:w="0" w:type="dxa"/>
            <w:vAlign w:val="bottom"/>
          </w:tcPr>
          <w:p>
            <w:pPr>
              <w:spacing w:after="0"/>
              <w:rPr>
                <w:sz w:val="1"/>
                <w:szCs w:val="1"/>
                <w:color w:val="auto"/>
              </w:rPr>
            </w:pPr>
          </w:p>
        </w:tc>
      </w:tr>
      <w:tr>
        <w:trPr>
          <w:trHeight w:val="181"/>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Municipal</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10,828</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10,911</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1.94 %</w:t>
            </w:r>
          </w:p>
        </w:tc>
        <w:tc>
          <w:tcPr>
            <w:tcW w:w="0" w:type="dxa"/>
            <w:vAlign w:val="bottom"/>
          </w:tcPr>
          <w:p>
            <w:pPr>
              <w:spacing w:after="0"/>
              <w:rPr>
                <w:sz w:val="1"/>
                <w:szCs w:val="1"/>
                <w:color w:val="auto"/>
              </w:rPr>
            </w:pPr>
          </w:p>
        </w:tc>
      </w:tr>
      <w:tr>
        <w:trPr>
          <w:trHeight w:val="164"/>
        </w:trPr>
        <w:tc>
          <w:tcPr>
            <w:tcW w:w="1680" w:type="dxa"/>
            <w:vAlign w:val="bottom"/>
          </w:tcPr>
          <w:p>
            <w:pPr>
              <w:ind w:left="20"/>
              <w:spacing w:after="0"/>
              <w:rPr>
                <w:sz w:val="20"/>
                <w:szCs w:val="20"/>
                <w:color w:val="auto"/>
              </w:rPr>
            </w:pPr>
            <w:r>
              <w:rPr>
                <w:rFonts w:ascii="Arial" w:cs="Arial" w:eastAsia="Arial" w:hAnsi="Arial"/>
                <w:sz w:val="12"/>
                <w:szCs w:val="12"/>
                <w:color w:val="auto"/>
              </w:rPr>
              <w:t>Corporate bonds</w:t>
            </w:r>
          </w:p>
        </w:tc>
        <w:tc>
          <w:tcPr>
            <w:tcW w:w="10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960" w:type="dxa"/>
            <w:vAlign w:val="bottom"/>
            <w:gridSpan w:val="2"/>
          </w:tcPr>
          <w:p>
            <w:pPr>
              <w:ind w:left="540"/>
              <w:spacing w:after="0"/>
              <w:rPr>
                <w:sz w:val="20"/>
                <w:szCs w:val="20"/>
                <w:color w:val="auto"/>
              </w:rPr>
            </w:pPr>
            <w:r>
              <w:rPr>
                <w:rFonts w:ascii="Arial" w:cs="Arial" w:eastAsia="Arial" w:hAnsi="Arial"/>
                <w:sz w:val="12"/>
                <w:szCs w:val="12"/>
                <w:color w:val="auto"/>
              </w:rPr>
              <w:t>— %</w:t>
            </w:r>
          </w:p>
        </w:tc>
        <w:tc>
          <w:tcPr>
            <w:tcW w:w="1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5,000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4.31 %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4.31 %</w:t>
            </w:r>
          </w:p>
        </w:tc>
        <w:tc>
          <w:tcPr>
            <w:tcW w:w="0" w:type="dxa"/>
            <w:vAlign w:val="bottom"/>
          </w:tcPr>
          <w:p>
            <w:pPr>
              <w:spacing w:after="0"/>
              <w:rPr>
                <w:sz w:val="1"/>
                <w:szCs w:val="1"/>
                <w:color w:val="auto"/>
              </w:rPr>
            </w:pPr>
          </w:p>
        </w:tc>
      </w:tr>
      <w:tr>
        <w:trPr>
          <w:trHeight w:val="181"/>
        </w:trPr>
        <w:tc>
          <w:tcPr>
            <w:tcW w:w="16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Asset-backed securities</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10,260</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0.99 %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10,329</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0.99 %</w:t>
            </w:r>
          </w:p>
        </w:tc>
        <w:tc>
          <w:tcPr>
            <w:tcW w:w="0" w:type="dxa"/>
            <w:vAlign w:val="bottom"/>
          </w:tcPr>
          <w:p>
            <w:pPr>
              <w:spacing w:after="0"/>
              <w:rPr>
                <w:sz w:val="1"/>
                <w:szCs w:val="1"/>
                <w:color w:val="auto"/>
              </w:rPr>
            </w:pPr>
          </w:p>
        </w:tc>
      </w:tr>
      <w:tr>
        <w:trPr>
          <w:trHeight w:val="127"/>
        </w:trPr>
        <w:tc>
          <w:tcPr>
            <w:tcW w:w="1680" w:type="dxa"/>
            <w:vAlign w:val="bottom"/>
          </w:tcPr>
          <w:p>
            <w:pPr>
              <w:ind w:left="20"/>
              <w:spacing w:after="0" w:line="127" w:lineRule="exact"/>
              <w:rPr>
                <w:sz w:val="20"/>
                <w:szCs w:val="20"/>
                <w:color w:val="auto"/>
              </w:rPr>
            </w:pPr>
            <w:r>
              <w:rPr>
                <w:rFonts w:ascii="Arial" w:cs="Arial" w:eastAsia="Arial" w:hAnsi="Arial"/>
                <w:sz w:val="12"/>
                <w:szCs w:val="12"/>
                <w:color w:val="auto"/>
              </w:rPr>
              <w:t>Mortgage-backed</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securities</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2"/>
                <w:szCs w:val="12"/>
                <w:color w:val="auto"/>
              </w:rPr>
              <w:t>— %</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10,178</w:t>
            </w: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2.34 %</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19,058</w:t>
            </w: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1.37 %</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29,236</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29,895</w:t>
            </w: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1.71 %</w:t>
            </w:r>
          </w:p>
        </w:tc>
        <w:tc>
          <w:tcPr>
            <w:tcW w:w="0" w:type="dxa"/>
            <w:vAlign w:val="bottom"/>
          </w:tcPr>
          <w:p>
            <w:pPr>
              <w:spacing w:after="0"/>
              <w:rPr>
                <w:sz w:val="1"/>
                <w:szCs w:val="1"/>
                <w:color w:val="auto"/>
              </w:rPr>
            </w:pPr>
          </w:p>
        </w:tc>
      </w:tr>
      <w:tr>
        <w:trPr>
          <w:trHeight w:val="192"/>
        </w:trPr>
        <w:tc>
          <w:tcPr>
            <w:tcW w:w="16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58,652</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0.56 %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89,096</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40,146</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187,894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189,165</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1.22 %</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Loans Receivable</w:t>
      </w:r>
    </w:p>
    <w:p>
      <w:pPr>
        <w:spacing w:after="0" w:line="2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primary source of income is derived from interest earned on loans. Our portfolio loans consist of loans secured by real estate as well as commercial business loans, credit card loans, substantially all of which are secured by corresponding deposits at the Bank and, to a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To a lesser extent, our credit card portfolio supplements our traditional lending products with enhanced yields. Our lending activities, outside of credit cards, are principally directed to our market area consisting of the Washington, D.C. and Baltimore, Maryland metropolitan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loan portfolio by type of loan as of the dates indicated:</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COMPOSITION OF PORTFOLIO LOANS</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jc w:val="right"/>
              <w:ind w:right="69"/>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96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6"/>
        </w:trPr>
        <w:tc>
          <w:tcPr>
            <w:tcW w:w="396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9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418,205</w:t>
            </w:r>
          </w:p>
        </w:tc>
        <w:tc>
          <w:tcPr>
            <w:tcW w:w="13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437,860</w:t>
            </w:r>
          </w:p>
        </w:tc>
        <w:tc>
          <w:tcPr>
            <w:tcW w:w="13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3960" w:type="dxa"/>
            <w:vAlign w:val="bottom"/>
          </w:tcPr>
          <w:p>
            <w:pPr>
              <w:ind w:left="50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520" w:type="dxa"/>
            <w:vAlign w:val="bottom"/>
          </w:tcPr>
          <w:p>
            <w:pPr>
              <w:jc w:val="right"/>
              <w:ind w:right="9"/>
              <w:spacing w:after="0"/>
              <w:rPr>
                <w:sz w:val="20"/>
                <w:szCs w:val="20"/>
                <w:color w:val="auto"/>
              </w:rPr>
            </w:pPr>
            <w:r>
              <w:rPr>
                <w:rFonts w:ascii="Arial" w:cs="Arial" w:eastAsia="Arial" w:hAnsi="Arial"/>
                <w:sz w:val="14"/>
                <w:szCs w:val="14"/>
                <w:b w:val="1"/>
                <w:bCs w:val="1"/>
                <w:color w:val="auto"/>
              </w:rPr>
              <w:t>502,523</w:t>
            </w:r>
          </w:p>
        </w:tc>
        <w:tc>
          <w:tcPr>
            <w:tcW w:w="1340" w:type="dxa"/>
            <w:vAlign w:val="bottom"/>
            <w:gridSpan w:val="2"/>
          </w:tcPr>
          <w:p>
            <w:pPr>
              <w:jc w:val="right"/>
              <w:ind w:right="209"/>
              <w:spacing w:after="0"/>
              <w:rPr>
                <w:sz w:val="20"/>
                <w:szCs w:val="20"/>
                <w:color w:val="auto"/>
              </w:rPr>
            </w:pPr>
            <w:r>
              <w:rPr>
                <w:rFonts w:ascii="Arial" w:cs="Arial" w:eastAsia="Arial" w:hAnsi="Arial"/>
                <w:sz w:val="14"/>
                <w:szCs w:val="14"/>
                <w:color w:val="auto"/>
              </w:rPr>
              <w:t>35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392,550</w:t>
            </w:r>
          </w:p>
        </w:tc>
        <w:tc>
          <w:tcPr>
            <w:tcW w:w="1360" w:type="dxa"/>
            <w:vAlign w:val="bottom"/>
            <w:gridSpan w:val="2"/>
          </w:tcPr>
          <w:p>
            <w:pPr>
              <w:jc w:val="right"/>
              <w:ind w:right="20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6"/>
        </w:trPr>
        <w:tc>
          <w:tcPr>
            <w:tcW w:w="39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251,256</w:t>
            </w:r>
          </w:p>
        </w:tc>
        <w:tc>
          <w:tcPr>
            <w:tcW w:w="13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224,904</w:t>
            </w:r>
          </w:p>
        </w:tc>
        <w:tc>
          <w:tcPr>
            <w:tcW w:w="13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3960" w:type="dxa"/>
            <w:vAlign w:val="bottom"/>
          </w:tcPr>
          <w:p>
            <w:pPr>
              <w:ind w:left="340"/>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520" w:type="dxa"/>
            <w:vAlign w:val="bottom"/>
          </w:tcPr>
          <w:p>
            <w:pPr>
              <w:jc w:val="right"/>
              <w:ind w:right="9"/>
              <w:spacing w:after="0"/>
              <w:rPr>
                <w:sz w:val="20"/>
                <w:szCs w:val="20"/>
                <w:color w:val="auto"/>
              </w:rPr>
            </w:pPr>
            <w:r>
              <w:rPr>
                <w:rFonts w:ascii="Arial" w:cs="Arial" w:eastAsia="Arial" w:hAnsi="Arial"/>
                <w:sz w:val="14"/>
                <w:szCs w:val="14"/>
                <w:b w:val="1"/>
                <w:bCs w:val="1"/>
                <w:color w:val="auto"/>
              </w:rPr>
              <w:t>143,244</w:t>
            </w:r>
          </w:p>
        </w:tc>
        <w:tc>
          <w:tcPr>
            <w:tcW w:w="1340" w:type="dxa"/>
            <w:vAlign w:val="bottom"/>
            <w:gridSpan w:val="2"/>
          </w:tcPr>
          <w:p>
            <w:pPr>
              <w:jc w:val="right"/>
              <w:ind w:right="209"/>
              <w:spacing w:after="0"/>
              <w:rPr>
                <w:sz w:val="20"/>
                <w:szCs w:val="20"/>
                <w:color w:val="auto"/>
              </w:rPr>
            </w:pPr>
            <w:r>
              <w:rPr>
                <w:rFonts w:ascii="Arial" w:cs="Arial" w:eastAsia="Arial" w:hAnsi="Arial"/>
                <w:sz w:val="14"/>
                <w:szCs w:val="14"/>
                <w:color w:val="auto"/>
              </w:rPr>
              <w:t>10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157,127</w:t>
            </w:r>
          </w:p>
        </w:tc>
        <w:tc>
          <w:tcPr>
            <w:tcW w:w="1360" w:type="dxa"/>
            <w:vAlign w:val="bottom"/>
            <w:gridSpan w:val="2"/>
          </w:tcPr>
          <w:p>
            <w:pPr>
              <w:jc w:val="right"/>
              <w:ind w:right="20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3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134,979</w:t>
            </w:r>
          </w:p>
        </w:tc>
        <w:tc>
          <w:tcPr>
            <w:tcW w:w="13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102,186</w:t>
            </w:r>
          </w:p>
        </w:tc>
        <w:tc>
          <w:tcPr>
            <w:tcW w:w="13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consumer</w:t>
            </w: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1,425</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Portfolio loans receivable, gross</w:t>
            </w:r>
          </w:p>
        </w:tc>
        <w:tc>
          <w:tcPr>
            <w:tcW w:w="4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1,451,632</w:t>
            </w:r>
          </w:p>
        </w:tc>
        <w:tc>
          <w:tcPr>
            <w:tcW w:w="13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1,316,276</w:t>
            </w:r>
          </w:p>
        </w:tc>
        <w:tc>
          <w:tcPr>
            <w:tcW w:w="13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4"/>
                <w:szCs w:val="14"/>
                <w:color w:val="auto"/>
              </w:rPr>
              <w:t>Deferred origination fees, net</w:t>
            </w:r>
          </w:p>
        </w:tc>
        <w:tc>
          <w:tcPr>
            <w:tcW w:w="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rPr>
              <w:t>(6,506)</w:t>
            </w: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960" w:type="dxa"/>
            <w:vAlign w:val="bottom"/>
            <w:tcBorders>
              <w:bottom w:val="single" w:sz="8" w:color="CCEEFF"/>
            </w:tcBorders>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Portfolio loans, net of unearned income</w:t>
            </w:r>
          </w:p>
        </w:tc>
        <w:tc>
          <w:tcPr>
            <w:tcW w:w="44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1,445,126</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1,315,502</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Allowance for loan losses</w:t>
            </w: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(24,753)</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(23,434)</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Portfolio loans receivable, net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1,420,373</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1,292,068</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repayment of loans is a source of additional liquidity. The following table details maturities and sensitivity to interest rate changes for our loan portfolio at September 30, 2021:</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LOAN MATURITY AND SENSITIVITY TO CHANGES IN INTEREST RATES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As of September 30, 2021</w:t>
            </w: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Due in One Year</w:t>
            </w:r>
          </w:p>
        </w:tc>
        <w:tc>
          <w:tcPr>
            <w:tcW w:w="460" w:type="dxa"/>
            <w:vAlign w:val="bottom"/>
          </w:tcPr>
          <w:p>
            <w:pPr>
              <w:spacing w:after="0"/>
              <w:rPr>
                <w:sz w:val="12"/>
                <w:szCs w:val="12"/>
                <w:color w:val="auto"/>
              </w:rPr>
            </w:pPr>
          </w:p>
        </w:tc>
        <w:tc>
          <w:tcPr>
            <w:tcW w:w="14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Due in One to</w:t>
            </w:r>
          </w:p>
        </w:tc>
        <w:tc>
          <w:tcPr>
            <w:tcW w:w="480" w:type="dxa"/>
            <w:vAlign w:val="bottom"/>
          </w:tcPr>
          <w:p>
            <w:pPr>
              <w:spacing w:after="0"/>
              <w:rPr>
                <w:sz w:val="12"/>
                <w:szCs w:val="12"/>
                <w:color w:val="auto"/>
              </w:rPr>
            </w:pPr>
          </w:p>
        </w:tc>
        <w:tc>
          <w:tcPr>
            <w:tcW w:w="140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Due After</w:t>
            </w:r>
          </w:p>
        </w:tc>
        <w:tc>
          <w:tcPr>
            <w:tcW w:w="640" w:type="dxa"/>
            <w:vAlign w:val="bottom"/>
          </w:tcPr>
          <w:p>
            <w:pPr>
              <w:spacing w:after="0"/>
              <w:rPr>
                <w:sz w:val="12"/>
                <w:szCs w:val="12"/>
                <w:color w:val="auto"/>
              </w:rPr>
            </w:pPr>
          </w:p>
        </w:tc>
        <w:tc>
          <w:tcPr>
            <w:tcW w:w="9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84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44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or Less</w:t>
            </w:r>
          </w:p>
        </w:tc>
        <w:tc>
          <w:tcPr>
            <w:tcW w:w="4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Five Years</w:t>
            </w:r>
          </w:p>
        </w:tc>
        <w:tc>
          <w:tcPr>
            <w:tcW w:w="4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Five Years</w:t>
            </w:r>
          </w:p>
        </w:tc>
        <w:tc>
          <w:tcPr>
            <w:tcW w:w="6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40" w:type="dxa"/>
            <w:vAlign w:val="bottom"/>
          </w:tcPr>
          <w:p>
            <w:pPr>
              <w:ind w:left="340"/>
              <w:spacing w:after="0"/>
              <w:rPr>
                <w:sz w:val="20"/>
                <w:szCs w:val="20"/>
                <w:color w:val="auto"/>
              </w:rPr>
            </w:pPr>
            <w:r>
              <w:rPr>
                <w:rFonts w:ascii="Arial" w:cs="Arial" w:eastAsia="Arial" w:hAnsi="Arial"/>
                <w:sz w:val="14"/>
                <w:szCs w:val="14"/>
                <w:color w:val="auto"/>
              </w:rPr>
              <w:t>Real estate:</w:t>
            </w:r>
          </w:p>
        </w:tc>
        <w:tc>
          <w:tcPr>
            <w:tcW w:w="4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89,474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158,811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169,920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418,2</w:t>
            </w:r>
          </w:p>
        </w:tc>
        <w:tc>
          <w:tcPr>
            <w:tcW w:w="0" w:type="dxa"/>
            <w:vAlign w:val="bottom"/>
          </w:tcPr>
          <w:p>
            <w:pPr>
              <w:spacing w:after="0"/>
              <w:rPr>
                <w:sz w:val="1"/>
                <w:szCs w:val="1"/>
                <w:color w:val="auto"/>
              </w:rPr>
            </w:pPr>
          </w:p>
        </w:tc>
      </w:tr>
      <w:tr>
        <w:trPr>
          <w:trHeight w:val="185"/>
        </w:trPr>
        <w:tc>
          <w:tcPr>
            <w:tcW w:w="3840" w:type="dxa"/>
            <w:vAlign w:val="bottom"/>
          </w:tcPr>
          <w:p>
            <w:pPr>
              <w:ind w:left="500"/>
              <w:spacing w:after="0"/>
              <w:rPr>
                <w:sz w:val="20"/>
                <w:szCs w:val="20"/>
                <w:color w:val="auto"/>
              </w:rPr>
            </w:pPr>
            <w:r>
              <w:rPr>
                <w:rFonts w:ascii="Arial" w:cs="Arial" w:eastAsia="Arial" w:hAnsi="Arial"/>
                <w:sz w:val="14"/>
                <w:szCs w:val="14"/>
                <w:color w:val="auto"/>
              </w:rPr>
              <w:t>Commercial</w:t>
            </w: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118,290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186,755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197,478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502,5</w:t>
            </w: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233,586</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w:t>
            </w:r>
          </w:p>
        </w:tc>
        <w:tc>
          <w:tcPr>
            <w:tcW w:w="0" w:type="dxa"/>
            <w:vAlign w:val="bottom"/>
          </w:tcPr>
          <w:p>
            <w:pPr>
              <w:spacing w:after="0"/>
              <w:rPr>
                <w:sz w:val="1"/>
                <w:szCs w:val="1"/>
                <w:color w:val="auto"/>
              </w:rPr>
            </w:pPr>
          </w:p>
        </w:tc>
      </w:tr>
      <w:tr>
        <w:trPr>
          <w:trHeight w:val="186"/>
        </w:trPr>
        <w:tc>
          <w:tcPr>
            <w:tcW w:w="3840" w:type="dxa"/>
            <w:vAlign w:val="bottom"/>
          </w:tcPr>
          <w:p>
            <w:pPr>
              <w:ind w:left="340"/>
              <w:spacing w:after="0"/>
              <w:rPr>
                <w:sz w:val="20"/>
                <w:szCs w:val="20"/>
                <w:color w:val="auto"/>
              </w:rPr>
            </w:pPr>
            <w:r>
              <w:rPr>
                <w:rFonts w:ascii="Arial" w:cs="Arial" w:eastAsia="Arial" w:hAnsi="Arial"/>
                <w:sz w:val="14"/>
                <w:szCs w:val="14"/>
                <w:color w:val="auto"/>
              </w:rPr>
              <w:t>Commercial and Industrial</w:t>
            </w:r>
          </w:p>
        </w:tc>
        <w:tc>
          <w:tcPr>
            <w:tcW w:w="44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47,458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65,666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30,120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Credit card</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134,979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0" w:type="dxa"/>
            <w:vAlign w:val="bottom"/>
          </w:tcPr>
          <w:p>
            <w:pPr>
              <w:spacing w:after="0"/>
              <w:rPr>
                <w:sz w:val="1"/>
                <w:szCs w:val="1"/>
                <w:color w:val="auto"/>
              </w:rPr>
            </w:pPr>
          </w:p>
        </w:tc>
      </w:tr>
      <w:tr>
        <w:trPr>
          <w:trHeight w:val="185"/>
        </w:trPr>
        <w:tc>
          <w:tcPr>
            <w:tcW w:w="3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consumer</w:t>
            </w: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381</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Portfolio loans receivable, gross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624,508</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429,225</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397,899</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40" w:type="dxa"/>
            <w:vAlign w:val="bottom"/>
          </w:tcPr>
          <w:p>
            <w:pPr>
              <w:ind w:left="500"/>
              <w:spacing w:after="0" w:line="159" w:lineRule="exact"/>
              <w:rPr>
                <w:sz w:val="20"/>
                <w:szCs w:val="20"/>
                <w:color w:val="auto"/>
              </w:rPr>
            </w:pPr>
            <w:r>
              <w:rPr>
                <w:rFonts w:ascii="Arial" w:cs="Arial" w:eastAsia="Arial" w:hAnsi="Arial"/>
                <w:sz w:val="14"/>
                <w:szCs w:val="14"/>
                <w:color w:val="auto"/>
              </w:rPr>
              <w:t>Amounts with fixed rates</w:t>
            </w: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80,388</w:t>
            </w:r>
          </w:p>
        </w:tc>
        <w:tc>
          <w:tcPr>
            <w:tcW w:w="12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313,842</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4"/>
                <w:szCs w:val="14"/>
                <w:color w:val="auto"/>
              </w:rPr>
              <w:t>145,070</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169"/>
              <w:spacing w:after="0" w:line="15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539,3</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Amounts with floating rates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544,120</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115,383</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252,829</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In addition to the portfolio loans shown above, SBA-PPP loans receivable, which totaled $141.4 million at September 30, 2021, mature in the 1-5 year time-frame and carry a fixed rate of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35"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Non-performing assets ("NPAs") increased to $17.2 million, or 0.79 percent of total assets, at September 30, 2021 compared to $12.6 million, or 0.67 percent of total assets, at December 31, 2020 primarily due to the addition of one well-collateralized multi-family construction loan totaling $5.0 million.</w:t>
      </w:r>
    </w:p>
    <w:p>
      <w:pPr>
        <w:spacing w:after="0" w:line="206"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Nonperforming loans increased to $13.9 million, or 0.96 percent of total portfolio loans, at September 30, 2021 compared to $9.2 million, or 0.70 percent of total portfolio loans, at December 31, 2020. The</w:t>
      </w:r>
    </w:p>
    <w:p>
      <w:pPr>
        <w:sectPr>
          <w:pgSz w:w="11900" w:h="16838" w:orient="portrait"/>
          <w:cols w:equalWidth="0" w:num="1">
            <w:col w:w="11340"/>
          </w:cols>
          <w:pgMar w:left="32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250825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55" w:name="page56"/>
    <w:bookmarkEnd w:id="55"/>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$4.7 million, or 50.7 percent, increase during the nine months ended September 30, 2021 was primarily due to the addition of one well-collateralized multi-family construction loan totaling $5.0 million. Included in nonperforming loans at September 30, 2021 are troubled debt restructurings of $545 thousand.</w:t>
      </w:r>
    </w:p>
    <w:p>
      <w:pPr>
        <w:spacing w:after="0" w:line="20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Foreclosed real estate decreased to $3.2 million as of September 30, 2021 compared to $3.3 million as of December 31, 2020 due to the sale of a residential property. Management continues to focus on reducing non-performing assets as evidenced by the disposition of two OREO properties totaling $3.1 million after September 30, 2021.</w:t>
      </w:r>
    </w:p>
    <w:p>
      <w:pPr>
        <w:spacing w:after="0" w:line="20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result of the COVID-19 pandemic, we anticipate that our commercial, commercial real estate, residential and consumer borrowers could encounter economic difficulties, which could lead to increases in our levels of nonperforming assets, impaired loans and troubled debt restructurings.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information regarding nonperforming assets at the dates indicated: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ASSETS</w:t>
      </w:r>
      <w:r>
        <w:rPr>
          <w:rFonts w:ascii="Arial" w:cs="Arial" w:eastAsia="Arial" w:hAnsi="Arial"/>
          <w:sz w:val="22"/>
          <w:szCs w:val="22"/>
          <w:b w:val="1"/>
          <w:bCs w:val="1"/>
          <w:color w:val="auto"/>
          <w:vertAlign w:val="superscript"/>
        </w:rPr>
        <w:t>(1)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16"/>
                <w:szCs w:val="16"/>
                <w:color w:val="auto"/>
              </w:rPr>
            </w:pPr>
          </w:p>
        </w:tc>
        <w:tc>
          <w:tcPr>
            <w:tcW w:w="20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Pr>
          <w:p>
            <w:pPr>
              <w:spacing w:after="0"/>
              <w:rPr>
                <w:sz w:val="16"/>
                <w:szCs w:val="16"/>
                <w:color w:val="auto"/>
              </w:rPr>
            </w:pPr>
          </w:p>
        </w:tc>
        <w:tc>
          <w:tcPr>
            <w:tcW w:w="1800" w:type="dxa"/>
            <w:vAlign w:val="bottom"/>
          </w:tcPr>
          <w:p>
            <w:pPr>
              <w:jc w:val="right"/>
              <w:ind w:right="301"/>
              <w:spacing w:after="0"/>
              <w:rPr>
                <w:sz w:val="20"/>
                <w:szCs w:val="20"/>
                <w:color w:val="auto"/>
              </w:rPr>
            </w:pPr>
            <w:r>
              <w:rPr>
                <w:rFonts w:ascii="Arial" w:cs="Arial" w:eastAsia="Arial" w:hAnsi="Arial"/>
                <w:sz w:val="14"/>
                <w:szCs w:val="14"/>
                <w:b w:val="1"/>
                <w:bCs w:val="1"/>
                <w:color w:val="auto"/>
              </w:rPr>
              <w:t>December 31, 2020</w:t>
            </w:r>
          </w:p>
        </w:tc>
      </w:tr>
      <w:tr>
        <w:trPr>
          <w:trHeight w:val="189"/>
        </w:trPr>
        <w:tc>
          <w:tcPr>
            <w:tcW w:w="6880" w:type="dxa"/>
            <w:vAlign w:val="bottom"/>
          </w:tcPr>
          <w:p>
            <w:pPr>
              <w:ind w:left="20"/>
              <w:spacing w:after="0"/>
              <w:rPr>
                <w:sz w:val="20"/>
                <w:szCs w:val="20"/>
                <w:color w:val="auto"/>
              </w:rPr>
            </w:pPr>
            <w:r>
              <w:rPr>
                <w:rFonts w:ascii="Arial" w:cs="Arial" w:eastAsia="Arial" w:hAnsi="Arial"/>
                <w:sz w:val="16"/>
                <w:szCs w:val="16"/>
                <w:color w:val="auto"/>
              </w:rPr>
              <w:t>Nonaccrual loans</w:t>
            </w:r>
          </w:p>
        </w:tc>
        <w:tc>
          <w:tcPr>
            <w:tcW w:w="26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r>
      <w:tr>
        <w:trPr>
          <w:trHeight w:val="215"/>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 Estate:</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2"/>
        </w:trPr>
        <w:tc>
          <w:tcPr>
            <w:tcW w:w="6880" w:type="dxa"/>
            <w:vAlign w:val="bottom"/>
          </w:tcPr>
          <w:p>
            <w:pPr>
              <w:ind w:left="340"/>
              <w:spacing w:after="0"/>
              <w:rPr>
                <w:sz w:val="20"/>
                <w:szCs w:val="20"/>
                <w:color w:val="auto"/>
              </w:rPr>
            </w:pPr>
            <w:r>
              <w:rPr>
                <w:rFonts w:ascii="Arial" w:cs="Arial" w:eastAsia="Arial" w:hAnsi="Arial"/>
                <w:sz w:val="16"/>
                <w:szCs w:val="16"/>
                <w:color w:val="auto"/>
              </w:rPr>
              <w:t>Residential</w:t>
            </w:r>
          </w:p>
        </w:tc>
        <w:tc>
          <w:tcPr>
            <w:tcW w:w="260" w:type="dxa"/>
            <w:vAlign w:val="bottom"/>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Pr>
          <w:p>
            <w:pPr>
              <w:jc w:val="right"/>
              <w:ind w:right="121"/>
              <w:spacing w:after="0"/>
              <w:rPr>
                <w:sz w:val="20"/>
                <w:szCs w:val="20"/>
                <w:color w:val="auto"/>
              </w:rPr>
            </w:pPr>
            <w:r>
              <w:rPr>
                <w:rFonts w:ascii="Arial" w:cs="Arial" w:eastAsia="Arial" w:hAnsi="Arial"/>
                <w:sz w:val="16"/>
                <w:szCs w:val="16"/>
                <w:b w:val="1"/>
                <w:bCs w:val="1"/>
                <w:color w:val="auto"/>
              </w:rPr>
              <w:t>5,039</w:t>
            </w:r>
          </w:p>
        </w:tc>
        <w:tc>
          <w:tcPr>
            <w:tcW w:w="1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3,581</w:t>
            </w:r>
          </w:p>
        </w:tc>
      </w:tr>
      <w:tr>
        <w:trPr>
          <w:trHeight w:val="212"/>
        </w:trPr>
        <w:tc>
          <w:tcPr>
            <w:tcW w:w="6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2,358</w:t>
            </w:r>
          </w:p>
        </w:tc>
      </w:tr>
      <w:tr>
        <w:trPr>
          <w:trHeight w:val="212"/>
        </w:trPr>
        <w:tc>
          <w:tcPr>
            <w:tcW w:w="6880" w:type="dxa"/>
            <w:vAlign w:val="bottom"/>
          </w:tcPr>
          <w:p>
            <w:pPr>
              <w:ind w:left="340"/>
              <w:spacing w:after="0"/>
              <w:rPr>
                <w:sz w:val="20"/>
                <w:szCs w:val="20"/>
                <w:color w:val="auto"/>
              </w:rPr>
            </w:pPr>
            <w:r>
              <w:rPr>
                <w:rFonts w:ascii="Arial" w:cs="Arial" w:eastAsia="Arial" w:hAnsi="Arial"/>
                <w:sz w:val="16"/>
                <w:szCs w:val="16"/>
                <w:color w:val="auto"/>
              </w:rPr>
              <w:t>Construction</w:t>
            </w:r>
          </w:p>
        </w:tc>
        <w:tc>
          <w:tcPr>
            <w:tcW w:w="260" w:type="dxa"/>
            <w:vAlign w:val="bottom"/>
          </w:tcPr>
          <w:p>
            <w:pPr>
              <w:spacing w:after="0"/>
              <w:rPr>
                <w:sz w:val="18"/>
                <w:szCs w:val="18"/>
                <w:color w:val="auto"/>
              </w:rPr>
            </w:pPr>
          </w:p>
        </w:tc>
        <w:tc>
          <w:tcPr>
            <w:tcW w:w="1880" w:type="dxa"/>
            <w:vAlign w:val="bottom"/>
          </w:tcPr>
          <w:p>
            <w:pPr>
              <w:jc w:val="right"/>
              <w:ind w:right="121"/>
              <w:spacing w:after="0"/>
              <w:rPr>
                <w:sz w:val="20"/>
                <w:szCs w:val="20"/>
                <w:color w:val="auto"/>
              </w:rPr>
            </w:pPr>
            <w:r>
              <w:rPr>
                <w:rFonts w:ascii="Arial" w:cs="Arial" w:eastAsia="Arial" w:hAnsi="Arial"/>
                <w:sz w:val="16"/>
                <w:szCs w:val="16"/>
                <w:b w:val="1"/>
                <w:bCs w:val="1"/>
                <w:color w:val="auto"/>
              </w:rPr>
              <w:t>7,803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1,886</w:t>
            </w:r>
          </w:p>
        </w:tc>
      </w:tr>
      <w:tr>
        <w:trPr>
          <w:trHeight w:val="212"/>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695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1,182</w:t>
            </w:r>
          </w:p>
        </w:tc>
      </w:tr>
      <w:tr>
        <w:trPr>
          <w:trHeight w:val="212"/>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Accruing loans 90 or more days past due</w:t>
            </w:r>
          </w:p>
        </w:tc>
        <w:tc>
          <w:tcPr>
            <w:tcW w:w="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361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231</w:t>
            </w:r>
          </w:p>
        </w:tc>
      </w:tr>
      <w:tr>
        <w:trPr>
          <w:trHeight w:val="205"/>
        </w:trPr>
        <w:tc>
          <w:tcPr>
            <w:tcW w:w="6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nonperforming portfolio loans</w:t>
            </w:r>
          </w:p>
        </w:tc>
        <w:tc>
          <w:tcPr>
            <w:tcW w:w="26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13,926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9,238</w:t>
            </w:r>
          </w:p>
        </w:tc>
      </w:tr>
      <w:tr>
        <w:trPr>
          <w:trHeight w:val="212"/>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Foreclosed real estate</w:t>
            </w:r>
          </w:p>
        </w:tc>
        <w:tc>
          <w:tcPr>
            <w:tcW w:w="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3,236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3,326</w:t>
            </w:r>
          </w:p>
        </w:tc>
      </w:tr>
      <w:tr>
        <w:trPr>
          <w:trHeight w:val="230"/>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nonperforming assets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17,162</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12,564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12"/>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Restructured loans - nonaccrual</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88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545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440</w:t>
            </w:r>
          </w:p>
        </w:tc>
      </w:tr>
      <w:tr>
        <w:trPr>
          <w:trHeight w:val="212"/>
        </w:trPr>
        <w:tc>
          <w:tcPr>
            <w:tcW w:w="6880" w:type="dxa"/>
            <w:vAlign w:val="bottom"/>
          </w:tcPr>
          <w:p>
            <w:pPr>
              <w:ind w:left="20"/>
              <w:spacing w:after="0"/>
              <w:rPr>
                <w:sz w:val="20"/>
                <w:szCs w:val="20"/>
                <w:color w:val="auto"/>
              </w:rPr>
            </w:pPr>
            <w:r>
              <w:rPr>
                <w:rFonts w:ascii="Arial" w:cs="Arial" w:eastAsia="Arial" w:hAnsi="Arial"/>
                <w:sz w:val="16"/>
                <w:szCs w:val="16"/>
                <w:color w:val="auto"/>
              </w:rPr>
              <w:t>Ratio of nonperforming loans to portfolio loans</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0.96 %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0.70 %</w:t>
            </w:r>
          </w:p>
        </w:tc>
      </w:tr>
      <w:tr>
        <w:trPr>
          <w:trHeight w:val="265"/>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nonperforming assets to total assets</w:t>
            </w:r>
          </w:p>
        </w:tc>
        <w:tc>
          <w:tcPr>
            <w:tcW w:w="26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0.79 %</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0.67 %</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98" w:lineRule="auto"/>
        <w:tabs>
          <w:tab w:leader="none" w:pos="320" w:val="left"/>
        </w:tabs>
        <w:numPr>
          <w:ilvl w:val="0"/>
          <w:numId w:val="11"/>
        </w:numPr>
        <w:rPr>
          <w:rFonts w:ascii="Arial" w:cs="Arial" w:eastAsia="Arial" w:hAnsi="Arial"/>
          <w:sz w:val="14"/>
          <w:szCs w:val="14"/>
          <w:color w:val="auto"/>
          <w:vertAlign w:val="superscript"/>
        </w:rPr>
      </w:pPr>
      <w:r>
        <w:rPr>
          <w:rFonts w:ascii="Arial" w:cs="Arial" w:eastAsia="Arial" w:hAnsi="Arial"/>
          <w:sz w:val="11"/>
          <w:szCs w:val="11"/>
          <w:color w:val="auto"/>
        </w:rPr>
        <w:t>Excludes SBA-PPP loans receivable, none of which were nonperforming.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8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table presents the loan balances by category as well as risk rating at the dates indicated. No assets were classified as loss during the periods presented.</w:t>
      </w:r>
    </w:p>
    <w:p>
      <w:pPr>
        <w:spacing w:after="0" w:line="18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PORTFOLIO LOAN CLASSIFICATION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Special Mention</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Doubtful</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118"/>
        </w:trPr>
        <w:tc>
          <w:tcPr>
            <w:tcW w:w="20" w:type="dxa"/>
            <w:vAlign w:val="bottom"/>
          </w:tcPr>
          <w:p>
            <w:pPr>
              <w:spacing w:after="0"/>
              <w:rPr>
                <w:sz w:val="10"/>
                <w:szCs w:val="10"/>
                <w:color w:val="auto"/>
              </w:rPr>
            </w:pPr>
          </w:p>
        </w:tc>
        <w:tc>
          <w:tcPr>
            <w:tcW w:w="3520" w:type="dxa"/>
            <w:vAlign w:val="bottom"/>
            <w:gridSpan w:val="3"/>
          </w:tcPr>
          <w:p>
            <w:pPr>
              <w:spacing w:after="0" w:line="118" w:lineRule="exact"/>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20" w:type="dxa"/>
            <w:vAlign w:val="bottom"/>
            <w:gridSpan w:val="3"/>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September 30, 2021</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0"/>
        </w:trPr>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Real estate:</w:t>
            </w:r>
          </w:p>
        </w:tc>
        <w:tc>
          <w:tcPr>
            <w:tcW w:w="20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406,197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5,733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418,205</w:t>
            </w:r>
          </w:p>
        </w:tc>
      </w:tr>
      <w:tr>
        <w:trPr>
          <w:trHeight w:val="212"/>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494,355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b w:val="1"/>
                <w:bCs w:val="1"/>
                <w:color w:val="auto"/>
              </w:rPr>
              <w:t>8,140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502,523</w:t>
            </w:r>
          </w:p>
        </w:tc>
      </w:tr>
      <w:tr>
        <w:trPr>
          <w:trHeight w:val="212"/>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238,426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5,027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251,256</w:t>
            </w:r>
          </w:p>
        </w:tc>
      </w:tr>
      <w:tr>
        <w:trPr>
          <w:trHeight w:val="212"/>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129,890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b w:val="1"/>
                <w:bCs w:val="1"/>
                <w:color w:val="auto"/>
              </w:rPr>
              <w:t>11,852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1,502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143,244</w:t>
            </w:r>
          </w:p>
        </w:tc>
      </w:tr>
      <w:tr>
        <w:trPr>
          <w:trHeight w:val="212"/>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134,979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134,979</w:t>
            </w:r>
          </w:p>
        </w:tc>
      </w:tr>
      <w:tr>
        <w:trPr>
          <w:trHeight w:val="212"/>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Other consumer</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1,425</w:t>
            </w:r>
          </w:p>
        </w:tc>
      </w:tr>
      <w:tr>
        <w:trPr>
          <w:trHeight w:val="230"/>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5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1,405,272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30,752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1,451,632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w w:val="98"/>
              </w:rPr>
              <w:t>December 31, 2020</w:t>
            </w:r>
          </w:p>
        </w:tc>
        <w:tc>
          <w:tcPr>
            <w:tcW w:w="2080" w:type="dxa"/>
            <w:vAlign w:val="bottom"/>
            <w:tcBorders>
              <w:bottom w:val="single" w:sz="8" w:color="CCEEFF"/>
            </w:tcBorders>
            <w:gridSpan w:val="2"/>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437,860</w:t>
            </w:r>
          </w:p>
        </w:tc>
      </w:tr>
      <w:tr>
        <w:trPr>
          <w:trHeight w:val="210"/>
        </w:trPr>
        <w:tc>
          <w:tcPr>
            <w:tcW w:w="20" w:type="dxa"/>
            <w:vAlign w:val="bottom"/>
          </w:tcPr>
          <w:p>
            <w:pPr>
              <w:spacing w:after="0"/>
              <w:rPr>
                <w:sz w:val="18"/>
                <w:szCs w:val="18"/>
                <w:color w:val="auto"/>
              </w:rPr>
            </w:pPr>
          </w:p>
        </w:tc>
        <w:tc>
          <w:tcPr>
            <w:tcW w:w="352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6,881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392,550</w:t>
            </w:r>
          </w:p>
        </w:tc>
      </w:tr>
      <w:tr>
        <w:trPr>
          <w:trHeight w:val="214"/>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224,904</w:t>
            </w:r>
          </w:p>
        </w:tc>
      </w:tr>
      <w:tr>
        <w:trPr>
          <w:trHeight w:val="209"/>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145,365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9,766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157,127</w:t>
            </w:r>
          </w:p>
        </w:tc>
      </w:tr>
      <w:tr>
        <w:trPr>
          <w:trHeight w:val="215"/>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102,186</w:t>
            </w:r>
          </w:p>
        </w:tc>
      </w:tr>
      <w:tr>
        <w:trPr>
          <w:trHeight w:val="209"/>
        </w:trPr>
        <w:tc>
          <w:tcPr>
            <w:tcW w:w="2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1,649</w:t>
            </w:r>
          </w:p>
        </w:tc>
      </w:tr>
      <w:tr>
        <w:trPr>
          <w:trHeight w:val="228"/>
        </w:trPr>
        <w:tc>
          <w:tcPr>
            <w:tcW w:w="20" w:type="dxa"/>
            <w:vAlign w:val="bottom"/>
            <w:shd w:val="clear" w:color="auto" w:fill="CCEEFF"/>
          </w:tcPr>
          <w:p>
            <w:pPr>
              <w:spacing w:after="0"/>
              <w:rPr>
                <w:sz w:val="19"/>
                <w:szCs w:val="19"/>
                <w:color w:val="auto"/>
              </w:rPr>
            </w:pPr>
          </w:p>
        </w:tc>
        <w:tc>
          <w:tcPr>
            <w:tcW w:w="35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1,280,828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22,909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1,316,276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98" w:lineRule="auto"/>
        <w:tabs>
          <w:tab w:leader="none" w:pos="320"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Category includes loans graded exceptional, very good, good, satisfactory and pass / watch, in addition to credit cards and consumer credits that are not graded.</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At September 30, 2021, the recorded investment in impaired loans was $13.6 million, of which $355 thousand required a specific reserve of $222 thousand. This compares to a recorded investment in impaired loans of $10.0 million at December 31, 2020, including $391 thousand which required a specific reserve of $253 thousand. The increase in impaired loans is largely attributable to the addition of one well-collateralized multi-family construction loan totaling $5.0 million which was offset by a reduction in commercial real estate of $2.3 million.</w:t>
      </w:r>
    </w:p>
    <w:p>
      <w:pPr>
        <w:spacing w:after="0" w:line="20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Impaired loans also include certain loans that have been modified as TDRs. The Company had five loans amounting to $545 thousand at September 30, 2021, and five loans totaling $440 thousand at December 31, 2020 that were considered to be TDRs.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3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 The following table presents a summary of changes in the allowance for loan losses for the periods and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Nine Months Ended</w:t>
            </w:r>
          </w:p>
        </w:tc>
        <w:tc>
          <w:tcPr>
            <w:tcW w:w="2520" w:type="dxa"/>
            <w:vAlign w:val="bottom"/>
            <w:gridSpan w:val="2"/>
          </w:tcPr>
          <w:p>
            <w:pPr>
              <w:ind w:left="340"/>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72"/>
        </w:trPr>
        <w:tc>
          <w:tcPr>
            <w:tcW w:w="57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2021</w:t>
            </w:r>
          </w:p>
        </w:tc>
        <w:tc>
          <w:tcPr>
            <w:tcW w:w="7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981"/>
              <w:spacing w:after="0"/>
              <w:rPr>
                <w:sz w:val="20"/>
                <w:szCs w:val="20"/>
                <w:color w:val="auto"/>
              </w:rPr>
            </w:pPr>
            <w:r>
              <w:rPr>
                <w:rFonts w:ascii="Arial" w:cs="Arial" w:eastAsia="Arial" w:hAnsi="Arial"/>
                <w:sz w:val="14"/>
                <w:szCs w:val="14"/>
                <w:b w:val="1"/>
                <w:bCs w:val="1"/>
                <w:color w:val="auto"/>
              </w:rPr>
              <w:t>2020</w:t>
            </w:r>
          </w:p>
        </w:tc>
      </w:tr>
      <w:tr>
        <w:trPr>
          <w:trHeight w:val="118"/>
        </w:trPr>
        <w:tc>
          <w:tcPr>
            <w:tcW w:w="574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4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21"/>
        </w:trPr>
        <w:tc>
          <w:tcPr>
            <w:tcW w:w="5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loan losses at beginning of period</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23,434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13,301</w:t>
            </w:r>
          </w:p>
        </w:tc>
      </w:tr>
      <w:tr>
        <w:trPr>
          <w:trHeight w:val="209"/>
        </w:trPr>
        <w:tc>
          <w:tcPr>
            <w:tcW w:w="5740" w:type="dxa"/>
            <w:vAlign w:val="bottom"/>
          </w:tcPr>
          <w:p>
            <w:pPr>
              <w:ind w:left="340"/>
              <w:spacing w:after="0"/>
              <w:rPr>
                <w:sz w:val="20"/>
                <w:szCs w:val="20"/>
                <w:color w:val="auto"/>
              </w:rPr>
            </w:pPr>
            <w:r>
              <w:rPr>
                <w:rFonts w:ascii="Arial" w:cs="Arial" w:eastAsia="Arial" w:hAnsi="Arial"/>
                <w:sz w:val="16"/>
                <w:szCs w:val="16"/>
                <w:color w:val="auto"/>
              </w:rPr>
              <w:t>Charge-offs:</w:t>
            </w:r>
          </w:p>
        </w:tc>
        <w:tc>
          <w:tcPr>
            <w:tcW w:w="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5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Real estate:</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2"/>
        </w:trPr>
        <w:tc>
          <w:tcPr>
            <w:tcW w:w="5740" w:type="dxa"/>
            <w:vAlign w:val="bottom"/>
          </w:tcPr>
          <w:p>
            <w:pPr>
              <w:ind w:left="640"/>
              <w:spacing w:after="0"/>
              <w:rPr>
                <w:sz w:val="20"/>
                <w:szCs w:val="20"/>
                <w:color w:val="auto"/>
              </w:rPr>
            </w:pPr>
            <w:r>
              <w:rPr>
                <w:rFonts w:ascii="Arial" w:cs="Arial" w:eastAsia="Arial" w:hAnsi="Arial"/>
                <w:sz w:val="16"/>
                <w:szCs w:val="16"/>
                <w:color w:val="auto"/>
              </w:rPr>
              <w:t>Residential</w:t>
            </w:r>
          </w:p>
        </w:tc>
        <w:tc>
          <w:tcPr>
            <w:tcW w:w="480" w:type="dxa"/>
            <w:vAlign w:val="bottom"/>
          </w:tcPr>
          <w:p>
            <w:pPr>
              <w:spacing w:after="0"/>
              <w:rPr>
                <w:sz w:val="18"/>
                <w:szCs w:val="18"/>
                <w:color w:val="auto"/>
              </w:rPr>
            </w:pPr>
          </w:p>
        </w:tc>
        <w:tc>
          <w:tcPr>
            <w:tcW w:w="228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spacing w:after="0"/>
              <w:rPr>
                <w:sz w:val="18"/>
                <w:szCs w:val="18"/>
                <w:color w:val="auto"/>
              </w:rPr>
            </w:pPr>
          </w:p>
        </w:tc>
        <w:tc>
          <w:tcPr>
            <w:tcW w:w="1740" w:type="dxa"/>
            <w:vAlign w:val="bottom"/>
          </w:tcPr>
          <w:p>
            <w:pPr>
              <w:jc w:val="right"/>
              <w:ind w:right="361"/>
              <w:spacing w:after="0"/>
              <w:rPr>
                <w:sz w:val="20"/>
                <w:szCs w:val="20"/>
                <w:color w:val="auto"/>
              </w:rPr>
            </w:pPr>
            <w:r>
              <w:rPr>
                <w:rFonts w:ascii="Arial" w:cs="Arial" w:eastAsia="Arial" w:hAnsi="Arial"/>
                <w:sz w:val="16"/>
                <w:szCs w:val="16"/>
                <w:color w:val="auto"/>
              </w:rPr>
              <w:t>—</w:t>
            </w:r>
          </w:p>
        </w:tc>
      </w:tr>
      <w:tr>
        <w:trPr>
          <w:trHeight w:val="212"/>
        </w:trPr>
        <w:tc>
          <w:tcPr>
            <w:tcW w:w="57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Commercial</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402"/>
              <w:spacing w:after="0"/>
              <w:rPr>
                <w:sz w:val="20"/>
                <w:szCs w:val="20"/>
                <w:color w:val="auto"/>
              </w:rPr>
            </w:pPr>
            <w:r>
              <w:rPr>
                <w:rFonts w:ascii="Arial" w:cs="Arial" w:eastAsia="Arial" w:hAnsi="Arial"/>
                <w:sz w:val="16"/>
                <w:szCs w:val="16"/>
                <w:b w:val="1"/>
                <w:bCs w:val="1"/>
                <w:color w:val="auto"/>
              </w:rPr>
              <w:t>(161)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r>
      <w:tr>
        <w:trPr>
          <w:trHeight w:val="212"/>
        </w:trPr>
        <w:tc>
          <w:tcPr>
            <w:tcW w:w="5740" w:type="dxa"/>
            <w:vAlign w:val="bottom"/>
          </w:tcPr>
          <w:p>
            <w:pPr>
              <w:ind w:left="620"/>
              <w:spacing w:after="0"/>
              <w:rPr>
                <w:sz w:val="20"/>
                <w:szCs w:val="20"/>
                <w:color w:val="auto"/>
              </w:rPr>
            </w:pPr>
            <w:r>
              <w:rPr>
                <w:rFonts w:ascii="Arial" w:cs="Arial" w:eastAsia="Arial" w:hAnsi="Arial"/>
                <w:sz w:val="16"/>
                <w:szCs w:val="16"/>
                <w:color w:val="auto"/>
              </w:rPr>
              <w:t>Construction</w:t>
            </w:r>
          </w:p>
        </w:tc>
        <w:tc>
          <w:tcPr>
            <w:tcW w:w="480" w:type="dxa"/>
            <w:vAlign w:val="bottom"/>
          </w:tcPr>
          <w:p>
            <w:pPr>
              <w:spacing w:after="0"/>
              <w:rPr>
                <w:sz w:val="18"/>
                <w:szCs w:val="18"/>
                <w:color w:val="auto"/>
              </w:rPr>
            </w:pPr>
          </w:p>
        </w:tc>
        <w:tc>
          <w:tcPr>
            <w:tcW w:w="228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spacing w:after="0"/>
              <w:rPr>
                <w:sz w:val="18"/>
                <w:szCs w:val="18"/>
                <w:color w:val="auto"/>
              </w:rPr>
            </w:pPr>
          </w:p>
        </w:tc>
        <w:tc>
          <w:tcPr>
            <w:tcW w:w="1740" w:type="dxa"/>
            <w:vAlign w:val="bottom"/>
          </w:tcPr>
          <w:p>
            <w:pPr>
              <w:jc w:val="right"/>
              <w:ind w:right="301"/>
              <w:spacing w:after="0"/>
              <w:rPr>
                <w:sz w:val="20"/>
                <w:szCs w:val="20"/>
                <w:color w:val="auto"/>
              </w:rPr>
            </w:pPr>
            <w:r>
              <w:rPr>
                <w:rFonts w:ascii="Arial" w:cs="Arial" w:eastAsia="Arial" w:hAnsi="Arial"/>
                <w:sz w:val="16"/>
                <w:szCs w:val="16"/>
                <w:color w:val="auto"/>
              </w:rPr>
              <w:t>(296)</w:t>
            </w:r>
          </w:p>
        </w:tc>
      </w:tr>
      <w:tr>
        <w:trPr>
          <w:trHeight w:val="212"/>
        </w:trPr>
        <w:tc>
          <w:tcPr>
            <w:tcW w:w="5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and Industrial</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402"/>
              <w:spacing w:after="0"/>
              <w:rPr>
                <w:sz w:val="20"/>
                <w:szCs w:val="20"/>
                <w:color w:val="auto"/>
              </w:rPr>
            </w:pPr>
            <w:r>
              <w:rPr>
                <w:rFonts w:ascii="Arial" w:cs="Arial" w:eastAsia="Arial" w:hAnsi="Arial"/>
                <w:sz w:val="16"/>
                <w:szCs w:val="16"/>
                <w:b w:val="1"/>
                <w:bCs w:val="1"/>
                <w:color w:val="auto"/>
              </w:rPr>
              <w:t>(39)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(233)</w:t>
            </w:r>
          </w:p>
        </w:tc>
      </w:tr>
      <w:tr>
        <w:trPr>
          <w:trHeight w:val="212"/>
        </w:trPr>
        <w:tc>
          <w:tcPr>
            <w:tcW w:w="5740" w:type="dxa"/>
            <w:vAlign w:val="bottom"/>
          </w:tcPr>
          <w:p>
            <w:pPr>
              <w:ind w:left="460"/>
              <w:spacing w:after="0"/>
              <w:rPr>
                <w:sz w:val="20"/>
                <w:szCs w:val="20"/>
                <w:color w:val="auto"/>
              </w:rPr>
            </w:pPr>
            <w:r>
              <w:rPr>
                <w:rFonts w:ascii="Arial" w:cs="Arial" w:eastAsia="Arial" w:hAnsi="Arial"/>
                <w:sz w:val="16"/>
                <w:szCs w:val="16"/>
                <w:color w:val="auto"/>
              </w:rPr>
              <w:t>Credit card</w:t>
            </w:r>
          </w:p>
        </w:tc>
        <w:tc>
          <w:tcPr>
            <w:tcW w:w="480" w:type="dxa"/>
            <w:vAlign w:val="bottom"/>
          </w:tcPr>
          <w:p>
            <w:pPr>
              <w:spacing w:after="0"/>
              <w:rPr>
                <w:sz w:val="18"/>
                <w:szCs w:val="18"/>
                <w:color w:val="auto"/>
              </w:rPr>
            </w:pPr>
          </w:p>
        </w:tc>
        <w:tc>
          <w:tcPr>
            <w:tcW w:w="2080" w:type="dxa"/>
            <w:vAlign w:val="bottom"/>
          </w:tcPr>
          <w:p>
            <w:pPr>
              <w:jc w:val="right"/>
              <w:ind w:right="402"/>
              <w:spacing w:after="0"/>
              <w:rPr>
                <w:sz w:val="20"/>
                <w:szCs w:val="20"/>
                <w:color w:val="auto"/>
              </w:rPr>
            </w:pPr>
            <w:r>
              <w:rPr>
                <w:rFonts w:ascii="Arial" w:cs="Arial" w:eastAsia="Arial" w:hAnsi="Arial"/>
                <w:sz w:val="16"/>
                <w:szCs w:val="16"/>
                <w:b w:val="1"/>
                <w:bCs w:val="1"/>
                <w:color w:val="auto"/>
              </w:rPr>
              <w:t>(777)</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jc w:val="right"/>
              <w:ind w:right="301"/>
              <w:spacing w:after="0"/>
              <w:rPr>
                <w:sz w:val="20"/>
                <w:szCs w:val="20"/>
                <w:color w:val="auto"/>
              </w:rPr>
            </w:pPr>
            <w:r>
              <w:rPr>
                <w:rFonts w:ascii="Arial" w:cs="Arial" w:eastAsia="Arial" w:hAnsi="Arial"/>
                <w:sz w:val="16"/>
                <w:szCs w:val="16"/>
                <w:color w:val="auto"/>
              </w:rPr>
              <w:t>(637)</w:t>
            </w:r>
          </w:p>
        </w:tc>
      </w:tr>
      <w:tr>
        <w:trPr>
          <w:trHeight w:val="225"/>
        </w:trPr>
        <w:tc>
          <w:tcPr>
            <w:tcW w:w="5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consumer</w:t>
            </w:r>
          </w:p>
        </w:tc>
        <w:tc>
          <w:tcPr>
            <w:tcW w:w="48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72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r>
      <w:tr>
        <w:trPr>
          <w:trHeight w:val="205"/>
        </w:trPr>
        <w:tc>
          <w:tcPr>
            <w:tcW w:w="57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charge-offs</w:t>
            </w:r>
          </w:p>
        </w:tc>
        <w:tc>
          <w:tcPr>
            <w:tcW w:w="48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(977)</w:t>
            </w:r>
          </w:p>
        </w:tc>
        <w:tc>
          <w:tcPr>
            <w:tcW w:w="2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rPr>
              <w:t>(1,166)</w:t>
            </w:r>
          </w:p>
        </w:tc>
      </w:tr>
      <w:tr>
        <w:trPr>
          <w:trHeight w:val="192"/>
        </w:trPr>
        <w:tc>
          <w:tcPr>
            <w:tcW w:w="57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09"/>
        </w:trPr>
        <w:tc>
          <w:tcPr>
            <w:tcW w:w="5740" w:type="dxa"/>
            <w:vAlign w:val="bottom"/>
          </w:tcPr>
          <w:p>
            <w:pPr>
              <w:ind w:left="340"/>
              <w:spacing w:after="0"/>
              <w:rPr>
                <w:sz w:val="20"/>
                <w:szCs w:val="20"/>
                <w:color w:val="auto"/>
              </w:rPr>
            </w:pPr>
            <w:r>
              <w:rPr>
                <w:rFonts w:ascii="Arial" w:cs="Arial" w:eastAsia="Arial" w:hAnsi="Arial"/>
                <w:sz w:val="16"/>
                <w:szCs w:val="16"/>
                <w:color w:val="auto"/>
              </w:rPr>
              <w:t>Recoveries:</w:t>
            </w:r>
          </w:p>
        </w:tc>
        <w:tc>
          <w:tcPr>
            <w:tcW w:w="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4"/>
        </w:trPr>
        <w:tc>
          <w:tcPr>
            <w:tcW w:w="5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Real estate:</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2"/>
        </w:trPr>
        <w:tc>
          <w:tcPr>
            <w:tcW w:w="5740" w:type="dxa"/>
            <w:vAlign w:val="bottom"/>
          </w:tcPr>
          <w:p>
            <w:pPr>
              <w:ind w:left="620"/>
              <w:spacing w:after="0"/>
              <w:rPr>
                <w:sz w:val="20"/>
                <w:szCs w:val="20"/>
                <w:color w:val="auto"/>
              </w:rPr>
            </w:pPr>
            <w:r>
              <w:rPr>
                <w:rFonts w:ascii="Arial" w:cs="Arial" w:eastAsia="Arial" w:hAnsi="Arial"/>
                <w:sz w:val="16"/>
                <w:szCs w:val="16"/>
                <w:color w:val="auto"/>
              </w:rPr>
              <w:t>Construction</w:t>
            </w:r>
          </w:p>
        </w:tc>
        <w:tc>
          <w:tcPr>
            <w:tcW w:w="480" w:type="dxa"/>
            <w:vAlign w:val="bottom"/>
          </w:tcPr>
          <w:p>
            <w:pPr>
              <w:spacing w:after="0"/>
              <w:rPr>
                <w:sz w:val="18"/>
                <w:szCs w:val="18"/>
                <w:color w:val="auto"/>
              </w:rPr>
            </w:pPr>
          </w:p>
        </w:tc>
        <w:tc>
          <w:tcPr>
            <w:tcW w:w="2080" w:type="dxa"/>
            <w:vAlign w:val="bottom"/>
          </w:tcPr>
          <w:p>
            <w:pPr>
              <w:jc w:val="right"/>
              <w:ind w:right="442"/>
              <w:spacing w:after="0"/>
              <w:rPr>
                <w:sz w:val="20"/>
                <w:szCs w:val="20"/>
                <w:color w:val="auto"/>
              </w:rPr>
            </w:pPr>
            <w:r>
              <w:rPr>
                <w:rFonts w:ascii="Arial" w:cs="Arial" w:eastAsia="Arial" w:hAnsi="Arial"/>
                <w:sz w:val="16"/>
                <w:szCs w:val="16"/>
                <w:b w:val="1"/>
                <w:bCs w:val="1"/>
                <w:color w:val="auto"/>
              </w:rPr>
              <w:t>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jc w:val="right"/>
              <w:ind w:right="361"/>
              <w:spacing w:after="0"/>
              <w:rPr>
                <w:sz w:val="20"/>
                <w:szCs w:val="20"/>
                <w:color w:val="auto"/>
              </w:rPr>
            </w:pPr>
            <w:r>
              <w:rPr>
                <w:rFonts w:ascii="Arial" w:cs="Arial" w:eastAsia="Arial" w:hAnsi="Arial"/>
                <w:sz w:val="16"/>
                <w:szCs w:val="16"/>
                <w:color w:val="auto"/>
              </w:rPr>
              <w:t>7</w:t>
            </w:r>
          </w:p>
        </w:tc>
      </w:tr>
      <w:tr>
        <w:trPr>
          <w:trHeight w:val="212"/>
        </w:trPr>
        <w:tc>
          <w:tcPr>
            <w:tcW w:w="5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and Industrial</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r>
      <w:tr>
        <w:trPr>
          <w:trHeight w:val="212"/>
        </w:trPr>
        <w:tc>
          <w:tcPr>
            <w:tcW w:w="57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Credit card</w:t>
            </w: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30</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50</w:t>
            </w:r>
          </w:p>
        </w:tc>
      </w:tr>
      <w:tr>
        <w:trPr>
          <w:trHeight w:val="205"/>
        </w:trPr>
        <w:tc>
          <w:tcPr>
            <w:tcW w:w="57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recoveries</w:t>
            </w:r>
          </w:p>
        </w:tc>
        <w:tc>
          <w:tcPr>
            <w:tcW w:w="48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37</w:t>
            </w:r>
          </w:p>
        </w:tc>
        <w:tc>
          <w:tcPr>
            <w:tcW w:w="2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57</w:t>
            </w:r>
          </w:p>
        </w:tc>
      </w:tr>
      <w:tr>
        <w:trPr>
          <w:trHeight w:val="205"/>
        </w:trPr>
        <w:tc>
          <w:tcPr>
            <w:tcW w:w="5740" w:type="dxa"/>
            <w:vAlign w:val="bottom"/>
          </w:tcPr>
          <w:p>
            <w:pPr>
              <w:ind w:left="780"/>
              <w:spacing w:after="0"/>
              <w:rPr>
                <w:sz w:val="20"/>
                <w:szCs w:val="20"/>
                <w:color w:val="auto"/>
              </w:rPr>
            </w:pPr>
            <w:r>
              <w:rPr>
                <w:rFonts w:ascii="Arial" w:cs="Arial" w:eastAsia="Arial" w:hAnsi="Arial"/>
                <w:sz w:val="16"/>
                <w:szCs w:val="16"/>
                <w:color w:val="auto"/>
              </w:rPr>
              <w:t>Net charge-offs</w:t>
            </w:r>
          </w:p>
        </w:tc>
        <w:tc>
          <w:tcPr>
            <w:tcW w:w="480" w:type="dxa"/>
            <w:vAlign w:val="bottom"/>
          </w:tcPr>
          <w:p>
            <w:pPr>
              <w:spacing w:after="0"/>
              <w:rPr>
                <w:sz w:val="17"/>
                <w:szCs w:val="17"/>
                <w:color w:val="auto"/>
              </w:rPr>
            </w:pPr>
          </w:p>
        </w:tc>
        <w:tc>
          <w:tcPr>
            <w:tcW w:w="2080" w:type="dxa"/>
            <w:vAlign w:val="bottom"/>
          </w:tcPr>
          <w:p>
            <w:pPr>
              <w:jc w:val="right"/>
              <w:ind w:right="402"/>
              <w:spacing w:after="0"/>
              <w:rPr>
                <w:sz w:val="20"/>
                <w:szCs w:val="20"/>
                <w:color w:val="auto"/>
              </w:rPr>
            </w:pPr>
            <w:r>
              <w:rPr>
                <w:rFonts w:ascii="Arial" w:cs="Arial" w:eastAsia="Arial" w:hAnsi="Arial"/>
                <w:sz w:val="16"/>
                <w:szCs w:val="16"/>
                <w:b w:val="1"/>
                <w:bCs w:val="1"/>
                <w:color w:val="auto"/>
              </w:rPr>
              <w:t>(940)</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jc w:val="right"/>
              <w:ind w:right="301"/>
              <w:spacing w:after="0"/>
              <w:rPr>
                <w:sz w:val="20"/>
                <w:szCs w:val="20"/>
                <w:color w:val="auto"/>
              </w:rPr>
            </w:pPr>
            <w:r>
              <w:rPr>
                <w:rFonts w:ascii="Arial" w:cs="Arial" w:eastAsia="Arial" w:hAnsi="Arial"/>
                <w:sz w:val="16"/>
                <w:szCs w:val="16"/>
                <w:color w:val="auto"/>
              </w:rPr>
              <w:t>(1,109)</w:t>
            </w:r>
          </w:p>
        </w:tc>
      </w:tr>
      <w:tr>
        <w:trPr>
          <w:trHeight w:val="212"/>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loan losses</w:t>
            </w:r>
          </w:p>
        </w:tc>
        <w:tc>
          <w:tcPr>
            <w:tcW w:w="48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2,259</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11,242</w:t>
            </w:r>
          </w:p>
        </w:tc>
      </w:tr>
      <w:tr>
        <w:trPr>
          <w:trHeight w:val="205"/>
        </w:trPr>
        <w:tc>
          <w:tcPr>
            <w:tcW w:w="5740" w:type="dxa"/>
            <w:vAlign w:val="bottom"/>
          </w:tcPr>
          <w:p>
            <w:pPr>
              <w:ind w:left="20"/>
              <w:spacing w:after="0"/>
              <w:rPr>
                <w:sz w:val="20"/>
                <w:szCs w:val="20"/>
                <w:color w:val="auto"/>
              </w:rPr>
            </w:pPr>
            <w:r>
              <w:rPr>
                <w:rFonts w:ascii="Arial" w:cs="Arial" w:eastAsia="Arial" w:hAnsi="Arial"/>
                <w:sz w:val="16"/>
                <w:szCs w:val="16"/>
                <w:color w:val="auto"/>
              </w:rPr>
              <w:t>Allowance for loan losses at period end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24,753</w:t>
            </w:r>
          </w:p>
        </w:tc>
        <w:tc>
          <w:tcPr>
            <w:tcW w:w="200" w:type="dxa"/>
            <w:vAlign w:val="bottom"/>
          </w:tcPr>
          <w:p>
            <w:pPr>
              <w:spacing w:after="0"/>
              <w:rPr>
                <w:sz w:val="17"/>
                <w:szCs w:val="17"/>
                <w:color w:val="auto"/>
              </w:rPr>
            </w:pP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23,434</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9"/>
        </w:trPr>
        <w:tc>
          <w:tcPr>
            <w:tcW w:w="57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12"/>
        </w:trPr>
        <w:tc>
          <w:tcPr>
            <w:tcW w:w="5740" w:type="dxa"/>
            <w:vAlign w:val="bottom"/>
          </w:tcPr>
          <w:p>
            <w:pPr>
              <w:ind w:left="340"/>
              <w:spacing w:after="0"/>
              <w:rPr>
                <w:sz w:val="20"/>
                <w:szCs w:val="20"/>
                <w:color w:val="auto"/>
              </w:rPr>
            </w:pPr>
            <w:r>
              <w:rPr>
                <w:rFonts w:ascii="Arial" w:cs="Arial" w:eastAsia="Arial" w:hAnsi="Arial"/>
                <w:sz w:val="16"/>
                <w:szCs w:val="16"/>
                <w:color w:val="auto"/>
              </w:rPr>
              <w:t>Portfolio loans outstanding, net of unearned income</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80" w:type="dxa"/>
            <w:vAlign w:val="bottom"/>
          </w:tcPr>
          <w:p>
            <w:pPr>
              <w:jc w:val="right"/>
              <w:ind w:right="442"/>
              <w:spacing w:after="0"/>
              <w:rPr>
                <w:sz w:val="20"/>
                <w:szCs w:val="20"/>
                <w:color w:val="auto"/>
              </w:rPr>
            </w:pPr>
            <w:r>
              <w:rPr>
                <w:rFonts w:ascii="Arial" w:cs="Arial" w:eastAsia="Arial" w:hAnsi="Arial"/>
                <w:sz w:val="16"/>
                <w:szCs w:val="16"/>
                <w:b w:val="1"/>
                <w:bCs w:val="1"/>
                <w:color w:val="auto"/>
              </w:rPr>
              <w:t>1,445,126</w:t>
            </w:r>
          </w:p>
        </w:tc>
        <w:tc>
          <w:tcPr>
            <w:tcW w:w="20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61"/>
              <w:spacing w:after="0"/>
              <w:rPr>
                <w:sz w:val="20"/>
                <w:szCs w:val="20"/>
                <w:color w:val="auto"/>
              </w:rPr>
            </w:pPr>
            <w:r>
              <w:rPr>
                <w:rFonts w:ascii="Arial" w:cs="Arial" w:eastAsia="Arial" w:hAnsi="Arial"/>
                <w:sz w:val="16"/>
                <w:szCs w:val="16"/>
                <w:color w:val="auto"/>
              </w:rPr>
              <w:t>1,315,503</w:t>
            </w:r>
          </w:p>
        </w:tc>
      </w:tr>
      <w:tr>
        <w:trPr>
          <w:trHeight w:val="212"/>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Average portfolio loans outstanding, net of unearned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ind w:right="442"/>
              <w:spacing w:after="0"/>
              <w:rPr>
                <w:sz w:val="20"/>
                <w:szCs w:val="20"/>
                <w:color w:val="auto"/>
              </w:rPr>
            </w:pPr>
            <w:r>
              <w:rPr>
                <w:rFonts w:ascii="Arial" w:cs="Arial" w:eastAsia="Arial" w:hAnsi="Arial"/>
                <w:sz w:val="16"/>
                <w:szCs w:val="16"/>
                <w:b w:val="1"/>
                <w:bCs w:val="1"/>
                <w:color w:val="auto"/>
              </w:rPr>
              <w:t>1,339,010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1,215,049</w:t>
            </w:r>
          </w:p>
        </w:tc>
      </w:tr>
    </w:tbl>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Allowance for loan losses to period end portfolio loans</w:t>
            </w:r>
          </w:p>
        </w:tc>
        <w:tc>
          <w:tcPr>
            <w:tcW w:w="216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1.71</w:t>
            </w:r>
          </w:p>
        </w:tc>
        <w:tc>
          <w:tcPr>
            <w:tcW w:w="1320" w:type="dxa"/>
            <w:vAlign w:val="bottom"/>
            <w:shd w:val="clear" w:color="auto" w:fill="CCEEFF"/>
          </w:tcPr>
          <w:p>
            <w:pPr>
              <w:jc w:val="right"/>
              <w:ind w:right="921"/>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1.78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800" w:type="dxa"/>
            <w:vAlign w:val="bottom"/>
          </w:tcPr>
          <w:p>
            <w:pPr>
              <w:ind w:left="20"/>
              <w:spacing w:after="0"/>
              <w:rPr>
                <w:sz w:val="20"/>
                <w:szCs w:val="20"/>
                <w:color w:val="auto"/>
              </w:rPr>
            </w:pPr>
            <w:r>
              <w:rPr>
                <w:rFonts w:ascii="Arial" w:cs="Arial" w:eastAsia="Arial" w:hAnsi="Arial"/>
                <w:sz w:val="16"/>
                <w:szCs w:val="16"/>
                <w:color w:val="auto"/>
              </w:rPr>
              <w:t>Annualized net charge-offs to average portfolio loans</w:t>
            </w:r>
          </w:p>
        </w:tc>
        <w:tc>
          <w:tcPr>
            <w:tcW w:w="2160" w:type="dxa"/>
            <w:vAlign w:val="bottom"/>
          </w:tcPr>
          <w:p>
            <w:pPr>
              <w:jc w:val="right"/>
              <w:ind w:right="101"/>
              <w:spacing w:after="0"/>
              <w:rPr>
                <w:sz w:val="20"/>
                <w:szCs w:val="20"/>
                <w:color w:val="auto"/>
              </w:rPr>
            </w:pPr>
            <w:r>
              <w:rPr>
                <w:rFonts w:ascii="Arial" w:cs="Arial" w:eastAsia="Arial" w:hAnsi="Arial"/>
                <w:sz w:val="16"/>
                <w:szCs w:val="16"/>
                <w:b w:val="1"/>
                <w:bCs w:val="1"/>
                <w:color w:val="auto"/>
              </w:rPr>
              <w:t>0.09</w:t>
            </w:r>
          </w:p>
        </w:tc>
        <w:tc>
          <w:tcPr>
            <w:tcW w:w="1320" w:type="dxa"/>
            <w:vAlign w:val="bottom"/>
          </w:tcPr>
          <w:p>
            <w:pPr>
              <w:jc w:val="right"/>
              <w:ind w:right="921"/>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0.09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charge-offs to average loans, excluding PPP loans</w:t>
            </w:r>
          </w:p>
        </w:tc>
        <w:tc>
          <w:tcPr>
            <w:tcW w:w="216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0.09</w:t>
            </w:r>
          </w:p>
        </w:tc>
        <w:tc>
          <w:tcPr>
            <w:tcW w:w="1320" w:type="dxa"/>
            <w:vAlign w:val="bottom"/>
            <w:shd w:val="clear" w:color="auto" w:fill="CCEEFF"/>
          </w:tcPr>
          <w:p>
            <w:pPr>
              <w:jc w:val="right"/>
              <w:ind w:right="921"/>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0.09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04"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Our allowance for loan losses at September 30, 2021 and December 31, 2020 was $24.8 million, or 1.71% of portfolio loans, and $23.4 million, or 1.78% of portfolio loans, respectively. The provision for loan losses of $2.3 million for the nine months ended September 30, 2021 was primarily due to a small number of loan charge-offs which was offset by improving overall credit metrics. The allowance for loan losses for SBA-PPP loans was separately evaluated given the explicit government guarantee. This analysis, which incorporated historical experience with similar SBA guarantees and underwriting, concluded that the likelihood of loss was remote and therefore these loans were not assigned a reserve in the allowance for loan losses. The allowance for loan losses at September 30, 2021 included specific reserves of $222 thousand established for impaired loans. Charge-offs for the nine months ended September 30, 2021 were $977 thousand and were partially offset by recoveries of $37 thousand. At December 31, 2020, the allowance for loan losses included specific reserves of $253 thousand established for impaired loans. Charge-offs for the year ended December 31, 2020 were $1.2 million, and were partially offset by recoveries of $57 thousand. The charge-offs for the first nine months ended September 30, 2021 and for the year ended December 31, 2020 were primarily due to credit card charge-offs.</w:t>
      </w:r>
    </w:p>
    <w:p>
      <w:pPr>
        <w:spacing w:after="0" w:line="210"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Although we believe we have established the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8" w:name="page59"/>
    <w:bookmarkEnd w:id="58"/>
    <w:p>
      <w:pPr>
        <w:spacing w:after="0" w:line="18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The following table shows the allocation of the allowance for loan losses among loan categories and certain other information as of the dates indicated. The total allowance is available to absorb losses from any loan category.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ind w:left="46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6"/>
                <w:szCs w:val="16"/>
                <w:color w:val="auto"/>
              </w:rPr>
            </w:pPr>
          </w:p>
        </w:tc>
        <w:tc>
          <w:tcPr>
            <w:tcW w:w="2460" w:type="dxa"/>
            <w:vAlign w:val="bottom"/>
            <w:gridSpan w:val="3"/>
          </w:tcPr>
          <w:p>
            <w:pPr>
              <w:jc w:val="right"/>
              <w:ind w:right="622"/>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57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top w:val="single" w:sz="8" w:color="auto"/>
              <w:bottom w:val="single" w:sz="8" w:color="auto"/>
            </w:tcBorders>
          </w:tcPr>
          <w:p>
            <w:pPr>
              <w:jc w:val="right"/>
              <w:ind w:right="242"/>
              <w:spacing w:after="0" w:line="179"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c>
          <w:tcPr>
            <w:tcW w:w="12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top w:val="single" w:sz="8" w:color="auto"/>
              <w:bottom w:val="single" w:sz="8" w:color="auto"/>
            </w:tcBorders>
          </w:tcPr>
          <w:p>
            <w:pPr>
              <w:jc w:val="right"/>
              <w:ind w:right="242"/>
              <w:spacing w:after="0" w:line="179"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r>
      <w:tr>
        <w:trPr>
          <w:trHeight w:val="118"/>
        </w:trPr>
        <w:tc>
          <w:tcPr>
            <w:tcW w:w="576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31"/>
        </w:trPr>
        <w:tc>
          <w:tcPr>
            <w:tcW w:w="576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4"/>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6,420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7,153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2"/>
        </w:trPr>
        <w:tc>
          <w:tcPr>
            <w:tcW w:w="57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8,092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6,786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2"/>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4,872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4,595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2,128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2,417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3,224</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2,462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Other consumer</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w:t>
            </w: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0"/>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allowance for loan losses</w:t>
            </w: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24,753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23,434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620" w:hanging="296"/>
        <w:spacing w:after="0" w:line="193" w:lineRule="auto"/>
        <w:tabs>
          <w:tab w:leader="none" w:pos="620" w:val="left"/>
        </w:tabs>
        <w:numPr>
          <w:ilvl w:val="0"/>
          <w:numId w:val="13"/>
        </w:numPr>
        <w:rPr>
          <w:rFonts w:ascii="Arial" w:cs="Arial" w:eastAsia="Arial" w:hAnsi="Arial"/>
          <w:sz w:val="18"/>
          <w:szCs w:val="18"/>
          <w:color w:val="auto"/>
          <w:vertAlign w:val="superscript"/>
        </w:rPr>
      </w:pPr>
      <w:r>
        <w:rPr>
          <w:rFonts w:ascii="Arial" w:cs="Arial" w:eastAsia="Arial" w:hAnsi="Arial"/>
          <w:sz w:val="11"/>
          <w:szCs w:val="11"/>
          <w:color w:val="auto"/>
        </w:rPr>
        <w:t>Loan category as a percentage of total portfolio loans.</w:t>
      </w:r>
    </w:p>
    <w:p>
      <w:pPr>
        <w:spacing w:after="0" w:line="10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Management continues to monitor the loan portfolio for industry concentrations that may be impacted as the economy works through the impacts of COVID-19. While the Company has negligible exposure to the energy sector, shared national credits or leveraged lending, the Bank does have exposures to affected industries such as, for example, hospitality, food service and retail businesses.</w:t>
      </w:r>
    </w:p>
    <w:p>
      <w:pPr>
        <w:spacing w:after="0" w:line="206" w:lineRule="exact"/>
        <w:rPr>
          <w:sz w:val="20"/>
          <w:szCs w:val="20"/>
          <w:color w:val="auto"/>
        </w:rPr>
      </w:pPr>
    </w:p>
    <w:p>
      <w:pPr>
        <w:jc w:val="both"/>
        <w:ind w:right="20" w:firstLine="318"/>
        <w:spacing w:after="0" w:line="251" w:lineRule="auto"/>
        <w:rPr>
          <w:sz w:val="20"/>
          <w:szCs w:val="20"/>
          <w:color w:val="auto"/>
        </w:rPr>
      </w:pPr>
      <w:r>
        <w:rPr>
          <w:rFonts w:ascii="Arial" w:cs="Arial" w:eastAsia="Arial" w:hAnsi="Arial"/>
          <w:sz w:val="18"/>
          <w:szCs w:val="18"/>
          <w:color w:val="auto"/>
        </w:rPr>
        <w:t>Management has been working with customers on payment deferrals to assist companies in managing through the pandemic. The following table shows the allocation of deferred loans related to COVID-19: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Modifications</w:t>
      </w:r>
      <w:r>
        <w:rPr>
          <w:rFonts w:ascii="Arial" w:cs="Arial" w:eastAsia="Arial" w:hAnsi="Arial"/>
          <w:sz w:val="18"/>
          <w:szCs w:val="18"/>
          <w:b w:val="1"/>
          <w:bCs w:val="1"/>
          <w:color w:val="auto"/>
        </w:rPr>
        <w:t xml:space="preserve"> </w:t>
      </w:r>
      <w:r>
        <w:rPr>
          <w:rFonts w:ascii="Arial" w:cs="Arial" w:eastAsia="Arial" w:hAnsi="Arial"/>
          <w:sz w:val="22"/>
          <w:szCs w:val="22"/>
          <w:b w:val="1"/>
          <w:bCs w:val="1"/>
          <w:color w:val="auto"/>
          <w:vertAlign w:val="superscript"/>
        </w:rPr>
        <w:t>(1)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ind w:left="840"/>
              <w:spacing w:after="0"/>
              <w:rPr>
                <w:sz w:val="20"/>
                <w:szCs w:val="20"/>
                <w:color w:val="auto"/>
              </w:rPr>
            </w:pPr>
            <w:r>
              <w:rPr>
                <w:rFonts w:ascii="Arial" w:cs="Arial" w:eastAsia="Arial" w:hAnsi="Arial"/>
                <w:sz w:val="14"/>
                <w:szCs w:val="14"/>
                <w:b w:val="1"/>
                <w:bCs w:val="1"/>
                <w:color w:val="auto"/>
              </w:rPr>
              <w:t>September 30, 2021</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4"/>
                <w:szCs w:val="14"/>
                <w:color w:val="auto"/>
              </w:rPr>
            </w:pPr>
          </w:p>
        </w:tc>
        <w:tc>
          <w:tcPr>
            <w:tcW w:w="1840" w:type="dxa"/>
            <w:vAlign w:val="bottom"/>
            <w:gridSpan w:val="3"/>
          </w:tcPr>
          <w:p>
            <w:pPr>
              <w:jc w:val="right"/>
              <w:ind w:right="269"/>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79"/>
        </w:trPr>
        <w:tc>
          <w:tcPr>
            <w:tcW w:w="3800" w:type="dxa"/>
            <w:vAlign w:val="bottom"/>
          </w:tcPr>
          <w:p>
            <w:pPr>
              <w:ind w:left="20"/>
              <w:spacing w:after="0"/>
              <w:rPr>
                <w:sz w:val="20"/>
                <w:szCs w:val="20"/>
                <w:color w:val="auto"/>
              </w:rPr>
            </w:pPr>
            <w:r>
              <w:rPr>
                <w:rFonts w:ascii="Arial" w:cs="Arial" w:eastAsia="Arial" w:hAnsi="Arial"/>
                <w:sz w:val="11"/>
                <w:szCs w:val="11"/>
                <w:color w:val="auto"/>
              </w:rPr>
              <w:t>(dollars in millions)</w:t>
            </w:r>
          </w:p>
        </w:tc>
        <w:tc>
          <w:tcPr>
            <w:tcW w:w="160" w:type="dxa"/>
            <w:vAlign w:val="bottom"/>
            <w:tcBorders>
              <w:top w:val="single" w:sz="8" w:color="auto"/>
              <w:bottom w:val="single" w:sz="8" w:color="auto"/>
            </w:tcBorders>
          </w:tcPr>
          <w:p>
            <w:pPr>
              <w:spacing w:after="0"/>
              <w:rPr>
                <w:sz w:val="15"/>
                <w:szCs w:val="15"/>
                <w:color w:val="auto"/>
              </w:rPr>
            </w:pPr>
          </w:p>
        </w:tc>
        <w:tc>
          <w:tcPr>
            <w:tcW w:w="2200" w:type="dxa"/>
            <w:vAlign w:val="bottom"/>
            <w:tcBorders>
              <w:top w:val="single" w:sz="8" w:color="auto"/>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Deferred Loans</w:t>
            </w:r>
          </w:p>
        </w:tc>
        <w:tc>
          <w:tcPr>
            <w:tcW w:w="9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Sector</w:t>
            </w:r>
          </w:p>
        </w:tc>
        <w:tc>
          <w:tcPr>
            <w:tcW w:w="160" w:type="dxa"/>
            <w:vAlign w:val="bottom"/>
          </w:tcPr>
          <w:p>
            <w:pPr>
              <w:spacing w:after="0"/>
              <w:rPr>
                <w:sz w:val="12"/>
                <w:szCs w:val="12"/>
                <w:color w:val="auto"/>
              </w:rPr>
            </w:pPr>
          </w:p>
        </w:tc>
        <w:tc>
          <w:tcPr>
            <w:tcW w:w="12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9"/>
              </w:rPr>
              <w:t>Total Loans</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w:t>
            </w:r>
          </w:p>
        </w:tc>
        <w:tc>
          <w:tcPr>
            <w:tcW w:w="9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 of Loans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w:t>
            </w:r>
          </w:p>
        </w:tc>
        <w:tc>
          <w:tcPr>
            <w:tcW w:w="9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 of Loans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w:t>
            </w:r>
          </w:p>
        </w:tc>
        <w:tc>
          <w:tcPr>
            <w:tcW w:w="960" w:type="dxa"/>
            <w:vAlign w:val="bottom"/>
          </w:tcPr>
          <w:p>
            <w:pPr>
              <w:jc w:val="right"/>
              <w:ind w:right="49"/>
              <w:spacing w:after="0" w:line="139" w:lineRule="exact"/>
              <w:rPr>
                <w:sz w:val="20"/>
                <w:szCs w:val="20"/>
                <w:color w:val="auto"/>
              </w:rPr>
            </w:pPr>
            <w:r>
              <w:rPr>
                <w:rFonts w:ascii="Arial" w:cs="Arial" w:eastAsia="Arial" w:hAnsi="Arial"/>
                <w:sz w:val="14"/>
                <w:szCs w:val="14"/>
                <w:b w:val="1"/>
                <w:bCs w:val="1"/>
                <w:color w:val="auto"/>
              </w:rPr>
              <w:t># of Loans</w:t>
            </w:r>
          </w:p>
        </w:tc>
        <w:tc>
          <w:tcPr>
            <w:tcW w:w="0" w:type="dxa"/>
            <w:vAlign w:val="bottom"/>
          </w:tcPr>
          <w:p>
            <w:pPr>
              <w:spacing w:after="0"/>
              <w:rPr>
                <w:sz w:val="1"/>
                <w:szCs w:val="1"/>
                <w:color w:val="auto"/>
              </w:rPr>
            </w:pPr>
          </w:p>
        </w:tc>
      </w:tr>
      <w:tr>
        <w:trPr>
          <w:trHeight w:val="172"/>
        </w:trPr>
        <w:tc>
          <w:tcPr>
            <w:tcW w:w="3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Deferred</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79"/>
        </w:trPr>
        <w:tc>
          <w:tcPr>
            <w:tcW w:w="3800" w:type="dxa"/>
            <w:vAlign w:val="bottom"/>
          </w:tcPr>
          <w:p>
            <w:pPr>
              <w:ind w:left="20"/>
              <w:spacing w:after="0"/>
              <w:rPr>
                <w:sz w:val="20"/>
                <w:szCs w:val="20"/>
                <w:color w:val="auto"/>
              </w:rPr>
            </w:pPr>
            <w:r>
              <w:rPr>
                <w:rFonts w:ascii="Arial" w:cs="Arial" w:eastAsia="Arial" w:hAnsi="Arial"/>
                <w:sz w:val="14"/>
                <w:szCs w:val="14"/>
                <w:color w:val="auto"/>
              </w:rPr>
              <w:t>Accommodation &amp; Food Services</w:t>
            </w: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100.6</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5"/>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 and Rental Leasing</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522.8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5"/>
        </w:trPr>
        <w:tc>
          <w:tcPr>
            <w:tcW w:w="3800" w:type="dxa"/>
            <w:vAlign w:val="bottom"/>
          </w:tcPr>
          <w:p>
            <w:pPr>
              <w:ind w:left="20"/>
              <w:spacing w:after="0"/>
              <w:rPr>
                <w:sz w:val="20"/>
                <w:szCs w:val="20"/>
                <w:color w:val="auto"/>
              </w:rPr>
            </w:pPr>
            <w:r>
              <w:rPr>
                <w:rFonts w:ascii="Arial" w:cs="Arial" w:eastAsia="Arial" w:hAnsi="Arial"/>
                <w:sz w:val="14"/>
                <w:szCs w:val="14"/>
                <w:color w:val="auto"/>
              </w:rPr>
              <w:t>Other Services Including Private Households</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170.9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5"/>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Educational Services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80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259.1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Scientific, and Technical Services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3800" w:type="dxa"/>
            <w:vAlign w:val="bottom"/>
          </w:tcPr>
          <w:p>
            <w:pPr>
              <w:ind w:left="20"/>
              <w:spacing w:after="0"/>
              <w:rPr>
                <w:sz w:val="20"/>
                <w:szCs w:val="20"/>
                <w:color w:val="auto"/>
              </w:rPr>
            </w:pPr>
            <w:r>
              <w:rPr>
                <w:rFonts w:ascii="Arial" w:cs="Arial" w:eastAsia="Arial" w:hAnsi="Arial"/>
                <w:sz w:val="14"/>
                <w:szCs w:val="14"/>
                <w:color w:val="auto"/>
              </w:rPr>
              <w:t>Arts, Entertainment &amp; Recreation</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Retail Trade</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800" w:type="dxa"/>
            <w:vAlign w:val="bottom"/>
          </w:tcPr>
          <w:p>
            <w:pPr>
              <w:ind w:left="20"/>
              <w:spacing w:after="0"/>
              <w:rPr>
                <w:sz w:val="20"/>
                <w:szCs w:val="20"/>
                <w:color w:val="auto"/>
              </w:rPr>
            </w:pPr>
            <w:r>
              <w:rPr>
                <w:rFonts w:ascii="Arial" w:cs="Arial" w:eastAsia="Arial" w:hAnsi="Arial"/>
                <w:sz w:val="14"/>
                <w:szCs w:val="14"/>
                <w:color w:val="auto"/>
              </w:rPr>
              <w:t>Healthcare &amp; Social Assistance</w:t>
            </w:r>
          </w:p>
        </w:tc>
        <w:tc>
          <w:tcPr>
            <w:tcW w:w="160" w:type="dxa"/>
            <w:vAlign w:val="bottom"/>
          </w:tcPr>
          <w:p>
            <w:pPr>
              <w:spacing w:after="0"/>
              <w:rPr>
                <w:sz w:val="16"/>
                <w:szCs w:val="16"/>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85.7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Wholesale Trade</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800" w:type="dxa"/>
            <w:vAlign w:val="bottom"/>
            <w:tcBorders>
              <w:bottom w:val="single" w:sz="8" w:color="CCEEFF"/>
            </w:tcBorders>
          </w:tcPr>
          <w:p>
            <w:pPr>
              <w:ind w:left="20"/>
              <w:spacing w:after="0" w:line="186" w:lineRule="exact"/>
              <w:rPr>
                <w:sz w:val="20"/>
                <w:szCs w:val="20"/>
                <w:color w:val="auto"/>
              </w:rPr>
            </w:pPr>
            <w:r>
              <w:rPr>
                <w:rFonts w:ascii="Arial" w:cs="Arial" w:eastAsia="Arial" w:hAnsi="Arial"/>
                <w:sz w:val="14"/>
                <w:szCs w:val="14"/>
                <w:color w:val="auto"/>
              </w:rPr>
              <w:t xml:space="preserve">All other </w:t>
            </w:r>
            <w:r>
              <w:rPr>
                <w:rFonts w:ascii="Arial" w:cs="Arial" w:eastAsia="Arial" w:hAnsi="Arial"/>
                <w:sz w:val="18"/>
                <w:szCs w:val="18"/>
                <w:color w:val="auto"/>
                <w:vertAlign w:val="superscript"/>
              </w:rPr>
              <w:t>(1)</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295.1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0.5</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4"/>
        </w:trPr>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1,582.3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7.3</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30.3</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hanging="634"/>
        <w:spacing w:after="0" w:line="231" w:lineRule="auto"/>
        <w:tabs>
          <w:tab w:leader="none" w:pos="640" w:val="left"/>
        </w:tabs>
        <w:numPr>
          <w:ilvl w:val="0"/>
          <w:numId w:val="14"/>
        </w:numPr>
        <w:rPr>
          <w:rFonts w:ascii="Arial" w:cs="Arial" w:eastAsia="Arial" w:hAnsi="Arial"/>
          <w:sz w:val="16"/>
          <w:szCs w:val="16"/>
          <w:color w:val="auto"/>
          <w:vertAlign w:val="superscript"/>
        </w:rPr>
      </w:pPr>
      <w:r>
        <w:rPr>
          <w:rFonts w:ascii="Arial" w:cs="Arial" w:eastAsia="Arial" w:hAnsi="Arial"/>
          <w:sz w:val="11"/>
          <w:szCs w:val="11"/>
          <w:color w:val="auto"/>
        </w:rPr>
        <w:t>Loans outstanding include PPP loans; modifications and deferrals made for OpenSky</w:t>
      </w:r>
      <w:r>
        <w:rPr>
          <w:rFonts w:ascii="Arial" w:cs="Arial" w:eastAsia="Arial" w:hAnsi="Arial"/>
          <w:sz w:val="6"/>
          <w:szCs w:val="6"/>
          <w:color w:val="auto"/>
        </w:rPr>
        <w:t>®</w:t>
      </w:r>
      <w:r>
        <w:rPr>
          <w:rFonts w:ascii="Arial" w:cs="Arial" w:eastAsia="Arial" w:hAnsi="Arial"/>
          <w:sz w:val="11"/>
          <w:szCs w:val="11"/>
          <w:color w:val="auto"/>
        </w:rPr>
        <w:t xml:space="preserve"> secured card customers are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83"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Outstanding deferred loans decreased $23.0 million, or 75.9 percent, from September 30, 2020 to September 30, 2021. Loans that have been removed from deferred status have returned to original payment terms.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35" w:lineRule="exact"/>
        <w:rPr>
          <w:sz w:val="20"/>
          <w:szCs w:val="20"/>
          <w:color w:val="auto"/>
        </w:rPr>
      </w:pPr>
    </w:p>
    <w:p>
      <w:pPr>
        <w:jc w:val="both"/>
        <w:ind w:right="140" w:firstLine="318"/>
        <w:spacing w:after="0" w:line="239"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 bearing demand, savings, money market and time accounts, all of which we actively market at competitive pricing. We generate deposits from our customers on a relationship basis and through the efforts of our commercial lending officers and our business banking officers. Our credit card customers are a significant source of noninterest bearing deposits and accounted for $242.4 million, or 29.1%, of our total noninterest bearing deposit balances as of September 30, 2021, an increase of $49.9 million from December 31, 2020. At September 30, 2021, noninterest bearing deposits amounted to $833.2 million, an increase of $224.6 million, or 36.9%, compared to the level at December 31, 2020 due in large part to an increase of $43.4 million in fiduciary accounts and the above noted increase in deposits generated by 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secured credit card program. If needed, we supplement our deposits with wholesale funding sources such as brokered deposits.</w:t>
      </w:r>
    </w:p>
    <w:p>
      <w:pPr>
        <w:spacing w:after="0" w:line="213"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Interest bearing deposits increased $44.5 million, or 4.3%, from December 31, 2020 to September 30, 2021 due primarily to the increases in interest bearing demand deposits of $112.7 million, or 43.8%, and money market deposits of $46.0 million, or 10.3%, which were offset by a decrease in time deposits of $116.0 million, or 34.7 percent. The Company continues to execute on its strategic initiative to improve the deposit portfolio mix from wholesale deposits to core deposits including noninterest bearing deposits. The decrease in certificates of deposit was primarily attributable to the decrease in listing service deposits of $53.1 million and brokered deposits of $29.5 million when comparing December 31, 2020 to September 30, 2021.</w:t>
      </w:r>
    </w:p>
    <w:p>
      <w:pPr>
        <w:spacing w:after="0" w:line="21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average rate paid on interest bearing deposits decreased 56 basis points from 1.18% for the year ended December 31, 2020 to 0.62% for the nine months ended September 30, 2021. Rates paid on certificates of deposit decreased 46 basis points over the same period. The decrease in the average rates reflects decreases in market interest rates and the reduction of higher rate balances.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COMPOSITION OF AVERAGE DEPOSITS</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500" w:type="dxa"/>
            <w:vAlign w:val="bottom"/>
          </w:tcPr>
          <w:p>
            <w:pPr>
              <w:spacing w:after="0"/>
              <w:rPr>
                <w:sz w:val="14"/>
                <w:szCs w:val="14"/>
                <w:color w:val="auto"/>
              </w:rPr>
            </w:pPr>
          </w:p>
        </w:tc>
        <w:tc>
          <w:tcPr>
            <w:tcW w:w="2700" w:type="dxa"/>
            <w:vAlign w:val="bottom"/>
            <w:gridSpan w:val="2"/>
            <w:vMerge w:val="restart"/>
          </w:tcPr>
          <w:p>
            <w:pPr>
              <w:ind w:left="120"/>
              <w:spacing w:after="0"/>
              <w:rPr>
                <w:sz w:val="20"/>
                <w:szCs w:val="20"/>
                <w:color w:val="auto"/>
              </w:rPr>
            </w:pPr>
            <w:r>
              <w:rPr>
                <w:rFonts w:ascii="Arial" w:cs="Arial" w:eastAsia="Arial" w:hAnsi="Arial"/>
                <w:sz w:val="14"/>
                <w:szCs w:val="14"/>
                <w:color w:val="auto"/>
              </w:rPr>
              <w:t>For the Year Ended December 31, 2020</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20" w:type="dxa"/>
            <w:vAlign w:val="bottom"/>
            <w:gridSpan w:val="2"/>
          </w:tcPr>
          <w:p>
            <w:pPr>
              <w:jc w:val="right"/>
              <w:ind w:right="920"/>
              <w:spacing w:after="0" w:line="139" w:lineRule="exact"/>
              <w:rPr>
                <w:sz w:val="20"/>
                <w:szCs w:val="20"/>
                <w:color w:val="auto"/>
              </w:rPr>
            </w:pPr>
            <w:r>
              <w:rPr>
                <w:rFonts w:ascii="Arial" w:cs="Arial" w:eastAsia="Arial" w:hAnsi="Arial"/>
                <w:sz w:val="14"/>
                <w:szCs w:val="14"/>
                <w:b w:val="1"/>
                <w:bCs w:val="1"/>
                <w:color w:val="auto"/>
              </w:rPr>
              <w:t>Average</w:t>
            </w:r>
          </w:p>
        </w:tc>
        <w:tc>
          <w:tcPr>
            <w:tcW w:w="980" w:type="dxa"/>
            <w:vAlign w:val="bottom"/>
          </w:tcPr>
          <w:p>
            <w:pPr>
              <w:jc w:val="center"/>
              <w:ind w:left="103"/>
              <w:spacing w:after="0" w:line="139"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jc w:val="right"/>
              <w:ind w:right="343"/>
              <w:spacing w:after="0" w:line="139" w:lineRule="exact"/>
              <w:rPr>
                <w:sz w:val="20"/>
                <w:szCs w:val="20"/>
                <w:color w:val="auto"/>
              </w:rPr>
            </w:pPr>
            <w:r>
              <w:rPr>
                <w:rFonts w:ascii="Arial" w:cs="Arial" w:eastAsia="Arial" w:hAnsi="Arial"/>
                <w:sz w:val="14"/>
                <w:szCs w:val="14"/>
                <w:color w:val="auto"/>
              </w:rPr>
              <w:t>Average</w:t>
            </w:r>
          </w:p>
        </w:tc>
        <w:tc>
          <w:tcPr>
            <w:tcW w:w="1540" w:type="dxa"/>
            <w:vAlign w:val="bottom"/>
          </w:tcPr>
          <w:p>
            <w:pPr>
              <w:jc w:val="center"/>
              <w:ind w:left="543"/>
              <w:spacing w:after="0" w:line="139" w:lineRule="exact"/>
              <w:rPr>
                <w:sz w:val="20"/>
                <w:szCs w:val="20"/>
                <w:color w:val="auto"/>
              </w:rPr>
            </w:pPr>
            <w:r>
              <w:rPr>
                <w:rFonts w:ascii="Arial" w:cs="Arial" w:eastAsia="Arial" w:hAnsi="Arial"/>
                <w:sz w:val="14"/>
                <w:szCs w:val="14"/>
                <w:color w:val="auto"/>
                <w:w w:val="99"/>
              </w:rPr>
              <w:t>Average</w:t>
            </w: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1060"/>
              <w:spacing w:after="0"/>
              <w:rPr>
                <w:sz w:val="20"/>
                <w:szCs w:val="20"/>
                <w:color w:val="auto"/>
              </w:rPr>
            </w:pPr>
            <w:r>
              <w:rPr>
                <w:rFonts w:ascii="Arial" w:cs="Arial" w:eastAsia="Arial" w:hAnsi="Arial"/>
                <w:sz w:val="14"/>
                <w:szCs w:val="14"/>
                <w:b w:val="1"/>
                <w:bCs w:val="1"/>
                <w:color w:val="auto"/>
              </w:rPr>
              <w:t>Balance</w:t>
            </w: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Balance</w:t>
            </w:r>
          </w:p>
        </w:tc>
        <w:tc>
          <w:tcPr>
            <w:tcW w:w="154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18"/>
        </w:trPr>
        <w:tc>
          <w:tcPr>
            <w:tcW w:w="428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bearing demand accounts</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280,305</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123"/>
              <w:spacing w:after="0"/>
              <w:rPr>
                <w:sz w:val="20"/>
                <w:szCs w:val="20"/>
                <w:color w:val="auto"/>
              </w:rPr>
            </w:pPr>
            <w:r>
              <w:rPr>
                <w:rFonts w:ascii="Arial" w:cs="Arial" w:eastAsia="Arial" w:hAnsi="Arial"/>
                <w:sz w:val="16"/>
                <w:szCs w:val="16"/>
                <w:b w:val="1"/>
                <w:bCs w:val="1"/>
                <w:color w:val="auto"/>
                <w:w w:val="96"/>
              </w:rPr>
              <w:t>0.08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195,794</w:t>
            </w:r>
          </w:p>
        </w:tc>
        <w:tc>
          <w:tcPr>
            <w:tcW w:w="1540" w:type="dxa"/>
            <w:vAlign w:val="bottom"/>
            <w:shd w:val="clear" w:color="auto" w:fill="CCEEFF"/>
          </w:tcPr>
          <w:p>
            <w:pPr>
              <w:jc w:val="center"/>
              <w:ind w:left="543"/>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6"/>
                <w:szCs w:val="16"/>
                <w:color w:val="auto"/>
              </w:rPr>
              <w:t>Money market accounts</w:t>
            </w:r>
          </w:p>
        </w:tc>
        <w:tc>
          <w:tcPr>
            <w:tcW w:w="440" w:type="dxa"/>
            <w:vAlign w:val="bottom"/>
          </w:tcPr>
          <w:p>
            <w:pPr>
              <w:spacing w:after="0"/>
              <w:rPr>
                <w:sz w:val="18"/>
                <w:szCs w:val="18"/>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b w:val="1"/>
                <w:bCs w:val="1"/>
                <w:color w:val="auto"/>
              </w:rPr>
              <w:t>475,875</w:t>
            </w:r>
          </w:p>
        </w:tc>
        <w:tc>
          <w:tcPr>
            <w:tcW w:w="500" w:type="dxa"/>
            <w:vAlign w:val="bottom"/>
          </w:tcPr>
          <w:p>
            <w:pPr>
              <w:spacing w:after="0"/>
              <w:rPr>
                <w:sz w:val="18"/>
                <w:szCs w:val="18"/>
                <w:color w:val="auto"/>
              </w:rPr>
            </w:pPr>
          </w:p>
        </w:tc>
        <w:tc>
          <w:tcPr>
            <w:tcW w:w="980" w:type="dxa"/>
            <w:vAlign w:val="bottom"/>
          </w:tcPr>
          <w:p>
            <w:pPr>
              <w:jc w:val="center"/>
              <w:ind w:left="123"/>
              <w:spacing w:after="0"/>
              <w:rPr>
                <w:sz w:val="20"/>
                <w:szCs w:val="20"/>
                <w:color w:val="auto"/>
              </w:rPr>
            </w:pPr>
            <w:r>
              <w:rPr>
                <w:rFonts w:ascii="Arial" w:cs="Arial" w:eastAsia="Arial" w:hAnsi="Arial"/>
                <w:sz w:val="16"/>
                <w:szCs w:val="16"/>
                <w:b w:val="1"/>
                <w:bCs w:val="1"/>
                <w:color w:val="auto"/>
                <w:w w:val="96"/>
              </w:rPr>
              <w:t>0.34</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480,218</w:t>
            </w:r>
          </w:p>
        </w:tc>
        <w:tc>
          <w:tcPr>
            <w:tcW w:w="1540" w:type="dxa"/>
            <w:vAlign w:val="bottom"/>
          </w:tcPr>
          <w:p>
            <w:pPr>
              <w:jc w:val="center"/>
              <w:ind w:left="543"/>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Savings accounts</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6,435</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123"/>
              <w:spacing w:after="0"/>
              <w:rPr>
                <w:sz w:val="20"/>
                <w:szCs w:val="20"/>
                <w:color w:val="auto"/>
              </w:rPr>
            </w:pPr>
            <w:r>
              <w:rPr>
                <w:rFonts w:ascii="Arial" w:cs="Arial" w:eastAsia="Arial" w:hAnsi="Arial"/>
                <w:sz w:val="16"/>
                <w:szCs w:val="16"/>
                <w:b w:val="1"/>
                <w:bCs w:val="1"/>
                <w:color w:val="auto"/>
                <w:w w:val="96"/>
              </w:rPr>
              <w:t>0.05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4,722</w:t>
            </w:r>
          </w:p>
        </w:tc>
        <w:tc>
          <w:tcPr>
            <w:tcW w:w="1540" w:type="dxa"/>
            <w:vAlign w:val="bottom"/>
            <w:shd w:val="clear" w:color="auto" w:fill="CCEEFF"/>
          </w:tcPr>
          <w:p>
            <w:pPr>
              <w:jc w:val="center"/>
              <w:ind w:left="543"/>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2"/>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Certificates of deposit</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295,705</w:t>
            </w:r>
          </w:p>
        </w:tc>
        <w:tc>
          <w:tcPr>
            <w:tcW w:w="5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center"/>
              <w:ind w:left="123"/>
              <w:spacing w:after="0"/>
              <w:rPr>
                <w:sz w:val="20"/>
                <w:szCs w:val="20"/>
                <w:color w:val="auto"/>
              </w:rPr>
            </w:pPr>
            <w:r>
              <w:rPr>
                <w:rFonts w:ascii="Arial" w:cs="Arial" w:eastAsia="Arial" w:hAnsi="Arial"/>
                <w:sz w:val="16"/>
                <w:szCs w:val="16"/>
                <w:b w:val="1"/>
                <w:bCs w:val="1"/>
                <w:color w:val="auto"/>
                <w:w w:val="96"/>
              </w:rPr>
              <w:t>1.58</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297,997</w:t>
            </w:r>
          </w:p>
        </w:tc>
        <w:tc>
          <w:tcPr>
            <w:tcW w:w="1540" w:type="dxa"/>
            <w:vAlign w:val="bottom"/>
            <w:tcBorders>
              <w:bottom w:val="single" w:sz="8" w:color="CCEEFF"/>
            </w:tcBorders>
          </w:tcPr>
          <w:p>
            <w:pPr>
              <w:jc w:val="center"/>
              <w:ind w:left="543"/>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interest bearing deposits</w:t>
            </w:r>
          </w:p>
        </w:tc>
        <w:tc>
          <w:tcPr>
            <w:tcW w:w="4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1,058,320</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123"/>
              <w:spacing w:after="0"/>
              <w:rPr>
                <w:sz w:val="20"/>
                <w:szCs w:val="20"/>
                <w:color w:val="auto"/>
              </w:rPr>
            </w:pPr>
            <w:r>
              <w:rPr>
                <w:rFonts w:ascii="Arial" w:cs="Arial" w:eastAsia="Arial" w:hAnsi="Arial"/>
                <w:sz w:val="16"/>
                <w:szCs w:val="16"/>
                <w:b w:val="1"/>
                <w:bCs w:val="1"/>
                <w:color w:val="auto"/>
                <w:w w:val="96"/>
              </w:rPr>
              <w:t>0.62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978,731</w:t>
            </w:r>
          </w:p>
        </w:tc>
        <w:tc>
          <w:tcPr>
            <w:tcW w:w="1540" w:type="dxa"/>
            <w:vAlign w:val="bottom"/>
            <w:shd w:val="clear" w:color="auto" w:fill="CCEEFF"/>
          </w:tcPr>
          <w:p>
            <w:pPr>
              <w:jc w:val="center"/>
              <w:ind w:left="543"/>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5"/>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 bearing demand accounts</w:t>
            </w: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735,509</w:t>
            </w:r>
          </w:p>
        </w:tc>
        <w:tc>
          <w:tcPr>
            <w:tcW w:w="5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473,301</w:t>
            </w:r>
          </w:p>
        </w:tc>
        <w:tc>
          <w:tcPr>
            <w:tcW w:w="15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deposits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1,793,829</w:t>
            </w: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center"/>
              <w:ind w:left="123"/>
              <w:spacing w:after="0"/>
              <w:rPr>
                <w:sz w:val="20"/>
                <w:szCs w:val="20"/>
                <w:color w:val="auto"/>
              </w:rPr>
            </w:pPr>
            <w:r>
              <w:rPr>
                <w:rFonts w:ascii="Arial" w:cs="Arial" w:eastAsia="Arial" w:hAnsi="Arial"/>
                <w:sz w:val="16"/>
                <w:szCs w:val="16"/>
                <w:b w:val="1"/>
                <w:bCs w:val="1"/>
                <w:color w:val="auto"/>
                <w:w w:val="96"/>
              </w:rPr>
              <w:t>0.36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1,452,032</w:t>
            </w:r>
          </w:p>
        </w:tc>
        <w:tc>
          <w:tcPr>
            <w:tcW w:w="1540" w:type="dxa"/>
            <w:vAlign w:val="bottom"/>
            <w:tcBorders>
              <w:bottom w:val="single" w:sz="8" w:color="CCEEFF"/>
            </w:tcBorders>
            <w:shd w:val="clear" w:color="auto" w:fill="CCEEFF"/>
          </w:tcPr>
          <w:p>
            <w:pPr>
              <w:jc w:val="center"/>
              <w:ind w:left="543"/>
              <w:spacing w:after="0"/>
              <w:rPr>
                <w:sz w:val="20"/>
                <w:szCs w:val="20"/>
                <w:color w:val="auto"/>
              </w:rPr>
            </w:pPr>
            <w:r>
              <w:rPr>
                <w:rFonts w:ascii="Arial" w:cs="Arial" w:eastAsia="Arial" w:hAnsi="Arial"/>
                <w:sz w:val="16"/>
                <w:szCs w:val="16"/>
                <w:color w:val="auto"/>
              </w:rPr>
              <w:t>0.79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maturities of our certificates of deposit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0" w:name="page61"/>
    <w:bookmarkEnd w:id="60"/>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Over</w:t>
            </w:r>
          </w:p>
        </w:tc>
        <w:tc>
          <w:tcPr>
            <w:tcW w:w="46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Over Six</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Three</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9"/>
              </w:rPr>
              <w:t>Three</w:t>
            </w:r>
          </w:p>
        </w:tc>
        <w:tc>
          <w:tcPr>
            <w:tcW w:w="4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Over</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Through</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Through</w:t>
            </w:r>
          </w:p>
        </w:tc>
        <w:tc>
          <w:tcPr>
            <w:tcW w:w="4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64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rPr>
              <w:t>Months or</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Six</w:t>
            </w:r>
          </w:p>
        </w:tc>
        <w:tc>
          <w:tcPr>
            <w:tcW w:w="460" w:type="dxa"/>
            <w:vAlign w:val="bottom"/>
          </w:tcPr>
          <w:p>
            <w:pPr>
              <w:spacing w:after="0"/>
              <w:rPr>
                <w:sz w:val="11"/>
                <w:szCs w:val="11"/>
                <w:color w:val="auto"/>
              </w:rPr>
            </w:pPr>
          </w:p>
        </w:tc>
        <w:tc>
          <w:tcPr>
            <w:tcW w:w="11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8"/>
              </w:rPr>
              <w:t>Twelve</w:t>
            </w:r>
          </w:p>
        </w:tc>
        <w:tc>
          <w:tcPr>
            <w:tcW w:w="4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Twelve</w:t>
            </w:r>
          </w:p>
        </w:tc>
        <w:tc>
          <w:tcPr>
            <w:tcW w:w="600" w:type="dxa"/>
            <w:vAlign w:val="bottom"/>
          </w:tcPr>
          <w:p>
            <w:pPr>
              <w:spacing w:after="0"/>
              <w:rPr>
                <w:sz w:val="11"/>
                <w:szCs w:val="11"/>
                <w:color w:val="auto"/>
              </w:rPr>
            </w:pPr>
          </w:p>
        </w:tc>
        <w:tc>
          <w:tcPr>
            <w:tcW w:w="8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0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rPr>
              <w:t>Less</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Months</w:t>
            </w: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Months</w:t>
            </w: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Months</w:t>
            </w: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04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$100,000 or more</w:t>
            </w:r>
          </w:p>
        </w:tc>
        <w:tc>
          <w:tcPr>
            <w:tcW w:w="5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48,658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23,483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83,237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185,03</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Less than $100,000</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10,407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9,210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4,888</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33,48</w:t>
            </w:r>
          </w:p>
        </w:tc>
        <w:tc>
          <w:tcPr>
            <w:tcW w:w="0" w:type="dxa"/>
            <w:vAlign w:val="bottom"/>
          </w:tcPr>
          <w:p>
            <w:pPr>
              <w:spacing w:after="0"/>
              <w:rPr>
                <w:sz w:val="1"/>
                <w:szCs w:val="1"/>
                <w:color w:val="auto"/>
              </w:rPr>
            </w:pPr>
          </w:p>
        </w:tc>
      </w:tr>
      <w:tr>
        <w:trPr>
          <w:trHeight w:val="233"/>
        </w:trPr>
        <w:tc>
          <w:tcPr>
            <w:tcW w:w="3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59,065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32,693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88,125</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3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We primarily utilize short-term and long-term borrowings to supplement deposits to fund our lending and investment activities, each of which is discussed below.</w:t>
      </w:r>
    </w:p>
    <w:p>
      <w:pPr>
        <w:spacing w:after="0" w:line="185" w:lineRule="exact"/>
        <w:rPr>
          <w:sz w:val="20"/>
          <w:szCs w:val="20"/>
          <w:color w:val="auto"/>
        </w:rPr>
      </w:pPr>
    </w:p>
    <w:p>
      <w:pPr>
        <w:jc w:val="both"/>
        <w:ind w:right="100" w:firstLine="318"/>
        <w:spacing w:after="0" w:line="254"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loans. As of September 30, 2021, approximately $199.5 million in real estate loans pledged as collateral to the FHLB support a $530.1 million line of credit. We utilize these borrowings to meet liquidity needs and to fund certain fixed rate loans in our portfolio. As of September 30, 2021, we had $22.0 million in outstanding advances and our available borrowing capacity at the FHLB was $177.5 million.</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certain information on our FHLB borrowings during the periods presented:</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FHLB ADVANCES</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3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For the Nine Months Ended September</w:t>
            </w:r>
          </w:p>
        </w:tc>
        <w:tc>
          <w:tcPr>
            <w:tcW w:w="27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For the Year Ended December 31, 20</w:t>
            </w:r>
          </w:p>
        </w:tc>
        <w:tc>
          <w:tcPr>
            <w:tcW w:w="0" w:type="dxa"/>
            <w:vAlign w:val="bottom"/>
          </w:tcPr>
          <w:p>
            <w:pPr>
              <w:spacing w:after="0"/>
              <w:rPr>
                <w:sz w:val="1"/>
                <w:szCs w:val="1"/>
                <w:color w:val="auto"/>
              </w:rPr>
            </w:pPr>
          </w:p>
        </w:tc>
      </w:tr>
      <w:tr>
        <w:trPr>
          <w:trHeight w:val="172"/>
        </w:trPr>
        <w:tc>
          <w:tcPr>
            <w:tcW w:w="49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30, 2021</w:t>
            </w:r>
          </w:p>
        </w:tc>
        <w:tc>
          <w:tcPr>
            <w:tcW w:w="5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98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8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Amount outstanding at period-end</w:t>
            </w:r>
          </w:p>
        </w:tc>
        <w:tc>
          <w:tcPr>
            <w:tcW w:w="860" w:type="dxa"/>
            <w:vAlign w:val="bottom"/>
            <w:shd w:val="clear" w:color="auto" w:fill="CCEEFF"/>
          </w:tcPr>
          <w:p>
            <w:pPr>
              <w:jc w:val="right"/>
              <w:ind w:right="343"/>
              <w:spacing w:after="0"/>
              <w:rPr>
                <w:sz w:val="20"/>
                <w:szCs w:val="20"/>
                <w:color w:val="auto"/>
              </w:rPr>
            </w:pPr>
            <w:r>
              <w:rPr>
                <w:rFonts w:ascii="Arial" w:cs="Arial" w:eastAsia="Arial" w:hAnsi="Arial"/>
                <w:sz w:val="16"/>
                <w:szCs w:val="16"/>
                <w:b w:val="1"/>
                <w:bCs w:val="1"/>
                <w:color w:val="auto"/>
              </w:rPr>
              <w:t>$</w:t>
            </w:r>
          </w:p>
        </w:tc>
        <w:tc>
          <w:tcPr>
            <w:tcW w:w="19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22,000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22,000</w:t>
            </w:r>
          </w:p>
        </w:tc>
        <w:tc>
          <w:tcPr>
            <w:tcW w:w="0" w:type="dxa"/>
            <w:vAlign w:val="bottom"/>
          </w:tcPr>
          <w:p>
            <w:pPr>
              <w:spacing w:after="0"/>
              <w:rPr>
                <w:sz w:val="1"/>
                <w:szCs w:val="1"/>
                <w:color w:val="auto"/>
              </w:rPr>
            </w:pPr>
          </w:p>
        </w:tc>
      </w:tr>
      <w:tr>
        <w:trPr>
          <w:trHeight w:val="212"/>
        </w:trPr>
        <w:tc>
          <w:tcPr>
            <w:tcW w:w="4980" w:type="dxa"/>
            <w:vAlign w:val="bottom"/>
          </w:tcPr>
          <w:p>
            <w:pPr>
              <w:ind w:left="340"/>
              <w:spacing w:after="0"/>
              <w:rPr>
                <w:sz w:val="20"/>
                <w:szCs w:val="20"/>
                <w:color w:val="auto"/>
              </w:rPr>
            </w:pPr>
            <w:r>
              <w:rPr>
                <w:rFonts w:ascii="Arial" w:cs="Arial" w:eastAsia="Arial" w:hAnsi="Arial"/>
                <w:sz w:val="16"/>
                <w:szCs w:val="16"/>
                <w:color w:val="auto"/>
              </w:rPr>
              <w:t>Weighted average interest rate at period-end</w:t>
            </w:r>
          </w:p>
        </w:tc>
        <w:tc>
          <w:tcPr>
            <w:tcW w:w="860" w:type="dxa"/>
            <w:vAlign w:val="bottom"/>
          </w:tcPr>
          <w:p>
            <w:pPr>
              <w:spacing w:after="0"/>
              <w:rPr>
                <w:sz w:val="18"/>
                <w:szCs w:val="18"/>
                <w:color w:val="auto"/>
              </w:rPr>
            </w:pPr>
          </w:p>
        </w:tc>
        <w:tc>
          <w:tcPr>
            <w:tcW w:w="1900" w:type="dxa"/>
            <w:vAlign w:val="bottom"/>
          </w:tcPr>
          <w:p>
            <w:pPr>
              <w:jc w:val="right"/>
              <w:ind w:right="102"/>
              <w:spacing w:after="0"/>
              <w:rPr>
                <w:sz w:val="20"/>
                <w:szCs w:val="20"/>
                <w:color w:val="auto"/>
              </w:rPr>
            </w:pPr>
            <w:r>
              <w:rPr>
                <w:rFonts w:ascii="Arial" w:cs="Arial" w:eastAsia="Arial" w:hAnsi="Arial"/>
                <w:sz w:val="16"/>
                <w:szCs w:val="16"/>
                <w:b w:val="1"/>
                <w:bCs w:val="1"/>
                <w:color w:val="auto"/>
              </w:rPr>
              <w:t>0.93</w:t>
            </w:r>
          </w:p>
        </w:tc>
        <w:tc>
          <w:tcPr>
            <w:tcW w:w="56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spacing w:after="0"/>
              <w:rPr>
                <w:sz w:val="18"/>
                <w:szCs w:val="18"/>
                <w:color w:val="auto"/>
              </w:rPr>
            </w:pP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Maximum month-end balance during the period</w:t>
            </w:r>
          </w:p>
        </w:tc>
        <w:tc>
          <w:tcPr>
            <w:tcW w:w="860" w:type="dxa"/>
            <w:vAlign w:val="bottom"/>
            <w:shd w:val="clear" w:color="auto" w:fill="CCEEFF"/>
          </w:tcPr>
          <w:p>
            <w:pPr>
              <w:jc w:val="right"/>
              <w:ind w:right="343"/>
              <w:spacing w:after="0"/>
              <w:rPr>
                <w:sz w:val="20"/>
                <w:szCs w:val="20"/>
                <w:color w:val="auto"/>
              </w:rPr>
            </w:pPr>
            <w:r>
              <w:rPr>
                <w:rFonts w:ascii="Arial" w:cs="Arial" w:eastAsia="Arial" w:hAnsi="Arial"/>
                <w:sz w:val="16"/>
                <w:szCs w:val="16"/>
                <w:b w:val="1"/>
                <w:bCs w:val="1"/>
                <w:color w:val="auto"/>
              </w:rPr>
              <w:t>$</w:t>
            </w:r>
          </w:p>
        </w:tc>
        <w:tc>
          <w:tcPr>
            <w:tcW w:w="19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22,000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31,111</w:t>
            </w:r>
          </w:p>
        </w:tc>
        <w:tc>
          <w:tcPr>
            <w:tcW w:w="0" w:type="dxa"/>
            <w:vAlign w:val="bottom"/>
          </w:tcPr>
          <w:p>
            <w:pPr>
              <w:spacing w:after="0"/>
              <w:rPr>
                <w:sz w:val="1"/>
                <w:szCs w:val="1"/>
                <w:color w:val="auto"/>
              </w:rPr>
            </w:pPr>
          </w:p>
        </w:tc>
      </w:tr>
      <w:tr>
        <w:trPr>
          <w:trHeight w:val="212"/>
        </w:trPr>
        <w:tc>
          <w:tcPr>
            <w:tcW w:w="4980" w:type="dxa"/>
            <w:vAlign w:val="bottom"/>
          </w:tcPr>
          <w:p>
            <w:pPr>
              <w:ind w:left="340"/>
              <w:spacing w:after="0"/>
              <w:rPr>
                <w:sz w:val="20"/>
                <w:szCs w:val="20"/>
                <w:color w:val="auto"/>
              </w:rPr>
            </w:pPr>
            <w:r>
              <w:rPr>
                <w:rFonts w:ascii="Arial" w:cs="Arial" w:eastAsia="Arial" w:hAnsi="Arial"/>
                <w:sz w:val="16"/>
                <w:szCs w:val="16"/>
                <w:color w:val="auto"/>
              </w:rPr>
              <w:t>Average balance outstanding during the period</w:t>
            </w:r>
          </w:p>
        </w:tc>
        <w:tc>
          <w:tcPr>
            <w:tcW w:w="860" w:type="dxa"/>
            <w:vAlign w:val="bottom"/>
          </w:tcPr>
          <w:p>
            <w:pPr>
              <w:jc w:val="right"/>
              <w:ind w:right="343"/>
              <w:spacing w:after="0"/>
              <w:rPr>
                <w:sz w:val="20"/>
                <w:szCs w:val="20"/>
                <w:color w:val="auto"/>
              </w:rPr>
            </w:pPr>
            <w:r>
              <w:rPr>
                <w:rFonts w:ascii="Arial" w:cs="Arial" w:eastAsia="Arial" w:hAnsi="Arial"/>
                <w:sz w:val="16"/>
                <w:szCs w:val="16"/>
                <w:b w:val="1"/>
                <w:bCs w:val="1"/>
                <w:color w:val="auto"/>
              </w:rPr>
              <w:t>$</w:t>
            </w:r>
          </w:p>
        </w:tc>
        <w:tc>
          <w:tcPr>
            <w:tcW w:w="1900" w:type="dxa"/>
            <w:vAlign w:val="bottom"/>
          </w:tcPr>
          <w:p>
            <w:pPr>
              <w:jc w:val="right"/>
              <w:ind w:right="102"/>
              <w:spacing w:after="0"/>
              <w:rPr>
                <w:sz w:val="20"/>
                <w:szCs w:val="20"/>
                <w:color w:val="auto"/>
              </w:rPr>
            </w:pPr>
            <w:r>
              <w:rPr>
                <w:rFonts w:ascii="Arial" w:cs="Arial" w:eastAsia="Arial" w:hAnsi="Arial"/>
                <w:sz w:val="16"/>
                <w:szCs w:val="16"/>
                <w:b w:val="1"/>
                <w:bCs w:val="1"/>
                <w:color w:val="auto"/>
              </w:rPr>
              <w:t>22,000</w:t>
            </w:r>
          </w:p>
        </w:tc>
        <w:tc>
          <w:tcPr>
            <w:tcW w:w="56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25,917</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 during the period</w:t>
            </w:r>
          </w:p>
        </w:tc>
        <w:tc>
          <w:tcPr>
            <w:tcW w:w="8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02"/>
              <w:spacing w:after="0"/>
              <w:rPr>
                <w:sz w:val="20"/>
                <w:szCs w:val="20"/>
                <w:color w:val="auto"/>
              </w:rPr>
            </w:pPr>
            <w:r>
              <w:rPr>
                <w:rFonts w:ascii="Arial" w:cs="Arial" w:eastAsia="Arial" w:hAnsi="Arial"/>
                <w:sz w:val="16"/>
                <w:szCs w:val="16"/>
                <w:b w:val="1"/>
                <w:bCs w:val="1"/>
                <w:color w:val="auto"/>
              </w:rPr>
              <w:t>0.94</w:t>
            </w:r>
          </w:p>
        </w:tc>
        <w:tc>
          <w:tcPr>
            <w:tcW w:w="56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Company has also issued junior subordinated debentures and other subordinated notes. At September 30, 2021, these other borrowings amounted to $12.1 million.</w:t>
      </w:r>
    </w:p>
    <w:p>
      <w:pPr>
        <w:spacing w:after="0" w:line="203"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At September 30, 2021,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206"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On November 30, 2020, the Company issued $10.0 million in subordinated notes due in 2030 to repay the higher yielding subordinated noted amounting to $13.5 million, reducing interest expense. The notes have a ten year term and have a fixed rate of 5.00% for the first five years; thereafter, the rate resets quarterly to a benchmark rate plus 490 basis points. The notes may be redeemed in part or in whole, upon the occurrence of certain events.</w:t>
      </w:r>
    </w:p>
    <w:p>
      <w:pPr>
        <w:spacing w:after="0" w:line="208"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The Federal Reserve Bank of Richmond has an available borrower in custody arrangement which allows us to borrow on a collateralized basis. The Company’s borrowing capacity under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1" w:name="page62"/>
    <w:bookmarkEnd w:id="61"/>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Reserve’s discount window program was $16.3 million as of September 30, 2021. Certain commercial loans are pledged under this arrangement. We maintain this borrowing arrangement to meet liquidity needs pursuant to our contingency funding plan. No advances were outstanding under this facility as of September 30, 2021.</w:t>
      </w:r>
    </w:p>
    <w:p>
      <w:pPr>
        <w:spacing w:after="0" w:line="20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also has available lines of credit of $76.0 million with other correspondent banks at September 30, 2021, as well as access to certificate of deposit funding through a financial network and wholesale brokers. Our funding policy limits use of this funding source to 30% of the Bank’s deposits. These lines were not utilized at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3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spacing w:after="0" w:line="211"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Management has established a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free of legal, regulatory or operational impediments, that can be used to meet liquidity needs in stressful situations; contingency funding plans that address potential adverse liquidity events and emergency cash flow requirements; and internal controls and internal audit processes believed to be sufficient to determine the adequacy of the institution’s liquidity risk management process.</w:t>
      </w:r>
    </w:p>
    <w:p>
      <w:pPr>
        <w:spacing w:after="0" w:line="21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September 30, 2021, we had $177.5 million of available borrowing capacity from the FHLB, $16.3 million of available borrowing capacity from the Federal Reserve Bank of Richmond and available lines of credit of $76.0 million with other correspondent banks. Cash and cash equivalents were $324.0 million at September 30, 2021 and $146.9 million at December 31, 2020. We believe our liquidity resources are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3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Stockholders’ equity increased $29.8 million at September 30, 2021 compared to December 31, 2020. Net income for the nine months ended September 30, 2021 increased retained earnings by $29.8 million. Stock options exercised and stock-based compensation increased common stock and additional paid-in capital in the aggregate by $766 thousand. These increases were partially offset by the change in net unrealized gains on available for sale securities of $804 thousand.</w:t>
      </w:r>
    </w:p>
    <w:p>
      <w:pPr>
        <w:spacing w:after="0" w:line="208"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The Company uses several indicators of capital strength. The most commonly used measure is the Common Equity Tier 1 (“CET1”) capital ratio (common equity tier 1 capital divided by risk weighted assets), which was 14.34% at September 30, 2021 and 12.94% at December 31, 2020. The Company has above-average levels of capital and has taken steps to navigate COVID-19 related disruptions, including taking higher levels than normal of loan loss provisions and maintaining higher than normal levels of liquidity on the balance sheet.</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shows the return on average assets (computed as net income divided by average total assets), return on average equity (computed as net income divided by average equity) and common equity tier 1 capital ratios for the nine months ended September 30, 2021 and for the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For the Three Months</w:t>
            </w:r>
          </w:p>
        </w:tc>
        <w:tc>
          <w:tcPr>
            <w:tcW w:w="1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For the Nine Months</w:t>
            </w:r>
          </w:p>
        </w:tc>
        <w:tc>
          <w:tcPr>
            <w:tcW w:w="19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2"/>
        </w:trPr>
        <w:tc>
          <w:tcPr>
            <w:tcW w:w="5300" w:type="dxa"/>
            <w:vAlign w:val="bottom"/>
          </w:tcPr>
          <w:p>
            <w:pPr>
              <w:spacing w:after="0"/>
              <w:rPr>
                <w:sz w:val="14"/>
                <w:szCs w:val="14"/>
                <w:color w:val="auto"/>
              </w:rPr>
            </w:pPr>
          </w:p>
        </w:tc>
        <w:tc>
          <w:tcPr>
            <w:tcW w:w="2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Ended</w:t>
            </w:r>
          </w:p>
        </w:tc>
        <w:tc>
          <w:tcPr>
            <w:tcW w:w="1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Ended</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September 30, 2021</w:t>
            </w: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September 30, 2021</w:t>
            </w:r>
          </w:p>
        </w:tc>
        <w:tc>
          <w:tcPr>
            <w:tcW w:w="194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9"/>
        </w:trPr>
        <w:tc>
          <w:tcPr>
            <w:tcW w:w="5300" w:type="dxa"/>
            <w:vAlign w:val="bottom"/>
            <w:tcBorders>
              <w:top w:val="single" w:sz="8" w:color="CCEEFF"/>
            </w:tcBorders>
            <w:shd w:val="clear" w:color="auto" w:fill="CCEEFF"/>
          </w:tcPr>
          <w:p>
            <w:pPr>
              <w:ind w:left="20"/>
              <w:spacing w:after="0" w:line="179" w:lineRule="exact"/>
              <w:rPr>
                <w:sz w:val="20"/>
                <w:szCs w:val="20"/>
                <w:color w:val="auto"/>
              </w:rPr>
            </w:pPr>
            <w:r>
              <w:rPr>
                <w:rFonts w:ascii="Arial" w:cs="Arial" w:eastAsia="Arial" w:hAnsi="Arial"/>
                <w:sz w:val="14"/>
                <w:szCs w:val="14"/>
                <w:color w:val="auto"/>
              </w:rPr>
              <w:t>Return on Average Assets</w:t>
            </w:r>
            <w:r>
              <w:rPr>
                <w:rFonts w:ascii="Arial" w:cs="Arial" w:eastAsia="Arial" w:hAnsi="Arial"/>
                <w:sz w:val="18"/>
                <w:szCs w:val="18"/>
                <w:color w:val="auto"/>
                <w:vertAlign w:val="superscript"/>
              </w:rPr>
              <w:t>(1)</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2.13 %</w:t>
            </w:r>
          </w:p>
        </w:tc>
        <w:tc>
          <w:tcPr>
            <w:tcW w:w="16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1.97 %</w:t>
            </w:r>
          </w:p>
        </w:tc>
        <w:tc>
          <w:tcPr>
            <w:tcW w:w="20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0" w:type="dxa"/>
            <w:vAlign w:val="bottom"/>
          </w:tcPr>
          <w:p>
            <w:pPr>
              <w:spacing w:after="0"/>
              <w:rPr>
                <w:sz w:val="1"/>
                <w:szCs w:val="1"/>
                <w:color w:val="auto"/>
              </w:rPr>
            </w:pPr>
          </w:p>
        </w:tc>
      </w:tr>
      <w:tr>
        <w:trPr>
          <w:trHeight w:val="186"/>
        </w:trPr>
        <w:tc>
          <w:tcPr>
            <w:tcW w:w="5300" w:type="dxa"/>
            <w:vAlign w:val="bottom"/>
          </w:tcPr>
          <w:p>
            <w:pPr>
              <w:ind w:left="20"/>
              <w:spacing w:after="0" w:line="186" w:lineRule="exact"/>
              <w:rPr>
                <w:sz w:val="20"/>
                <w:szCs w:val="20"/>
                <w:color w:val="auto"/>
              </w:rPr>
            </w:pPr>
            <w:r>
              <w:rPr>
                <w:rFonts w:ascii="Arial" w:cs="Arial" w:eastAsia="Arial" w:hAnsi="Arial"/>
                <w:sz w:val="14"/>
                <w:szCs w:val="14"/>
                <w:color w:val="auto"/>
              </w:rPr>
              <w:t>Return on Average Equity</w:t>
            </w:r>
            <w:r>
              <w:rPr>
                <w:rFonts w:ascii="Arial" w:cs="Arial" w:eastAsia="Arial" w:hAnsi="Arial"/>
                <w:sz w:val="18"/>
                <w:szCs w:val="18"/>
                <w:color w:val="auto"/>
                <w:vertAlign w:val="superscript"/>
              </w:rPr>
              <w:t>(1)</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23.87 %</w:t>
            </w:r>
          </w:p>
        </w:tc>
        <w:tc>
          <w:tcPr>
            <w:tcW w:w="1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22.88 %</w:t>
            </w: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18.00 %</w:t>
            </w:r>
          </w:p>
        </w:tc>
        <w:tc>
          <w:tcPr>
            <w:tcW w:w="0" w:type="dxa"/>
            <w:vAlign w:val="bottom"/>
          </w:tcPr>
          <w:p>
            <w:pPr>
              <w:spacing w:after="0"/>
              <w:rPr>
                <w:sz w:val="1"/>
                <w:szCs w:val="1"/>
                <w:color w:val="auto"/>
              </w:rPr>
            </w:pPr>
          </w:p>
        </w:tc>
      </w:tr>
      <w:tr>
        <w:trPr>
          <w:trHeight w:val="185"/>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Equity Tier 1 Capital</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14.34 %</w:t>
            </w: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14.34 %</w:t>
            </w:r>
          </w:p>
        </w:tc>
        <w:tc>
          <w:tcPr>
            <w:tcW w:w="2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12.94 %</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620" w:hanging="296"/>
        <w:spacing w:after="0" w:line="209" w:lineRule="auto"/>
        <w:tabs>
          <w:tab w:leader="none" w:pos="6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These ratios are annualized for the nine months ended September 30, 2021.</w:t>
      </w: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211"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of September 30, 2021,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presents the regulatory capital ratios for the Company (as if applicable to the Company) and the Bank as of the dates indicated.</w:t>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vMerge w:val="restart"/>
          </w:tcPr>
          <w:p>
            <w:pPr>
              <w:jc w:val="right"/>
              <w:ind w:right="654"/>
              <w:spacing w:after="0"/>
              <w:rPr>
                <w:sz w:val="20"/>
                <w:szCs w:val="20"/>
                <w:color w:val="auto"/>
              </w:rPr>
            </w:pPr>
            <w:r>
              <w:rPr>
                <w:rFonts w:ascii="Arial" w:cs="Arial" w:eastAsia="Arial" w:hAnsi="Arial"/>
                <w:sz w:val="13"/>
                <w:szCs w:val="13"/>
                <w:b w:val="1"/>
                <w:bCs w:val="1"/>
                <w:color w:val="auto"/>
              </w:rPr>
              <w:t>Actual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80" w:type="dxa"/>
            <w:vAlign w:val="bottom"/>
            <w:gridSpan w:val="2"/>
          </w:tcPr>
          <w:p>
            <w:pPr>
              <w:jc w:val="right"/>
              <w:ind w:right="293"/>
              <w:spacing w:after="0"/>
              <w:rPr>
                <w:sz w:val="20"/>
                <w:szCs w:val="20"/>
                <w:color w:val="auto"/>
              </w:rPr>
            </w:pPr>
            <w:r>
              <w:rPr>
                <w:rFonts w:ascii="Arial" w:cs="Arial" w:eastAsia="Arial" w:hAnsi="Arial"/>
                <w:sz w:val="13"/>
                <w:szCs w:val="13"/>
                <w:b w:val="1"/>
                <w:bCs w:val="1"/>
                <w:color w:val="auto"/>
              </w:rPr>
              <w:t>Minimum Capital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60" w:type="dxa"/>
            <w:vAlign w:val="bottom"/>
            <w:gridSpan w:val="2"/>
          </w:tcPr>
          <w:p>
            <w:pPr>
              <w:jc w:val="right"/>
              <w:ind w:right="473"/>
              <w:spacing w:after="0"/>
              <w:rPr>
                <w:sz w:val="20"/>
                <w:szCs w:val="20"/>
                <w:color w:val="auto"/>
              </w:rPr>
            </w:pPr>
            <w:r>
              <w:rPr>
                <w:rFonts w:ascii="Arial" w:cs="Arial" w:eastAsia="Arial" w:hAnsi="Arial"/>
                <w:sz w:val="13"/>
                <w:szCs w:val="13"/>
                <w:b w:val="1"/>
                <w:bCs w:val="1"/>
                <w:color w:val="auto"/>
              </w:rPr>
              <w:t>To Be Well</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520" w:type="dxa"/>
            <w:vAlign w:val="bottom"/>
            <w:gridSpan w:val="3"/>
          </w:tcPr>
          <w:p>
            <w:pPr>
              <w:spacing w:after="0"/>
              <w:rPr>
                <w:sz w:val="20"/>
                <w:szCs w:val="20"/>
                <w:color w:val="auto"/>
              </w:rPr>
            </w:pPr>
            <w:r>
              <w:rPr>
                <w:rFonts w:ascii="Arial" w:cs="Arial" w:eastAsia="Arial" w:hAnsi="Arial"/>
                <w:sz w:val="11"/>
                <w:szCs w:val="11"/>
                <w:i w:val="1"/>
                <w:iCs w:val="1"/>
                <w:color w:val="auto"/>
              </w:rPr>
              <w:t>(in thousands)</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Adequacy</w:t>
            </w: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Capitalized</w:t>
            </w: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252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September 30, 2021</w:t>
            </w:r>
          </w:p>
        </w:tc>
        <w:tc>
          <w:tcPr>
            <w:tcW w:w="460" w:type="dxa"/>
            <w:vAlign w:val="bottom"/>
          </w:tcPr>
          <w:p>
            <w:pPr>
              <w:spacing w:after="0"/>
              <w:rPr>
                <w:sz w:val="13"/>
                <w:szCs w:val="13"/>
                <w:color w:val="auto"/>
              </w:rPr>
            </w:pPr>
          </w:p>
        </w:tc>
        <w:tc>
          <w:tcPr>
            <w:tcW w:w="760" w:type="dxa"/>
            <w:vAlign w:val="bottom"/>
          </w:tcPr>
          <w:p>
            <w:pPr>
              <w:jc w:val="right"/>
              <w:ind w:right="93"/>
              <w:spacing w:after="0" w:line="159" w:lineRule="exact"/>
              <w:rPr>
                <w:sz w:val="20"/>
                <w:szCs w:val="20"/>
                <w:color w:val="auto"/>
              </w:rPr>
            </w:pPr>
            <w:r>
              <w:rPr>
                <w:rFonts w:ascii="Arial" w:cs="Arial" w:eastAsia="Arial" w:hAnsi="Arial"/>
                <w:sz w:val="14"/>
                <w:szCs w:val="14"/>
                <w:b w:val="1"/>
                <w:bCs w:val="1"/>
                <w:color w:val="auto"/>
              </w:rPr>
              <w:t>Amount</w:t>
            </w:r>
          </w:p>
        </w:tc>
        <w:tc>
          <w:tcPr>
            <w:tcW w:w="11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right"/>
              <w:ind w:right="554"/>
              <w:spacing w:after="0" w:line="159" w:lineRule="exact"/>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jc w:val="right"/>
              <w:ind w:right="574"/>
              <w:spacing w:after="0" w:line="159" w:lineRule="exact"/>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Ratio</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Company</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40" w:type="dxa"/>
            <w:vAlign w:val="bottom"/>
          </w:tcPr>
          <w:p>
            <w:pPr>
              <w:spacing w:after="0"/>
              <w:rPr>
                <w:sz w:val="12"/>
                <w:szCs w:val="12"/>
                <w:color w:val="auto"/>
              </w:rPr>
            </w:pPr>
          </w:p>
        </w:tc>
        <w:tc>
          <w:tcPr>
            <w:tcW w:w="2520" w:type="dxa"/>
            <w:vAlign w:val="bottom"/>
            <w:gridSpan w:val="3"/>
          </w:tcPr>
          <w:p>
            <w:pPr>
              <w:ind w:left="120"/>
              <w:spacing w:after="0" w:line="145" w:lineRule="exact"/>
              <w:rPr>
                <w:sz w:val="20"/>
                <w:szCs w:val="20"/>
                <w:color w:val="auto"/>
              </w:rPr>
            </w:pPr>
            <w:r>
              <w:rPr>
                <w:rFonts w:ascii="Arial" w:cs="Arial" w:eastAsia="Arial" w:hAnsi="Arial"/>
                <w:sz w:val="13"/>
                <w:szCs w:val="13"/>
                <w:color w:val="auto"/>
              </w:rPr>
              <w:t>Tier 1 leverage ratio (to average</w:t>
            </w: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190,230</w:t>
            </w:r>
          </w:p>
        </w:tc>
        <w:tc>
          <w:tcPr>
            <w:tcW w:w="116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9.13</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83,337</w:t>
            </w:r>
          </w:p>
        </w:tc>
        <w:tc>
          <w:tcPr>
            <w:tcW w:w="6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4.00</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vMerge w:val="restart"/>
          </w:tcPr>
          <w:p>
            <w:pPr>
              <w:jc w:val="right"/>
              <w:ind w:right="394"/>
              <w:spacing w:after="0"/>
              <w:rPr>
                <w:sz w:val="20"/>
                <w:szCs w:val="20"/>
                <w:color w:val="auto"/>
              </w:rPr>
            </w:pPr>
            <w:r>
              <w:rPr>
                <w:rFonts w:ascii="Arial" w:cs="Arial" w:eastAsia="Arial" w:hAnsi="Arial"/>
                <w:sz w:val="13"/>
                <w:szCs w:val="13"/>
                <w:b w:val="1"/>
                <w:bCs w:val="1"/>
                <w:color w:val="auto"/>
              </w:rPr>
              <w:t>N/A</w:t>
            </w:r>
          </w:p>
        </w:tc>
        <w:tc>
          <w:tcPr>
            <w:tcW w:w="6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66"/>
        </w:trPr>
        <w:tc>
          <w:tcPr>
            <w:tcW w:w="2860" w:type="dxa"/>
            <w:vAlign w:val="bottom"/>
            <w:gridSpan w:val="4"/>
          </w:tcPr>
          <w:p>
            <w:pPr>
              <w:ind w:left="140"/>
              <w:spacing w:after="0"/>
              <w:rPr>
                <w:sz w:val="20"/>
                <w:szCs w:val="20"/>
                <w:color w:val="auto"/>
              </w:rPr>
            </w:pPr>
            <w:r>
              <w:rPr>
                <w:rFonts w:ascii="Arial" w:cs="Arial" w:eastAsia="Arial" w:hAnsi="Arial"/>
                <w:sz w:val="13"/>
                <w:szCs w:val="13"/>
                <w:color w:val="auto"/>
              </w:rPr>
              <w:t>assets)</w:t>
            </w:r>
          </w:p>
        </w:tc>
        <w:tc>
          <w:tcPr>
            <w:tcW w:w="4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0" w:type="dxa"/>
            <w:vAlign w:val="bottom"/>
            <w:shd w:val="clear" w:color="auto" w:fill="CCEEFF"/>
          </w:tcPr>
          <w:p>
            <w:pPr>
              <w:spacing w:after="0"/>
              <w:rPr>
                <w:sz w:val="16"/>
                <w:szCs w:val="16"/>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190,230</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14.49</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111,573</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8.50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4"/>
              <w:spacing w:after="0"/>
              <w:rPr>
                <w:sz w:val="20"/>
                <w:szCs w:val="20"/>
                <w:color w:val="auto"/>
              </w:rPr>
            </w:pPr>
            <w:r>
              <w:rPr>
                <w:rFonts w:ascii="Arial" w:cs="Arial" w:eastAsia="Arial" w:hAnsi="Arial"/>
                <w:sz w:val="13"/>
                <w:szCs w:val="13"/>
                <w:b w:val="1"/>
                <w:bCs w:val="1"/>
                <w:color w:val="auto"/>
              </w:rPr>
              <w:t>N/A</w:t>
            </w: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45"/>
        </w:trPr>
        <w:tc>
          <w:tcPr>
            <w:tcW w:w="2860" w:type="dxa"/>
            <w:vAlign w:val="bottom"/>
            <w:gridSpan w:val="4"/>
          </w:tcPr>
          <w:p>
            <w:pPr>
              <w:ind w:left="140"/>
              <w:spacing w:after="0" w:line="145" w:lineRule="exact"/>
              <w:rPr>
                <w:sz w:val="20"/>
                <w:szCs w:val="20"/>
                <w:color w:val="auto"/>
              </w:rPr>
            </w:pPr>
            <w:r>
              <w:rPr>
                <w:rFonts w:ascii="Arial" w:cs="Arial" w:eastAsia="Arial" w:hAnsi="Arial"/>
                <w:sz w:val="13"/>
                <w:szCs w:val="13"/>
                <w:color w:val="auto"/>
              </w:rPr>
              <w:t>Common equity tier 1 capital ratio (to risk-</w:t>
            </w:r>
          </w:p>
        </w:tc>
        <w:tc>
          <w:tcPr>
            <w:tcW w:w="4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188,168</w:t>
            </w:r>
          </w:p>
        </w:tc>
        <w:tc>
          <w:tcPr>
            <w:tcW w:w="116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14.34</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91,883</w:t>
            </w:r>
          </w:p>
        </w:tc>
        <w:tc>
          <w:tcPr>
            <w:tcW w:w="6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7.00</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vMerge w:val="restart"/>
          </w:tcPr>
          <w:p>
            <w:pPr>
              <w:jc w:val="right"/>
              <w:ind w:right="394"/>
              <w:spacing w:after="0"/>
              <w:rPr>
                <w:sz w:val="20"/>
                <w:szCs w:val="20"/>
                <w:color w:val="auto"/>
              </w:rPr>
            </w:pPr>
            <w:r>
              <w:rPr>
                <w:rFonts w:ascii="Arial" w:cs="Arial" w:eastAsia="Arial" w:hAnsi="Arial"/>
                <w:sz w:val="13"/>
                <w:szCs w:val="13"/>
                <w:b w:val="1"/>
                <w:bCs w:val="1"/>
                <w:color w:val="auto"/>
              </w:rPr>
              <w:t>N/A</w:t>
            </w:r>
          </w:p>
        </w:tc>
        <w:tc>
          <w:tcPr>
            <w:tcW w:w="6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66"/>
        </w:trPr>
        <w:tc>
          <w:tcPr>
            <w:tcW w:w="2860" w:type="dxa"/>
            <w:vAlign w:val="bottom"/>
            <w:gridSpan w:val="4"/>
          </w:tcPr>
          <w:p>
            <w:pPr>
              <w:ind w:left="300"/>
              <w:spacing w:after="0"/>
              <w:rPr>
                <w:sz w:val="20"/>
                <w:szCs w:val="20"/>
                <w:color w:val="auto"/>
              </w:rPr>
            </w:pPr>
            <w:r>
              <w:rPr>
                <w:rFonts w:ascii="Arial" w:cs="Arial" w:eastAsia="Arial" w:hAnsi="Arial"/>
                <w:sz w:val="13"/>
                <w:szCs w:val="13"/>
                <w:color w:val="auto"/>
              </w:rPr>
              <w:t>weighted assets)</w:t>
            </w:r>
          </w:p>
        </w:tc>
        <w:tc>
          <w:tcPr>
            <w:tcW w:w="4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w:t>
            </w:r>
          </w:p>
        </w:tc>
        <w:tc>
          <w:tcPr>
            <w:tcW w:w="4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206,762</w:t>
            </w:r>
          </w:p>
        </w:tc>
        <w:tc>
          <w:tcPr>
            <w:tcW w:w="1160" w:type="dxa"/>
            <w:vAlign w:val="bottom"/>
            <w:vMerge w:val="restart"/>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15.75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137,825</w:t>
            </w:r>
          </w:p>
        </w:tc>
        <w:tc>
          <w:tcPr>
            <w:tcW w:w="680" w:type="dxa"/>
            <w:vAlign w:val="bottom"/>
            <w:vMerge w:val="restart"/>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10.50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394"/>
              <w:spacing w:after="0"/>
              <w:rPr>
                <w:sz w:val="20"/>
                <w:szCs w:val="20"/>
                <w:color w:val="auto"/>
              </w:rPr>
            </w:pPr>
            <w:r>
              <w:rPr>
                <w:rFonts w:ascii="Arial" w:cs="Arial" w:eastAsia="Arial" w:hAnsi="Arial"/>
                <w:sz w:val="13"/>
                <w:szCs w:val="13"/>
                <w:b w:val="1"/>
                <w:bCs w:val="1"/>
                <w:color w:val="auto"/>
              </w:rPr>
              <w:t>N/A</w:t>
            </w:r>
          </w:p>
        </w:tc>
        <w:tc>
          <w:tcPr>
            <w:tcW w:w="6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73"/>
        </w:trPr>
        <w:tc>
          <w:tcPr>
            <w:tcW w:w="28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assets)</w:t>
            </w:r>
          </w:p>
        </w:tc>
        <w:tc>
          <w:tcPr>
            <w:tcW w:w="4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40" w:type="dxa"/>
            <w:vAlign w:val="bottom"/>
            <w:shd w:val="clear" w:color="auto" w:fill="CCEEFF"/>
          </w:tcPr>
          <w:p>
            <w:pPr>
              <w:spacing w:after="0"/>
              <w:rPr>
                <w:sz w:val="16"/>
                <w:szCs w:val="16"/>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Bank</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40" w:type="dxa"/>
            <w:vAlign w:val="bottom"/>
          </w:tcPr>
          <w:p>
            <w:pPr>
              <w:spacing w:after="0"/>
              <w:rPr>
                <w:sz w:val="12"/>
                <w:szCs w:val="12"/>
                <w:color w:val="auto"/>
              </w:rPr>
            </w:pPr>
          </w:p>
        </w:tc>
        <w:tc>
          <w:tcPr>
            <w:tcW w:w="2520" w:type="dxa"/>
            <w:vAlign w:val="bottom"/>
            <w:gridSpan w:val="3"/>
          </w:tcPr>
          <w:p>
            <w:pPr>
              <w:ind w:left="120"/>
              <w:spacing w:after="0" w:line="145" w:lineRule="exact"/>
              <w:rPr>
                <w:sz w:val="20"/>
                <w:szCs w:val="20"/>
                <w:color w:val="auto"/>
              </w:rPr>
            </w:pPr>
            <w:r>
              <w:rPr>
                <w:rFonts w:ascii="Arial" w:cs="Arial" w:eastAsia="Arial" w:hAnsi="Arial"/>
                <w:sz w:val="13"/>
                <w:szCs w:val="13"/>
                <w:color w:val="auto"/>
              </w:rPr>
              <w:t>Tier 1 leverage ratio (to average</w:t>
            </w: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160,223</w:t>
            </w:r>
          </w:p>
        </w:tc>
        <w:tc>
          <w:tcPr>
            <w:tcW w:w="116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7.83</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81,833</w:t>
            </w:r>
          </w:p>
        </w:tc>
        <w:tc>
          <w:tcPr>
            <w:tcW w:w="6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4.00</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102,291</w:t>
            </w:r>
          </w:p>
        </w:tc>
        <w:tc>
          <w:tcPr>
            <w:tcW w:w="62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5.00</w:t>
            </w: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6"/>
        </w:trPr>
        <w:tc>
          <w:tcPr>
            <w:tcW w:w="2860" w:type="dxa"/>
            <w:vAlign w:val="bottom"/>
            <w:gridSpan w:val="4"/>
          </w:tcPr>
          <w:p>
            <w:pPr>
              <w:ind w:left="140"/>
              <w:spacing w:after="0"/>
              <w:rPr>
                <w:sz w:val="20"/>
                <w:szCs w:val="20"/>
                <w:color w:val="auto"/>
              </w:rPr>
            </w:pPr>
            <w:r>
              <w:rPr>
                <w:rFonts w:ascii="Arial" w:cs="Arial" w:eastAsia="Arial" w:hAnsi="Arial"/>
                <w:sz w:val="13"/>
                <w:szCs w:val="13"/>
                <w:color w:val="auto"/>
              </w:rPr>
              <w:t>assets)</w:t>
            </w:r>
          </w:p>
        </w:tc>
        <w:tc>
          <w:tcPr>
            <w:tcW w:w="4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0" w:type="dxa"/>
            <w:vAlign w:val="bottom"/>
            <w:shd w:val="clear" w:color="auto" w:fill="CCEEFF"/>
          </w:tcPr>
          <w:p>
            <w:pPr>
              <w:spacing w:after="0"/>
              <w:rPr>
                <w:sz w:val="16"/>
                <w:szCs w:val="16"/>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160,223</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12.60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108,063</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8.50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101,706</w:t>
            </w:r>
          </w:p>
        </w:tc>
        <w:tc>
          <w:tcPr>
            <w:tcW w:w="620" w:type="dxa"/>
            <w:vAlign w:val="bottom"/>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8.00</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5"/>
        </w:trPr>
        <w:tc>
          <w:tcPr>
            <w:tcW w:w="2860" w:type="dxa"/>
            <w:vAlign w:val="bottom"/>
            <w:gridSpan w:val="4"/>
          </w:tcPr>
          <w:p>
            <w:pPr>
              <w:ind w:left="140"/>
              <w:spacing w:after="0" w:line="145" w:lineRule="exact"/>
              <w:rPr>
                <w:sz w:val="20"/>
                <w:szCs w:val="20"/>
                <w:color w:val="auto"/>
              </w:rPr>
            </w:pPr>
            <w:r>
              <w:rPr>
                <w:rFonts w:ascii="Arial" w:cs="Arial" w:eastAsia="Arial" w:hAnsi="Arial"/>
                <w:sz w:val="13"/>
                <w:szCs w:val="13"/>
                <w:color w:val="auto"/>
              </w:rPr>
              <w:t>Common equity tier 1 capital ratio (to risk-</w:t>
            </w:r>
          </w:p>
        </w:tc>
        <w:tc>
          <w:tcPr>
            <w:tcW w:w="4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160,223</w:t>
            </w:r>
          </w:p>
        </w:tc>
        <w:tc>
          <w:tcPr>
            <w:tcW w:w="1160" w:type="dxa"/>
            <w:vAlign w:val="bottom"/>
            <w:vMerge w:val="restart"/>
          </w:tcPr>
          <w:p>
            <w:pPr>
              <w:jc w:val="right"/>
              <w:ind w:right="234"/>
              <w:spacing w:after="0"/>
              <w:rPr>
                <w:sz w:val="20"/>
                <w:szCs w:val="20"/>
                <w:color w:val="auto"/>
              </w:rPr>
            </w:pPr>
            <w:r>
              <w:rPr>
                <w:rFonts w:ascii="Arial" w:cs="Arial" w:eastAsia="Arial" w:hAnsi="Arial"/>
                <w:sz w:val="13"/>
                <w:szCs w:val="13"/>
                <w:b w:val="1"/>
                <w:bCs w:val="1"/>
                <w:color w:val="auto"/>
              </w:rPr>
              <w:t>12.60</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88,993</w:t>
            </w:r>
          </w:p>
        </w:tc>
        <w:tc>
          <w:tcPr>
            <w:tcW w:w="6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7.00</w:t>
            </w:r>
          </w:p>
        </w:tc>
        <w:tc>
          <w:tcPr>
            <w:tcW w:w="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82,636</w:t>
            </w:r>
          </w:p>
        </w:tc>
        <w:tc>
          <w:tcPr>
            <w:tcW w:w="62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6.50</w:t>
            </w: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6"/>
        </w:trPr>
        <w:tc>
          <w:tcPr>
            <w:tcW w:w="2860" w:type="dxa"/>
            <w:vAlign w:val="bottom"/>
            <w:gridSpan w:val="4"/>
          </w:tcPr>
          <w:p>
            <w:pPr>
              <w:ind w:left="300"/>
              <w:spacing w:after="0"/>
              <w:rPr>
                <w:sz w:val="20"/>
                <w:szCs w:val="20"/>
                <w:color w:val="auto"/>
              </w:rPr>
            </w:pPr>
            <w:r>
              <w:rPr>
                <w:rFonts w:ascii="Arial" w:cs="Arial" w:eastAsia="Arial" w:hAnsi="Arial"/>
                <w:sz w:val="13"/>
                <w:szCs w:val="13"/>
                <w:color w:val="auto"/>
              </w:rPr>
              <w:t>weighted assets)</w:t>
            </w:r>
          </w:p>
        </w:tc>
        <w:tc>
          <w:tcPr>
            <w:tcW w:w="4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w:t>
            </w:r>
          </w:p>
        </w:tc>
        <w:tc>
          <w:tcPr>
            <w:tcW w:w="4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176,239</w:t>
            </w:r>
          </w:p>
        </w:tc>
        <w:tc>
          <w:tcPr>
            <w:tcW w:w="1160" w:type="dxa"/>
            <w:vAlign w:val="bottom"/>
            <w:vMerge w:val="restart"/>
            <w:shd w:val="clear" w:color="auto" w:fill="CCEEFF"/>
          </w:tcPr>
          <w:p>
            <w:pPr>
              <w:jc w:val="right"/>
              <w:ind w:right="234"/>
              <w:spacing w:after="0"/>
              <w:rPr>
                <w:sz w:val="20"/>
                <w:szCs w:val="20"/>
                <w:color w:val="auto"/>
              </w:rPr>
            </w:pPr>
            <w:r>
              <w:rPr>
                <w:rFonts w:ascii="Arial" w:cs="Arial" w:eastAsia="Arial" w:hAnsi="Arial"/>
                <w:sz w:val="13"/>
                <w:szCs w:val="13"/>
                <w:b w:val="1"/>
                <w:bCs w:val="1"/>
                <w:color w:val="auto"/>
              </w:rPr>
              <w:t>13.86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133,489</w:t>
            </w:r>
          </w:p>
        </w:tc>
        <w:tc>
          <w:tcPr>
            <w:tcW w:w="680" w:type="dxa"/>
            <w:vAlign w:val="bottom"/>
            <w:vMerge w:val="restart"/>
            <w:shd w:val="clear" w:color="auto" w:fill="CCEEFF"/>
          </w:tcPr>
          <w:p>
            <w:pPr>
              <w:jc w:val="right"/>
              <w:ind w:right="233"/>
              <w:spacing w:after="0"/>
              <w:rPr>
                <w:sz w:val="20"/>
                <w:szCs w:val="20"/>
                <w:color w:val="auto"/>
              </w:rPr>
            </w:pPr>
            <w:r>
              <w:rPr>
                <w:rFonts w:ascii="Arial" w:cs="Arial" w:eastAsia="Arial" w:hAnsi="Arial"/>
                <w:sz w:val="13"/>
                <w:szCs w:val="13"/>
                <w:b w:val="1"/>
                <w:bCs w:val="1"/>
                <w:color w:val="auto"/>
              </w:rPr>
              <w:t>10.50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34"/>
              <w:spacing w:after="0"/>
              <w:rPr>
                <w:sz w:val="20"/>
                <w:szCs w:val="20"/>
                <w:color w:val="auto"/>
              </w:rPr>
            </w:pPr>
            <w:r>
              <w:rPr>
                <w:rFonts w:ascii="Arial" w:cs="Arial" w:eastAsia="Arial" w:hAnsi="Arial"/>
                <w:sz w:val="13"/>
                <w:szCs w:val="13"/>
                <w:b w:val="1"/>
                <w:bCs w:val="1"/>
                <w:color w:val="auto"/>
              </w:rPr>
              <w:t>127,133</w:t>
            </w:r>
          </w:p>
        </w:tc>
        <w:tc>
          <w:tcPr>
            <w:tcW w:w="620" w:type="dxa"/>
            <w:vAlign w:val="bottom"/>
            <w:vMerge w:val="restart"/>
            <w:shd w:val="clear" w:color="auto" w:fill="CCEEFF"/>
          </w:tcPr>
          <w:p>
            <w:pPr>
              <w:jc w:val="right"/>
              <w:ind w:right="173"/>
              <w:spacing w:after="0"/>
              <w:rPr>
                <w:sz w:val="20"/>
                <w:szCs w:val="20"/>
                <w:color w:val="auto"/>
              </w:rPr>
            </w:pPr>
            <w:r>
              <w:rPr>
                <w:rFonts w:ascii="Arial" w:cs="Arial" w:eastAsia="Arial" w:hAnsi="Arial"/>
                <w:sz w:val="13"/>
                <w:szCs w:val="13"/>
                <w:b w:val="1"/>
                <w:bCs w:val="1"/>
                <w:color w:val="auto"/>
              </w:rPr>
              <w:t>10.00</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3"/>
        </w:trPr>
        <w:tc>
          <w:tcPr>
            <w:tcW w:w="28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assets)</w:t>
            </w:r>
          </w:p>
        </w:tc>
        <w:tc>
          <w:tcPr>
            <w:tcW w:w="4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December 31, 2020</w:t>
            </w:r>
          </w:p>
        </w:tc>
        <w:tc>
          <w:tcPr>
            <w:tcW w:w="1320" w:type="dxa"/>
            <w:vAlign w:val="bottom"/>
            <w:tcBorders>
              <w:bottom w:val="single" w:sz="8" w:color="CCEEFF"/>
            </w:tcBorders>
            <w:gridSpan w:val="2"/>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2520" w:type="dxa"/>
            <w:vAlign w:val="bottom"/>
            <w:gridSpan w:val="3"/>
          </w:tcPr>
          <w:p>
            <w:pPr>
              <w:spacing w:after="0"/>
              <w:rPr>
                <w:sz w:val="20"/>
                <w:szCs w:val="20"/>
                <w:color w:val="auto"/>
              </w:rPr>
            </w:pPr>
            <w:r>
              <w:rPr>
                <w:rFonts w:ascii="Arial" w:cs="Arial" w:eastAsia="Arial" w:hAnsi="Arial"/>
                <w:sz w:val="13"/>
                <w:szCs w:val="13"/>
                <w:b w:val="1"/>
                <w:bCs w:val="1"/>
                <w:color w:val="auto"/>
              </w:rPr>
              <w:t>The Company</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4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assets)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159,656</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8.78</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72,770</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N/A</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159,656</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13.10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434"/>
              <w:spacing w:after="0"/>
              <w:rPr>
                <w:sz w:val="20"/>
                <w:szCs w:val="20"/>
                <w:color w:val="auto"/>
              </w:rPr>
            </w:pPr>
            <w:r>
              <w:rPr>
                <w:rFonts w:ascii="Arial" w:cs="Arial" w:eastAsia="Arial" w:hAnsi="Arial"/>
                <w:sz w:val="13"/>
                <w:szCs w:val="13"/>
                <w:color w:val="auto"/>
              </w:rPr>
              <w:t>103,559</w:t>
            </w:r>
          </w:p>
        </w:tc>
        <w:tc>
          <w:tcPr>
            <w:tcW w:w="680" w:type="dxa"/>
            <w:vAlign w:val="bottom"/>
          </w:tcPr>
          <w:p>
            <w:pPr>
              <w:jc w:val="right"/>
              <w:ind w:right="233"/>
              <w:spacing w:after="0"/>
              <w:rPr>
                <w:sz w:val="20"/>
                <w:szCs w:val="20"/>
                <w:color w:val="auto"/>
              </w:rPr>
            </w:pPr>
            <w:r>
              <w:rPr>
                <w:rFonts w:ascii="Arial" w:cs="Arial" w:eastAsia="Arial" w:hAnsi="Arial"/>
                <w:sz w:val="13"/>
                <w:szCs w:val="13"/>
                <w:color w:val="auto"/>
              </w:rPr>
              <w:t>8.50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394"/>
              <w:spacing w:after="0"/>
              <w:rPr>
                <w:sz w:val="20"/>
                <w:szCs w:val="20"/>
                <w:color w:val="auto"/>
              </w:rPr>
            </w:pPr>
            <w:r>
              <w:rPr>
                <w:rFonts w:ascii="Arial" w:cs="Arial" w:eastAsia="Arial" w:hAnsi="Arial"/>
                <w:sz w:val="13"/>
                <w:szCs w:val="13"/>
                <w:color w:val="auto"/>
              </w:rPr>
              <w:t>N/A</w:t>
            </w:r>
          </w:p>
        </w:tc>
        <w:tc>
          <w:tcPr>
            <w:tcW w:w="6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2"/>
        </w:trPr>
        <w:tc>
          <w:tcPr>
            <w:tcW w:w="28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Common equity tier 1 capital ratio (to risk-</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60" w:type="dxa"/>
            <w:vAlign w:val="bottom"/>
            <w:gridSpan w:val="4"/>
            <w:shd w:val="clear" w:color="auto" w:fill="CCEEFF"/>
          </w:tcPr>
          <w:p>
            <w:pPr>
              <w:ind w:left="300"/>
              <w:spacing w:after="0"/>
              <w:rPr>
                <w:sz w:val="20"/>
                <w:szCs w:val="20"/>
                <w:color w:val="auto"/>
              </w:rPr>
            </w:pPr>
            <w:r>
              <w:rPr>
                <w:rFonts w:ascii="Arial" w:cs="Arial" w:eastAsia="Arial" w:hAnsi="Arial"/>
                <w:sz w:val="13"/>
                <w:szCs w:val="13"/>
                <w:color w:val="auto"/>
              </w:rPr>
              <w:t>weighted assets)</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157,594</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12.94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85,284</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7.00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94"/>
              <w:spacing w:after="0"/>
              <w:rPr>
                <w:sz w:val="20"/>
                <w:szCs w:val="20"/>
                <w:color w:val="auto"/>
              </w:rPr>
            </w:pPr>
            <w:r>
              <w:rPr>
                <w:rFonts w:ascii="Arial" w:cs="Arial" w:eastAsia="Arial" w:hAnsi="Arial"/>
                <w:sz w:val="13"/>
                <w:szCs w:val="13"/>
                <w:color w:val="auto"/>
              </w:rPr>
              <w:t>N/A</w:t>
            </w: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5"/>
        </w:trPr>
        <w:tc>
          <w:tcPr>
            <w:tcW w:w="340" w:type="dxa"/>
            <w:vAlign w:val="bottom"/>
          </w:tcPr>
          <w:p>
            <w:pPr>
              <w:spacing w:after="0"/>
              <w:rPr>
                <w:sz w:val="12"/>
                <w:szCs w:val="12"/>
                <w:color w:val="auto"/>
              </w:rPr>
            </w:pPr>
          </w:p>
        </w:tc>
        <w:tc>
          <w:tcPr>
            <w:tcW w:w="2520" w:type="dxa"/>
            <w:vAlign w:val="bottom"/>
            <w:gridSpan w:val="3"/>
          </w:tcPr>
          <w:p>
            <w:pPr>
              <w:ind w:left="120"/>
              <w:spacing w:after="0" w:line="145" w:lineRule="exact"/>
              <w:rPr>
                <w:sz w:val="20"/>
                <w:szCs w:val="20"/>
                <w:color w:val="auto"/>
              </w:rPr>
            </w:pPr>
            <w:r>
              <w:rPr>
                <w:rFonts w:ascii="Arial" w:cs="Arial" w:eastAsia="Arial" w:hAnsi="Arial"/>
                <w:sz w:val="13"/>
                <w:szCs w:val="13"/>
                <w:color w:val="auto"/>
              </w:rPr>
              <w:t>Total capital ratio (to risk-weighted</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60" w:type="dxa"/>
            <w:vAlign w:val="bottom"/>
            <w:gridSpan w:val="4"/>
          </w:tcPr>
          <w:p>
            <w:pPr>
              <w:ind w:left="140"/>
              <w:spacing w:after="0"/>
              <w:rPr>
                <w:sz w:val="20"/>
                <w:szCs w:val="20"/>
                <w:color w:val="auto"/>
              </w:rPr>
            </w:pPr>
            <w:r>
              <w:rPr>
                <w:rFonts w:ascii="Arial" w:cs="Arial" w:eastAsia="Arial" w:hAnsi="Arial"/>
                <w:sz w:val="13"/>
                <w:szCs w:val="13"/>
                <w:color w:val="auto"/>
              </w:rPr>
              <w:t>assets)</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185,008</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15.19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434"/>
              <w:spacing w:after="0"/>
              <w:rPr>
                <w:sz w:val="20"/>
                <w:szCs w:val="20"/>
                <w:color w:val="auto"/>
              </w:rPr>
            </w:pPr>
            <w:r>
              <w:rPr>
                <w:rFonts w:ascii="Arial" w:cs="Arial" w:eastAsia="Arial" w:hAnsi="Arial"/>
                <w:sz w:val="13"/>
                <w:szCs w:val="13"/>
                <w:color w:val="auto"/>
              </w:rPr>
              <w:t>127,926</w:t>
            </w:r>
          </w:p>
        </w:tc>
        <w:tc>
          <w:tcPr>
            <w:tcW w:w="680" w:type="dxa"/>
            <w:vAlign w:val="bottom"/>
          </w:tcPr>
          <w:p>
            <w:pPr>
              <w:jc w:val="right"/>
              <w:ind w:right="233"/>
              <w:spacing w:after="0"/>
              <w:rPr>
                <w:sz w:val="20"/>
                <w:szCs w:val="20"/>
                <w:color w:val="auto"/>
              </w:rPr>
            </w:pPr>
            <w:r>
              <w:rPr>
                <w:rFonts w:ascii="Arial" w:cs="Arial" w:eastAsia="Arial" w:hAnsi="Arial"/>
                <w:sz w:val="13"/>
                <w:szCs w:val="13"/>
                <w:color w:val="auto"/>
              </w:rPr>
              <w:t>10.50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jc w:val="right"/>
              <w:ind w:right="394"/>
              <w:spacing w:after="0"/>
              <w:rPr>
                <w:sz w:val="20"/>
                <w:szCs w:val="20"/>
                <w:color w:val="auto"/>
              </w:rPr>
            </w:pPr>
            <w:r>
              <w:rPr>
                <w:rFonts w:ascii="Arial" w:cs="Arial" w:eastAsia="Arial" w:hAnsi="Arial"/>
                <w:sz w:val="13"/>
                <w:szCs w:val="13"/>
                <w:color w:val="auto"/>
              </w:rPr>
              <w:t>N/A</w:t>
            </w:r>
          </w:p>
        </w:tc>
        <w:tc>
          <w:tcPr>
            <w:tcW w:w="6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18"/>
        </w:trPr>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2520" w:type="dxa"/>
            <w:vAlign w:val="bottom"/>
            <w:gridSpan w:val="3"/>
          </w:tcPr>
          <w:p>
            <w:pPr>
              <w:spacing w:after="0"/>
              <w:rPr>
                <w:sz w:val="20"/>
                <w:szCs w:val="20"/>
                <w:color w:val="auto"/>
              </w:rPr>
            </w:pPr>
            <w:r>
              <w:rPr>
                <w:rFonts w:ascii="Arial" w:cs="Arial" w:eastAsia="Arial" w:hAnsi="Arial"/>
                <w:sz w:val="13"/>
                <w:szCs w:val="13"/>
                <w:b w:val="1"/>
                <w:bCs w:val="1"/>
                <w:color w:val="auto"/>
              </w:rPr>
              <w:t>The Bank</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40" w:type="dxa"/>
            <w:vAlign w:val="bottom"/>
            <w:shd w:val="clear" w:color="auto" w:fill="CCEEFF"/>
          </w:tcPr>
          <w:p>
            <w:pPr>
              <w:spacing w:after="0"/>
              <w:rPr>
                <w:sz w:val="13"/>
                <w:szCs w:val="13"/>
                <w:color w:val="auto"/>
              </w:rPr>
            </w:pPr>
          </w:p>
        </w:tc>
        <w:tc>
          <w:tcPr>
            <w:tcW w:w="25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assets)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135,527</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7.45</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72,770</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90,962</w:t>
            </w:r>
          </w:p>
        </w:tc>
        <w:tc>
          <w:tcPr>
            <w:tcW w:w="6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5.00</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52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135,527</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11.34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ind w:right="434"/>
              <w:spacing w:after="0"/>
              <w:rPr>
                <w:sz w:val="20"/>
                <w:szCs w:val="20"/>
                <w:color w:val="auto"/>
              </w:rPr>
            </w:pPr>
            <w:r>
              <w:rPr>
                <w:rFonts w:ascii="Arial" w:cs="Arial" w:eastAsia="Arial" w:hAnsi="Arial"/>
                <w:sz w:val="13"/>
                <w:szCs w:val="13"/>
                <w:color w:val="auto"/>
              </w:rPr>
              <w:t>101,619</w:t>
            </w:r>
          </w:p>
        </w:tc>
        <w:tc>
          <w:tcPr>
            <w:tcW w:w="680" w:type="dxa"/>
            <w:vAlign w:val="bottom"/>
          </w:tcPr>
          <w:p>
            <w:pPr>
              <w:jc w:val="right"/>
              <w:ind w:right="233"/>
              <w:spacing w:after="0"/>
              <w:rPr>
                <w:sz w:val="20"/>
                <w:szCs w:val="20"/>
                <w:color w:val="auto"/>
              </w:rPr>
            </w:pPr>
            <w:r>
              <w:rPr>
                <w:rFonts w:ascii="Arial" w:cs="Arial" w:eastAsia="Arial" w:hAnsi="Arial"/>
                <w:sz w:val="13"/>
                <w:szCs w:val="13"/>
                <w:color w:val="auto"/>
              </w:rPr>
              <w:t>8.50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ind w:right="434"/>
              <w:spacing w:after="0"/>
              <w:rPr>
                <w:sz w:val="20"/>
                <w:szCs w:val="20"/>
                <w:color w:val="auto"/>
              </w:rPr>
            </w:pPr>
            <w:r>
              <w:rPr>
                <w:rFonts w:ascii="Arial" w:cs="Arial" w:eastAsia="Arial" w:hAnsi="Arial"/>
                <w:sz w:val="13"/>
                <w:szCs w:val="13"/>
                <w:color w:val="auto"/>
              </w:rPr>
              <w:t>95,642</w:t>
            </w:r>
          </w:p>
        </w:tc>
        <w:tc>
          <w:tcPr>
            <w:tcW w:w="620" w:type="dxa"/>
            <w:vAlign w:val="bottom"/>
          </w:tcPr>
          <w:p>
            <w:pPr>
              <w:jc w:val="right"/>
              <w:ind w:right="173"/>
              <w:spacing w:after="0"/>
              <w:rPr>
                <w:sz w:val="20"/>
                <w:szCs w:val="20"/>
                <w:color w:val="auto"/>
              </w:rPr>
            </w:pPr>
            <w:r>
              <w:rPr>
                <w:rFonts w:ascii="Arial" w:cs="Arial" w:eastAsia="Arial" w:hAnsi="Arial"/>
                <w:sz w:val="13"/>
                <w:szCs w:val="13"/>
                <w:color w:val="auto"/>
              </w:rPr>
              <w:t>8.00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286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Common equity tier 1 capital ratio (to risk-</w:t>
            </w: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60" w:type="dxa"/>
            <w:vAlign w:val="bottom"/>
            <w:gridSpan w:val="4"/>
            <w:shd w:val="clear" w:color="auto" w:fill="CCEEFF"/>
          </w:tcPr>
          <w:p>
            <w:pPr>
              <w:ind w:left="300"/>
              <w:spacing w:after="0"/>
              <w:rPr>
                <w:sz w:val="20"/>
                <w:szCs w:val="20"/>
                <w:color w:val="auto"/>
              </w:rPr>
            </w:pPr>
            <w:r>
              <w:rPr>
                <w:rFonts w:ascii="Arial" w:cs="Arial" w:eastAsia="Arial" w:hAnsi="Arial"/>
                <w:sz w:val="13"/>
                <w:szCs w:val="13"/>
                <w:color w:val="auto"/>
              </w:rPr>
              <w:t>weighted assets)</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135,527</w:t>
            </w:r>
          </w:p>
        </w:tc>
        <w:tc>
          <w:tcPr>
            <w:tcW w:w="116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11.34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83,686</w:t>
            </w:r>
          </w:p>
        </w:tc>
        <w:tc>
          <w:tcPr>
            <w:tcW w:w="6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7.00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34"/>
              <w:spacing w:after="0"/>
              <w:rPr>
                <w:sz w:val="20"/>
                <w:szCs w:val="20"/>
                <w:color w:val="auto"/>
              </w:rPr>
            </w:pPr>
            <w:r>
              <w:rPr>
                <w:rFonts w:ascii="Arial" w:cs="Arial" w:eastAsia="Arial" w:hAnsi="Arial"/>
                <w:sz w:val="13"/>
                <w:szCs w:val="13"/>
                <w:color w:val="auto"/>
              </w:rPr>
              <w:t>77,709</w:t>
            </w:r>
          </w:p>
        </w:tc>
        <w:tc>
          <w:tcPr>
            <w:tcW w:w="6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6.50</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340" w:type="dxa"/>
            <w:vAlign w:val="bottom"/>
          </w:tcPr>
          <w:p>
            <w:pPr>
              <w:spacing w:after="0"/>
              <w:rPr>
                <w:sz w:val="12"/>
                <w:szCs w:val="12"/>
                <w:color w:val="auto"/>
              </w:rPr>
            </w:pPr>
          </w:p>
        </w:tc>
        <w:tc>
          <w:tcPr>
            <w:tcW w:w="2520" w:type="dxa"/>
            <w:vAlign w:val="bottom"/>
            <w:gridSpan w:val="3"/>
          </w:tcPr>
          <w:p>
            <w:pPr>
              <w:ind w:left="120"/>
              <w:spacing w:after="0" w:line="145" w:lineRule="exact"/>
              <w:rPr>
                <w:sz w:val="20"/>
                <w:szCs w:val="20"/>
                <w:color w:val="auto"/>
              </w:rPr>
            </w:pPr>
            <w:r>
              <w:rPr>
                <w:rFonts w:ascii="Arial" w:cs="Arial" w:eastAsia="Arial" w:hAnsi="Arial"/>
                <w:sz w:val="13"/>
                <w:szCs w:val="13"/>
                <w:color w:val="auto"/>
              </w:rPr>
              <w:t>Total capital ratio (to risk-weighted</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60" w:type="dxa"/>
            <w:vAlign w:val="bottom"/>
            <w:gridSpan w:val="4"/>
          </w:tcPr>
          <w:p>
            <w:pPr>
              <w:ind w:left="140"/>
              <w:spacing w:after="0"/>
              <w:rPr>
                <w:sz w:val="20"/>
                <w:szCs w:val="20"/>
                <w:color w:val="auto"/>
              </w:rPr>
            </w:pPr>
            <w:r>
              <w:rPr>
                <w:rFonts w:ascii="Arial" w:cs="Arial" w:eastAsia="Arial" w:hAnsi="Arial"/>
                <w:sz w:val="13"/>
                <w:szCs w:val="13"/>
                <w:color w:val="auto"/>
              </w:rPr>
              <w:t>assets)</w:t>
            </w: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150,593</w:t>
            </w:r>
          </w:p>
        </w:tc>
        <w:tc>
          <w:tcPr>
            <w:tcW w:w="1160" w:type="dxa"/>
            <w:vAlign w:val="bottom"/>
          </w:tcPr>
          <w:p>
            <w:pPr>
              <w:jc w:val="right"/>
              <w:ind w:right="234"/>
              <w:spacing w:after="0"/>
              <w:rPr>
                <w:sz w:val="20"/>
                <w:szCs w:val="20"/>
                <w:color w:val="auto"/>
              </w:rPr>
            </w:pPr>
            <w:r>
              <w:rPr>
                <w:rFonts w:ascii="Arial" w:cs="Arial" w:eastAsia="Arial" w:hAnsi="Arial"/>
                <w:sz w:val="13"/>
                <w:szCs w:val="13"/>
                <w:color w:val="auto"/>
              </w:rPr>
              <w:t>12.60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right"/>
              <w:ind w:right="434"/>
              <w:spacing w:after="0"/>
              <w:rPr>
                <w:sz w:val="20"/>
                <w:szCs w:val="20"/>
                <w:color w:val="auto"/>
              </w:rPr>
            </w:pPr>
            <w:r>
              <w:rPr>
                <w:rFonts w:ascii="Arial" w:cs="Arial" w:eastAsia="Arial" w:hAnsi="Arial"/>
                <w:sz w:val="13"/>
                <w:szCs w:val="13"/>
                <w:color w:val="auto"/>
              </w:rPr>
              <w:t>125,530</w:t>
            </w:r>
          </w:p>
        </w:tc>
        <w:tc>
          <w:tcPr>
            <w:tcW w:w="680" w:type="dxa"/>
            <w:vAlign w:val="bottom"/>
          </w:tcPr>
          <w:p>
            <w:pPr>
              <w:jc w:val="right"/>
              <w:ind w:right="233"/>
              <w:spacing w:after="0"/>
              <w:rPr>
                <w:sz w:val="20"/>
                <w:szCs w:val="20"/>
                <w:color w:val="auto"/>
              </w:rPr>
            </w:pPr>
            <w:r>
              <w:rPr>
                <w:rFonts w:ascii="Arial" w:cs="Arial" w:eastAsia="Arial" w:hAnsi="Arial"/>
                <w:sz w:val="13"/>
                <w:szCs w:val="13"/>
                <w:color w:val="auto"/>
              </w:rPr>
              <w:t>10.50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jc w:val="right"/>
              <w:ind w:right="434"/>
              <w:spacing w:after="0"/>
              <w:rPr>
                <w:sz w:val="20"/>
                <w:szCs w:val="20"/>
                <w:color w:val="auto"/>
              </w:rPr>
            </w:pPr>
            <w:r>
              <w:rPr>
                <w:rFonts w:ascii="Arial" w:cs="Arial" w:eastAsia="Arial" w:hAnsi="Arial"/>
                <w:sz w:val="13"/>
                <w:szCs w:val="13"/>
                <w:color w:val="auto"/>
              </w:rPr>
              <w:t>119,552</w:t>
            </w:r>
          </w:p>
        </w:tc>
        <w:tc>
          <w:tcPr>
            <w:tcW w:w="620" w:type="dxa"/>
            <w:vAlign w:val="bottom"/>
          </w:tcPr>
          <w:p>
            <w:pPr>
              <w:jc w:val="right"/>
              <w:ind w:right="173"/>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contractual obligations to make future payments on debt agreements. While our liquidity monitoring and management consider both present and future demands for and sources of liquidity, the following table of contractual commitments focuses only on future obligations and summarizes our contractual obligations as of September 30,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As of September 30, 2021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Due in One Year or</w:t>
            </w:r>
          </w:p>
        </w:tc>
        <w:tc>
          <w:tcPr>
            <w:tcW w:w="16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9"/>
              </w:rPr>
              <w:t>Due After One</w:t>
            </w:r>
          </w:p>
        </w:tc>
        <w:tc>
          <w:tcPr>
            <w:tcW w:w="100" w:type="dxa"/>
            <w:vAlign w:val="bottom"/>
          </w:tcPr>
          <w:p>
            <w:pPr>
              <w:spacing w:after="0"/>
              <w:rPr>
                <w:sz w:val="12"/>
                <w:szCs w:val="12"/>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Due After Three</w:t>
            </w:r>
          </w:p>
        </w:tc>
        <w:tc>
          <w:tcPr>
            <w:tcW w:w="14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Due After 5</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0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rPr>
              <w:t>Through Three</w:t>
            </w: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0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Less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9"/>
              </w:rPr>
              <w:t>Years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9"/>
              </w:rPr>
              <w:t>Through Five Years</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FHLB advances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85"/>
        </w:trPr>
        <w:tc>
          <w:tcPr>
            <w:tcW w:w="4040" w:type="dxa"/>
            <w:vAlign w:val="bottom"/>
          </w:tcPr>
          <w:p>
            <w:pPr>
              <w:ind w:left="20"/>
              <w:spacing w:after="0"/>
              <w:rPr>
                <w:sz w:val="20"/>
                <w:szCs w:val="20"/>
                <w:color w:val="auto"/>
              </w:rPr>
            </w:pPr>
            <w:r>
              <w:rPr>
                <w:rFonts w:ascii="Arial" w:cs="Arial" w:eastAsia="Arial" w:hAnsi="Arial"/>
                <w:sz w:val="14"/>
                <w:szCs w:val="14"/>
                <w:color w:val="auto"/>
              </w:rPr>
              <w:t>Certificates of deposit $100,000 or more</w:t>
            </w:r>
          </w:p>
        </w:tc>
        <w:tc>
          <w:tcPr>
            <w:tcW w:w="3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101,802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82,322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185,039</w:t>
            </w: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Certificates of deposit less than $100,000</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28,601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33,489</w:t>
            </w:r>
          </w:p>
        </w:tc>
        <w:tc>
          <w:tcPr>
            <w:tcW w:w="0" w:type="dxa"/>
            <w:vAlign w:val="bottom"/>
          </w:tcPr>
          <w:p>
            <w:pPr>
              <w:spacing w:after="0"/>
              <w:rPr>
                <w:sz w:val="1"/>
                <w:szCs w:val="1"/>
                <w:color w:val="auto"/>
              </w:rPr>
            </w:pP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Lease payments</w:t>
            </w:r>
          </w:p>
        </w:tc>
        <w:tc>
          <w:tcPr>
            <w:tcW w:w="30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1,164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1,724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Subordinated debt</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79"/>
        </w:trPr>
        <w:tc>
          <w:tcPr>
            <w:tcW w:w="404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131,567</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88,379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23,684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12,102</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255,732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250825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5" w:name="page66"/>
    <w:bookmarkEnd w:id="65"/>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35"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211"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CREDIT EXTENSION COMMITMENTS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 September 30, 2021</w:t>
            </w:r>
          </w:p>
        </w:tc>
        <w:tc>
          <w:tcPr>
            <w:tcW w:w="5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18"/>
        </w:trPr>
        <w:tc>
          <w:tcPr>
            <w:tcW w:w="5440" w:type="dxa"/>
            <w:vAlign w:val="bottom"/>
          </w:tcPr>
          <w:p>
            <w:pPr>
              <w:ind w:left="340"/>
              <w:spacing w:after="0" w:line="118" w:lineRule="exact"/>
              <w:rPr>
                <w:sz w:val="20"/>
                <w:szCs w:val="20"/>
                <w:color w:val="auto"/>
              </w:rPr>
            </w:pPr>
            <w:r>
              <w:rPr>
                <w:rFonts w:ascii="Arial" w:cs="Arial" w:eastAsia="Arial" w:hAnsi="Arial"/>
                <w:sz w:val="11"/>
                <w:szCs w:val="11"/>
                <w:color w:val="auto"/>
              </w:rPr>
              <w:t>(in thousands)</w:t>
            </w:r>
          </w:p>
        </w:tc>
        <w:tc>
          <w:tcPr>
            <w:tcW w:w="56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w:t>
            </w:r>
          </w:p>
        </w:tc>
        <w:tc>
          <w:tcPr>
            <w:tcW w:w="22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344,859</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5440" w:type="dxa"/>
            <w:vAlign w:val="bottom"/>
          </w:tcPr>
          <w:p>
            <w:pPr>
              <w:ind w:left="340"/>
              <w:spacing w:after="0"/>
              <w:rPr>
                <w:sz w:val="20"/>
                <w:szCs w:val="20"/>
                <w:color w:val="auto"/>
              </w:rPr>
            </w:pPr>
            <w:r>
              <w:rPr>
                <w:rFonts w:ascii="Arial" w:cs="Arial" w:eastAsia="Arial" w:hAnsi="Arial"/>
                <w:sz w:val="16"/>
                <w:szCs w:val="16"/>
                <w:color w:val="auto"/>
              </w:rPr>
              <w:t>Unfunded lines of credit</w:t>
            </w:r>
          </w:p>
        </w:tc>
        <w:tc>
          <w:tcPr>
            <w:tcW w:w="560" w:type="dxa"/>
            <w:vAlign w:val="bottom"/>
            <w:vMerge w:val="continue"/>
          </w:tcPr>
          <w:p>
            <w:pPr>
              <w:spacing w:after="0"/>
              <w:rPr>
                <w:sz w:val="20"/>
                <w:szCs w:val="20"/>
                <w:color w:val="auto"/>
              </w:rPr>
            </w:pPr>
          </w:p>
        </w:tc>
        <w:tc>
          <w:tcPr>
            <w:tcW w:w="2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326,4</w:t>
            </w:r>
          </w:p>
        </w:tc>
        <w:tc>
          <w:tcPr>
            <w:tcW w:w="0" w:type="dxa"/>
            <w:vAlign w:val="bottom"/>
          </w:tcPr>
          <w:p>
            <w:pPr>
              <w:spacing w:after="0"/>
              <w:rPr>
                <w:sz w:val="1"/>
                <w:szCs w:val="1"/>
                <w:color w:val="auto"/>
              </w:rPr>
            </w:pPr>
          </w:p>
        </w:tc>
      </w:tr>
      <w:tr>
        <w:trPr>
          <w:trHeight w:val="21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to originate residential loans held for sale</w:t>
            </w: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1,205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2"/>
        </w:trPr>
        <w:tc>
          <w:tcPr>
            <w:tcW w:w="5440" w:type="dxa"/>
            <w:vAlign w:val="bottom"/>
          </w:tcPr>
          <w:p>
            <w:pPr>
              <w:ind w:left="340"/>
              <w:spacing w:after="0"/>
              <w:rPr>
                <w:sz w:val="20"/>
                <w:szCs w:val="20"/>
                <w:color w:val="auto"/>
              </w:rPr>
            </w:pPr>
            <w:r>
              <w:rPr>
                <w:rFonts w:ascii="Arial" w:cs="Arial" w:eastAsia="Arial" w:hAnsi="Arial"/>
                <w:sz w:val="16"/>
                <w:szCs w:val="16"/>
                <w:color w:val="auto"/>
              </w:rPr>
              <w:t>Letters of credit</w:t>
            </w:r>
          </w:p>
        </w:tc>
        <w:tc>
          <w:tcPr>
            <w:tcW w:w="560" w:type="dxa"/>
            <w:vAlign w:val="bottom"/>
          </w:tcPr>
          <w:p>
            <w:pPr>
              <w:spacing w:after="0"/>
              <w:rPr>
                <w:sz w:val="18"/>
                <w:szCs w:val="18"/>
                <w:color w:val="auto"/>
              </w:rPr>
            </w:pPr>
          </w:p>
        </w:tc>
        <w:tc>
          <w:tcPr>
            <w:tcW w:w="2280" w:type="dxa"/>
            <w:vAlign w:val="bottom"/>
          </w:tcPr>
          <w:p>
            <w:pPr>
              <w:jc w:val="right"/>
              <w:ind w:right="2"/>
              <w:spacing w:after="0"/>
              <w:rPr>
                <w:sz w:val="20"/>
                <w:szCs w:val="20"/>
                <w:color w:val="auto"/>
              </w:rPr>
            </w:pPr>
            <w:r>
              <w:rPr>
                <w:rFonts w:ascii="Arial" w:cs="Arial" w:eastAsia="Arial" w:hAnsi="Arial"/>
                <w:sz w:val="16"/>
                <w:szCs w:val="16"/>
                <w:b w:val="1"/>
                <w:bCs w:val="1"/>
                <w:color w:val="auto"/>
              </w:rPr>
              <w:t>5,132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Commitment to fund other investments</w:t>
            </w:r>
          </w:p>
        </w:tc>
        <w:tc>
          <w:tcPr>
            <w:tcW w:w="56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8,000</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40" w:type="dxa"/>
            <w:vAlign w:val="bottom"/>
          </w:tcPr>
          <w:p>
            <w:pPr>
              <w:ind w:left="460"/>
              <w:spacing w:after="0"/>
              <w:rPr>
                <w:sz w:val="20"/>
                <w:szCs w:val="20"/>
                <w:color w:val="auto"/>
              </w:rPr>
            </w:pPr>
            <w:r>
              <w:rPr>
                <w:rFonts w:ascii="Arial" w:cs="Arial" w:eastAsia="Arial" w:hAnsi="Arial"/>
                <w:sz w:val="16"/>
                <w:szCs w:val="16"/>
                <w:color w:val="auto"/>
              </w:rPr>
              <w:t>Total credit extension commitments</w:t>
            </w: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359,196</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18"/>
        <w:spacing w:after="0" w:line="246" w:lineRule="auto"/>
        <w:rPr>
          <w:sz w:val="20"/>
          <w:szCs w:val="20"/>
          <w:color w:val="auto"/>
        </w:rPr>
      </w:pPr>
      <w:r>
        <w:rPr>
          <w:rFonts w:ascii="Arial" w:cs="Arial" w:eastAsia="Arial" w:hAnsi="Arial"/>
          <w:sz w:val="18"/>
          <w:szCs w:val="18"/>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client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w:t>
      </w:r>
    </w:p>
    <w:p>
      <w:pPr>
        <w:spacing w:after="0" w:line="211" w:lineRule="exact"/>
        <w:rPr>
          <w:sz w:val="20"/>
          <w:szCs w:val="20"/>
          <w:color w:val="auto"/>
        </w:rPr>
      </w:pPr>
    </w:p>
    <w:p>
      <w:pPr>
        <w:jc w:val="both"/>
        <w:ind w:right="100" w:firstLine="318"/>
        <w:spacing w:after="0" w:line="247" w:lineRule="auto"/>
        <w:rPr>
          <w:sz w:val="20"/>
          <w:szCs w:val="20"/>
          <w:color w:val="auto"/>
        </w:rPr>
      </w:pPr>
      <w:r>
        <w:rPr>
          <w:rFonts w:ascii="Arial" w:cs="Arial" w:eastAsia="Arial" w:hAnsi="Arial"/>
          <w:sz w:val="18"/>
          <w:szCs w:val="18"/>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spacing w:after="0" w:line="208"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6" w:name="page67"/>
    <w:bookmarkEnd w:id="66"/>
    <w:p>
      <w:pPr>
        <w:spacing w:after="0" w:line="18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commitment to fund other investments reflects an obligation to make an investment in a Small Business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8"/>
          <w:szCs w:val="18"/>
          <w:b w:val="1"/>
          <w:bCs w:val="1"/>
          <w:color w:val="auto"/>
        </w:rPr>
        <w:t>.</w:t>
      </w:r>
      <w:r>
        <w:rPr>
          <w:rFonts w:ascii="Arial" w:cs="Arial" w:eastAsia="Arial" w:hAnsi="Arial"/>
          <w:sz w:val="18"/>
          <w:szCs w:val="18"/>
          <w:color w:val="auto"/>
        </w:rPr>
        <w:t xml:space="preserve"> We endeavor to manage our sensitivity position within our established guidelines.</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spacing w:after="0" w:line="20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of the current outlook on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2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After One Month</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After Three</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Greater Than One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Within One Month</w:t>
            </w:r>
          </w:p>
        </w:tc>
        <w:tc>
          <w:tcPr>
            <w:tcW w:w="140" w:type="dxa"/>
            <w:vAlign w:val="bottom"/>
          </w:tcPr>
          <w:p>
            <w:pPr>
              <w:spacing w:after="0"/>
              <w:rPr>
                <w:sz w:val="11"/>
                <w:szCs w:val="11"/>
                <w:color w:val="auto"/>
              </w:rPr>
            </w:pPr>
          </w:p>
        </w:tc>
        <w:tc>
          <w:tcPr>
            <w:tcW w:w="14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9"/>
              </w:rPr>
              <w:t>Through Three</w:t>
            </w: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8"/>
              </w:rPr>
              <w:t>Through Twelve</w:t>
            </w:r>
          </w:p>
        </w:tc>
        <w:tc>
          <w:tcPr>
            <w:tcW w:w="12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Within One Year</w:t>
            </w: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9"/>
              </w:rPr>
              <w:t>Year or Non-</w:t>
            </w:r>
          </w:p>
        </w:tc>
        <w:tc>
          <w:tcPr>
            <w:tcW w:w="280" w:type="dxa"/>
            <w:vAlign w:val="bottom"/>
          </w:tcPr>
          <w:p>
            <w:pPr>
              <w:spacing w:after="0"/>
              <w:rPr>
                <w:sz w:val="11"/>
                <w:szCs w:val="11"/>
                <w:color w:val="auto"/>
              </w:rPr>
            </w:pPr>
          </w:p>
        </w:tc>
        <w:tc>
          <w:tcPr>
            <w:tcW w:w="96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580" w:type="dxa"/>
            <w:vAlign w:val="bottom"/>
            <w:vMerge w:val="continue"/>
          </w:tcPr>
          <w:p>
            <w:pPr>
              <w:spacing w:after="0"/>
              <w:rPr>
                <w:sz w:val="14"/>
                <w:szCs w:val="14"/>
                <w:color w:val="auto"/>
              </w:rPr>
            </w:pPr>
          </w:p>
        </w:tc>
        <w:tc>
          <w:tcPr>
            <w:tcW w:w="144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Sensitive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580" w:type="dxa"/>
            <w:vAlign w:val="bottom"/>
          </w:tcPr>
          <w:p>
            <w:pPr>
              <w:ind w:left="20"/>
              <w:spacing w:after="0" w:line="118" w:lineRule="exact"/>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8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140"/>
              <w:spacing w:after="0" w:line="186"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18"/>
                <w:szCs w:val="18"/>
                <w:color w:val="auto"/>
                <w:vertAlign w:val="superscript"/>
              </w:rPr>
              <w:t>(1)</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774,333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59,825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208,824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1,042,982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575,327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1,618,309</w:t>
            </w:r>
          </w:p>
        </w:tc>
        <w:tc>
          <w:tcPr>
            <w:tcW w:w="0" w:type="dxa"/>
            <w:vAlign w:val="bottom"/>
          </w:tcPr>
          <w:p>
            <w:pPr>
              <w:spacing w:after="0"/>
              <w:rPr>
                <w:sz w:val="1"/>
                <w:szCs w:val="1"/>
                <w:color w:val="auto"/>
              </w:rPr>
            </w:pPr>
          </w:p>
        </w:tc>
      </w:tr>
      <w:tr>
        <w:trPr>
          <w:trHeight w:val="185"/>
        </w:trPr>
        <w:tc>
          <w:tcPr>
            <w:tcW w:w="258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15,626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15,626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173,539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189,165</w:t>
            </w:r>
          </w:p>
        </w:tc>
        <w:tc>
          <w:tcPr>
            <w:tcW w:w="0" w:type="dxa"/>
            <w:vAlign w:val="bottom"/>
          </w:tcPr>
          <w:p>
            <w:pPr>
              <w:spacing w:after="0"/>
              <w:rPr>
                <w:sz w:val="1"/>
                <w:szCs w:val="1"/>
                <w:color w:val="auto"/>
              </w:rPr>
            </w:pPr>
          </w:p>
        </w:tc>
      </w:tr>
      <w:tr>
        <w:trPr>
          <w:trHeight w:val="150"/>
        </w:trPr>
        <w:tc>
          <w:tcPr>
            <w:tcW w:w="258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Interest bearing deposits at other</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299,033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299,033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299,033</w:t>
            </w:r>
          </w:p>
        </w:tc>
        <w:tc>
          <w:tcPr>
            <w:tcW w:w="0" w:type="dxa"/>
            <w:vAlign w:val="bottom"/>
          </w:tcPr>
          <w:p>
            <w:pPr>
              <w:spacing w:after="0"/>
              <w:rPr>
                <w:sz w:val="1"/>
                <w:szCs w:val="1"/>
                <w:color w:val="auto"/>
              </w:rPr>
            </w:pPr>
          </w:p>
        </w:tc>
      </w:tr>
      <w:tr>
        <w:trPr>
          <w:trHeight w:val="168"/>
        </w:trPr>
        <w:tc>
          <w:tcPr>
            <w:tcW w:w="25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financial institutions</w:t>
            </w: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80" w:type="dxa"/>
            <w:vAlign w:val="bottom"/>
          </w:tcPr>
          <w:p>
            <w:pPr>
              <w:ind w:left="140"/>
              <w:spacing w:after="0"/>
              <w:rPr>
                <w:sz w:val="20"/>
                <w:szCs w:val="20"/>
                <w:color w:val="auto"/>
              </w:rPr>
            </w:pPr>
            <w:r>
              <w:rPr>
                <w:rFonts w:ascii="Arial" w:cs="Arial" w:eastAsia="Arial" w:hAnsi="Arial"/>
                <w:sz w:val="14"/>
                <w:szCs w:val="14"/>
                <w:color w:val="auto"/>
              </w:rPr>
              <w:t>Federal funds sold</w:t>
            </w: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1,315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1,315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204"/>
        </w:trPr>
        <w:tc>
          <w:tcPr>
            <w:tcW w:w="25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earning assets</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1,090,307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59,825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208,824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1,358,956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748,866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2,107,822</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Interest bearing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bearing deposits</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869,523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869,523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869,523</w:t>
            </w:r>
          </w:p>
        </w:tc>
        <w:tc>
          <w:tcPr>
            <w:tcW w:w="0" w:type="dxa"/>
            <w:vAlign w:val="bottom"/>
          </w:tcPr>
          <w:p>
            <w:pPr>
              <w:spacing w:after="0"/>
              <w:rPr>
                <w:sz w:val="1"/>
                <w:szCs w:val="1"/>
                <w:color w:val="auto"/>
              </w:rPr>
            </w:pPr>
          </w:p>
        </w:tc>
      </w:tr>
      <w:tr>
        <w:trPr>
          <w:trHeight w:val="186"/>
        </w:trPr>
        <w:tc>
          <w:tcPr>
            <w:tcW w:w="25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Time deposits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28,240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30,825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71,338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130,403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88,125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218,528</w:t>
            </w:r>
          </w:p>
        </w:tc>
        <w:tc>
          <w:tcPr>
            <w:tcW w:w="0" w:type="dxa"/>
            <w:vAlign w:val="bottom"/>
          </w:tcPr>
          <w:p>
            <w:pPr>
              <w:spacing w:after="0"/>
              <w:rPr>
                <w:sz w:val="1"/>
                <w:szCs w:val="1"/>
                <w:color w:val="auto"/>
              </w:rPr>
            </w:pPr>
          </w:p>
        </w:tc>
      </w:tr>
      <w:tr>
        <w:trPr>
          <w:trHeight w:val="179"/>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interest bearing deposits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897,763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30,825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71,338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999,926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88,125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1,088,051</w:t>
            </w:r>
          </w:p>
        </w:tc>
        <w:tc>
          <w:tcPr>
            <w:tcW w:w="0" w:type="dxa"/>
            <w:vAlign w:val="bottom"/>
          </w:tcPr>
          <w:p>
            <w:pPr>
              <w:spacing w:after="0"/>
              <w:rPr>
                <w:sz w:val="1"/>
                <w:szCs w:val="1"/>
                <w:color w:val="auto"/>
              </w:rPr>
            </w:pP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FHLB Advances</w:t>
            </w:r>
          </w:p>
        </w:tc>
        <w:tc>
          <w:tcPr>
            <w:tcW w:w="3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22,000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borrowed funds</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12,062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79"/>
        </w:trPr>
        <w:tc>
          <w:tcPr>
            <w:tcW w:w="2580" w:type="dxa"/>
            <w:vAlign w:val="bottom"/>
          </w:tcPr>
          <w:p>
            <w:pPr>
              <w:ind w:left="340"/>
              <w:spacing w:after="0"/>
              <w:rPr>
                <w:sz w:val="20"/>
                <w:szCs w:val="20"/>
                <w:color w:val="auto"/>
              </w:rPr>
            </w:pPr>
            <w:r>
              <w:rPr>
                <w:rFonts w:ascii="Arial" w:cs="Arial" w:eastAsia="Arial" w:hAnsi="Arial"/>
                <w:sz w:val="14"/>
                <w:szCs w:val="14"/>
                <w:color w:val="auto"/>
              </w:rPr>
              <w:t>Total interest bearing liabilities</w:t>
            </w: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897,763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30,825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71,338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999,926</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122,187</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1,122,113</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Period gap</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192,544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29,000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137,486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359,030</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626,679</w:t>
            </w:r>
          </w:p>
        </w:tc>
        <w:tc>
          <w:tcPr>
            <w:tcW w:w="12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985,709</w:t>
            </w:r>
          </w:p>
        </w:tc>
        <w:tc>
          <w:tcPr>
            <w:tcW w:w="0" w:type="dxa"/>
            <w:vAlign w:val="bottom"/>
          </w:tcPr>
          <w:p>
            <w:pPr>
              <w:spacing w:after="0"/>
              <w:rPr>
                <w:sz w:val="1"/>
                <w:szCs w:val="1"/>
                <w:color w:val="auto"/>
              </w:rPr>
            </w:pPr>
          </w:p>
        </w:tc>
      </w:tr>
      <w:tr>
        <w:trPr>
          <w:trHeight w:val="18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gap</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192,544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221,544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359,030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359,030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985,709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580" w:type="dxa"/>
            <w:vAlign w:val="bottom"/>
          </w:tcPr>
          <w:p>
            <w:pPr>
              <w:ind w:left="20"/>
              <w:spacing w:after="0" w:line="151" w:lineRule="exact"/>
              <w:rPr>
                <w:sz w:val="20"/>
                <w:szCs w:val="20"/>
                <w:color w:val="auto"/>
              </w:rPr>
            </w:pPr>
            <w:r>
              <w:rPr>
                <w:rFonts w:ascii="Arial" w:cs="Arial" w:eastAsia="Arial" w:hAnsi="Arial"/>
                <w:sz w:val="14"/>
                <w:szCs w:val="14"/>
                <w:color w:val="auto"/>
              </w:rPr>
              <w:t>Ratio of cumulative gap to total earning</w:t>
            </w: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9.13 %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10.51 %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17.03 %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17.03 %</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46.76 %</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80" w:type="dxa"/>
            <w:vAlign w:val="bottom"/>
          </w:tcPr>
          <w:p>
            <w:pPr>
              <w:ind w:left="180"/>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98" w:lineRule="auto"/>
        <w:tabs>
          <w:tab w:leader="none" w:pos="320"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Includes loans held for sale and loans made under the SBA-PPP loan program.</w:t>
      </w:r>
    </w:p>
    <w:p>
      <w:pPr>
        <w:spacing w:after="0" w:line="200" w:lineRule="exact"/>
        <w:rPr>
          <w:sz w:val="20"/>
          <w:szCs w:val="20"/>
          <w:color w:val="auto"/>
        </w:rPr>
      </w:pPr>
    </w:p>
    <w:p>
      <w:pPr>
        <w:spacing w:after="0" w:line="244"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20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83"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September 30, 2021: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6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Earnings at Risk</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-100 bps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Flat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+100 bps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+200 bps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+300 bps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color w:val="auto"/>
              </w:rPr>
              <w:t>September 30,</w:t>
            </w: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89"/>
              </w:rPr>
              <w:t>2021</w:t>
            </w:r>
          </w:p>
        </w:tc>
        <w:tc>
          <w:tcPr>
            <w:tcW w:w="1220" w:type="dxa"/>
            <w:vAlign w:val="bottom"/>
            <w:gridSpan w:val="2"/>
            <w:vMerge w:val="continue"/>
          </w:tcPr>
          <w:p>
            <w:pPr>
              <w:spacing w:after="0"/>
              <w:rPr>
                <w:sz w:val="13"/>
                <w:szCs w:val="13"/>
                <w:color w:val="auto"/>
              </w:rPr>
            </w:pPr>
          </w:p>
        </w:tc>
        <w:tc>
          <w:tcPr>
            <w:tcW w:w="1240" w:type="dxa"/>
            <w:vAlign w:val="bottom"/>
            <w:vMerge w:val="restart"/>
          </w:tcPr>
          <w:p>
            <w:pPr>
              <w:jc w:val="right"/>
              <w:ind w:right="209"/>
              <w:spacing w:after="0"/>
              <w:rPr>
                <w:sz w:val="20"/>
                <w:szCs w:val="20"/>
                <w:color w:val="auto"/>
              </w:rPr>
            </w:pPr>
            <w:r>
              <w:rPr>
                <w:rFonts w:ascii="Arial" w:cs="Arial" w:eastAsia="Arial" w:hAnsi="Arial"/>
                <w:sz w:val="14"/>
                <w:szCs w:val="14"/>
                <w:color w:val="auto"/>
              </w:rPr>
              <w:t>(2.6)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vMerge w:val="restart"/>
          </w:tcPr>
          <w:p>
            <w:pPr>
              <w:jc w:val="right"/>
              <w:ind w:right="169"/>
              <w:spacing w:after="0"/>
              <w:rPr>
                <w:sz w:val="20"/>
                <w:szCs w:val="20"/>
                <w:color w:val="auto"/>
              </w:rPr>
            </w:pPr>
            <w:r>
              <w:rPr>
                <w:rFonts w:ascii="Arial" w:cs="Arial" w:eastAsia="Arial" w:hAnsi="Arial"/>
                <w:sz w:val="14"/>
                <w:szCs w:val="14"/>
                <w:color w:val="auto"/>
              </w:rPr>
              <w:t>0.0</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40" w:type="dxa"/>
            <w:vAlign w:val="bottom"/>
            <w:vMerge w:val="restart"/>
          </w:tcPr>
          <w:p>
            <w:pPr>
              <w:jc w:val="right"/>
              <w:ind w:right="269"/>
              <w:spacing w:after="0"/>
              <w:rPr>
                <w:sz w:val="20"/>
                <w:szCs w:val="20"/>
                <w:color w:val="auto"/>
              </w:rPr>
            </w:pPr>
            <w:r>
              <w:rPr>
                <w:rFonts w:ascii="Arial" w:cs="Arial" w:eastAsia="Arial" w:hAnsi="Arial"/>
                <w:sz w:val="14"/>
                <w:szCs w:val="14"/>
                <w:color w:val="auto"/>
              </w:rPr>
              <w:t>3.9</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3"/>
                <w:szCs w:val="13"/>
                <w:color w:val="auto"/>
              </w:rPr>
            </w:pPr>
          </w:p>
        </w:tc>
        <w:tc>
          <w:tcPr>
            <w:tcW w:w="1140" w:type="dxa"/>
            <w:vAlign w:val="bottom"/>
            <w:vMerge w:val="restart"/>
          </w:tcPr>
          <w:p>
            <w:pPr>
              <w:jc w:val="right"/>
              <w:ind w:right="289"/>
              <w:spacing w:after="0"/>
              <w:rPr>
                <w:sz w:val="20"/>
                <w:szCs w:val="20"/>
                <w:color w:val="auto"/>
              </w:rPr>
            </w:pPr>
            <w:r>
              <w:rPr>
                <w:rFonts w:ascii="Arial" w:cs="Arial" w:eastAsia="Arial" w:hAnsi="Arial"/>
                <w:sz w:val="14"/>
                <w:szCs w:val="14"/>
                <w:color w:val="auto"/>
              </w:rPr>
              <w:t>9.4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3"/>
                <w:szCs w:val="13"/>
                <w:color w:val="auto"/>
              </w:rPr>
            </w:pPr>
          </w:p>
        </w:tc>
        <w:tc>
          <w:tcPr>
            <w:tcW w:w="1180" w:type="dxa"/>
            <w:vAlign w:val="bottom"/>
            <w:vMerge w:val="restart"/>
          </w:tcPr>
          <w:p>
            <w:pPr>
              <w:jc w:val="right"/>
              <w:ind w:right="269"/>
              <w:spacing w:after="0"/>
              <w:rPr>
                <w:sz w:val="20"/>
                <w:szCs w:val="20"/>
                <w:color w:val="auto"/>
              </w:rPr>
            </w:pPr>
            <w:r>
              <w:rPr>
                <w:rFonts w:ascii="Arial" w:cs="Arial" w:eastAsia="Arial" w:hAnsi="Arial"/>
                <w:sz w:val="14"/>
                <w:szCs w:val="14"/>
                <w:color w:val="auto"/>
              </w:rPr>
              <w:t>15.3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32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illustrates the results of our EVE analysis as of September 30,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51"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620" w:type="dxa"/>
            <w:vAlign w:val="bottom"/>
            <w:gridSpan w:val="2"/>
          </w:tcPr>
          <w:p>
            <w:pPr>
              <w:ind w:left="340"/>
              <w:spacing w:after="0"/>
              <w:rPr>
                <w:sz w:val="20"/>
                <w:szCs w:val="20"/>
                <w:color w:val="auto"/>
              </w:rPr>
            </w:pPr>
            <w:r>
              <w:rPr>
                <w:rFonts w:ascii="Arial" w:cs="Arial" w:eastAsia="Arial" w:hAnsi="Arial"/>
                <w:sz w:val="14"/>
                <w:szCs w:val="14"/>
                <w:b w:val="1"/>
                <w:bCs w:val="1"/>
                <w:color w:val="auto"/>
              </w:rPr>
              <w:t>Economic</w:t>
            </w: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8"/>
              </w:rPr>
              <w:t>-100 bps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Flat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49"/>
              <w:spacing w:after="0"/>
              <w:rPr>
                <w:sz w:val="20"/>
                <w:szCs w:val="20"/>
                <w:color w:val="auto"/>
              </w:rPr>
            </w:pPr>
            <w:r>
              <w:rPr>
                <w:rFonts w:ascii="Arial" w:cs="Arial" w:eastAsia="Arial" w:hAnsi="Arial"/>
                <w:sz w:val="14"/>
                <w:szCs w:val="14"/>
                <w:b w:val="1"/>
                <w:bCs w:val="1"/>
                <w:color w:val="auto"/>
              </w:rPr>
              <w:t>+100 bps</w:t>
            </w:r>
          </w:p>
        </w:tc>
        <w:tc>
          <w:tcPr>
            <w:tcW w:w="100" w:type="dxa"/>
            <w:vAlign w:val="bottom"/>
            <w:vMerge w:val="restart"/>
          </w:tcPr>
          <w:p>
            <w:pPr>
              <w:spacing w:after="0"/>
              <w:rPr>
                <w:sz w:val="14"/>
                <w:szCs w:val="1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6"/>
              </w:rPr>
              <w:t>+200 bps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9"/>
              </w:rPr>
              <w:t>+300 bps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Value of Equity</w:t>
            </w:r>
          </w:p>
        </w:tc>
        <w:tc>
          <w:tcPr>
            <w:tcW w:w="2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20" w:type="dxa"/>
            <w:vAlign w:val="bottom"/>
            <w:gridSpan w:val="2"/>
          </w:tcPr>
          <w:p>
            <w:pPr>
              <w:ind w:left="340"/>
              <w:spacing w:after="0" w:line="144" w:lineRule="exact"/>
              <w:rPr>
                <w:sz w:val="20"/>
                <w:szCs w:val="20"/>
                <w:color w:val="auto"/>
              </w:rPr>
            </w:pPr>
            <w:r>
              <w:rPr>
                <w:rFonts w:ascii="Arial" w:cs="Arial" w:eastAsia="Arial" w:hAnsi="Arial"/>
                <w:sz w:val="14"/>
                <w:szCs w:val="14"/>
                <w:color w:val="auto"/>
              </w:rPr>
              <w:t>September 30,</w:t>
            </w:r>
          </w:p>
        </w:tc>
        <w:tc>
          <w:tcPr>
            <w:tcW w:w="1060" w:type="dxa"/>
            <w:vAlign w:val="bottom"/>
            <w:vMerge w:val="restart"/>
          </w:tcPr>
          <w:p>
            <w:pPr>
              <w:ind w:left="460"/>
              <w:spacing w:after="0"/>
              <w:rPr>
                <w:sz w:val="20"/>
                <w:szCs w:val="20"/>
                <w:color w:val="auto"/>
              </w:rPr>
            </w:pPr>
            <w:r>
              <w:rPr>
                <w:rFonts w:ascii="Arial" w:cs="Arial" w:eastAsia="Arial" w:hAnsi="Arial"/>
                <w:sz w:val="14"/>
                <w:szCs w:val="14"/>
                <w:color w:val="auto"/>
              </w:rPr>
              <w:t>(4.9)</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2"/>
                <w:szCs w:val="12"/>
                <w:color w:val="auto"/>
              </w:rPr>
            </w:pPr>
          </w:p>
        </w:tc>
        <w:tc>
          <w:tcPr>
            <w:tcW w:w="960" w:type="dxa"/>
            <w:vAlign w:val="bottom"/>
            <w:vMerge w:val="restart"/>
          </w:tcPr>
          <w:p>
            <w:pPr>
              <w:jc w:val="right"/>
              <w:ind w:right="209"/>
              <w:spacing w:after="0"/>
              <w:rPr>
                <w:sz w:val="20"/>
                <w:szCs w:val="20"/>
                <w:color w:val="auto"/>
              </w:rPr>
            </w:pPr>
            <w:r>
              <w:rPr>
                <w:rFonts w:ascii="Arial" w:cs="Arial" w:eastAsia="Arial" w:hAnsi="Arial"/>
                <w:sz w:val="14"/>
                <w:szCs w:val="14"/>
                <w:color w:val="auto"/>
              </w:rPr>
              <w:t>0.0</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vMerge w:val="restart"/>
          </w:tcPr>
          <w:p>
            <w:pPr>
              <w:jc w:val="right"/>
              <w:ind w:right="109"/>
              <w:spacing w:after="0"/>
              <w:rPr>
                <w:sz w:val="20"/>
                <w:szCs w:val="20"/>
                <w:color w:val="auto"/>
              </w:rPr>
            </w:pPr>
            <w:r>
              <w:rPr>
                <w:rFonts w:ascii="Arial" w:cs="Arial" w:eastAsia="Arial" w:hAnsi="Arial"/>
                <w:sz w:val="14"/>
                <w:szCs w:val="14"/>
                <w:color w:val="auto"/>
              </w:rPr>
              <w:t>7.7</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vMerge w:val="restart"/>
          </w:tcPr>
          <w:p>
            <w:pPr>
              <w:ind w:left="460"/>
              <w:spacing w:after="0"/>
              <w:rPr>
                <w:sz w:val="20"/>
                <w:szCs w:val="20"/>
                <w:color w:val="auto"/>
              </w:rPr>
            </w:pPr>
            <w:r>
              <w:rPr>
                <w:rFonts w:ascii="Arial" w:cs="Arial" w:eastAsia="Arial" w:hAnsi="Arial"/>
                <w:sz w:val="14"/>
                <w:szCs w:val="14"/>
                <w:color w:val="auto"/>
              </w:rPr>
              <w:t>13.9</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2"/>
                <w:szCs w:val="12"/>
                <w:color w:val="auto"/>
              </w:rPr>
            </w:pPr>
          </w:p>
        </w:tc>
        <w:tc>
          <w:tcPr>
            <w:tcW w:w="1100" w:type="dxa"/>
            <w:vAlign w:val="bottom"/>
            <w:vMerge w:val="restart"/>
          </w:tcPr>
          <w:p>
            <w:pPr>
              <w:ind w:left="480"/>
              <w:spacing w:after="0"/>
              <w:rPr>
                <w:sz w:val="20"/>
                <w:szCs w:val="20"/>
                <w:color w:val="auto"/>
              </w:rPr>
            </w:pPr>
            <w:r>
              <w:rPr>
                <w:rFonts w:ascii="Arial" w:cs="Arial" w:eastAsia="Arial" w:hAnsi="Arial"/>
                <w:sz w:val="14"/>
                <w:szCs w:val="14"/>
                <w:color w:val="auto"/>
              </w:rPr>
              <w:t>19.8</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0"/>
        </w:trPr>
        <w:tc>
          <w:tcPr>
            <w:tcW w:w="1420" w:type="dxa"/>
            <w:vAlign w:val="bottom"/>
          </w:tcPr>
          <w:p>
            <w:pPr>
              <w:ind w:left="20"/>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Securities Exchange Act of 1934, as amended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has been no change in the Company’s internal control over financial reporting (as such term is defined in Rule 13a-15(f) under the Exchange Act) during the fiscal quarter to which this report relates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6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From time to time, we are a party to various litigation matters incidental to the ordinary conduct of our business. We are not presently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0" w:lineRule="exact"/>
        <w:rPr>
          <w:sz w:val="20"/>
          <w:szCs w:val="20"/>
          <w:color w:val="auto"/>
        </w:rPr>
      </w:pPr>
    </w:p>
    <w:p>
      <w:pPr>
        <w:spacing w:after="0" w:line="2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There are no material changes to the risk factors as previously disclosed under Item 1A in our Annual Report for the year ended December 31, 2020 and those referenced in other reports on file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6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February 2, 2021, the Company announced a new stock repurchase program. Under the new program, the Company is authorized to repurchase up to $7.5 million of its outstanding common stock. During the nine months ended September 30, 2021, the Company did not repurchase any shares under the stock repurchase program.</w:t>
      </w:r>
    </w:p>
    <w:p>
      <w:pPr>
        <w:spacing w:after="0" w:line="206"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The new program replaces the previous $5.0 million stock repurchase program approved by the Board in April 2019, which concluded in the fourth quarter of 2020. In connection with the prior repurchase program, the Company purchased an aggregate of 304,114 shares of its common stock at an average price of $10.81 per share during the twelve months ended December 31, 2020, as reflected in the following table.</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3"/>
                <w:szCs w:val="13"/>
                <w:color w:val="auto"/>
              </w:rPr>
            </w:pPr>
          </w:p>
        </w:tc>
        <w:tc>
          <w:tcPr>
            <w:tcW w:w="1820" w:type="dxa"/>
            <w:vAlign w:val="bottom"/>
          </w:tcPr>
          <w:p>
            <w:pPr>
              <w:jc w:val="center"/>
              <w:ind w:right="49"/>
              <w:spacing w:after="0"/>
              <w:rPr>
                <w:sz w:val="20"/>
                <w:szCs w:val="20"/>
                <w:color w:val="auto"/>
              </w:rPr>
            </w:pPr>
            <w:r>
              <w:rPr>
                <w:rFonts w:ascii="Arial" w:cs="Arial" w:eastAsia="Arial" w:hAnsi="Arial"/>
                <w:sz w:val="14"/>
                <w:szCs w:val="14"/>
                <w:b w:val="1"/>
                <w:bCs w:val="1"/>
                <w:color w:val="auto"/>
                <w:w w:val="99"/>
              </w:rPr>
              <w:t>Maximum Dollar Value of</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20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Purchased as Part of</w:t>
            </w:r>
          </w:p>
        </w:tc>
        <w:tc>
          <w:tcPr>
            <w:tcW w:w="120" w:type="dxa"/>
            <w:vAlign w:val="bottom"/>
          </w:tcPr>
          <w:p>
            <w:pPr>
              <w:spacing w:after="0"/>
              <w:rPr>
                <w:sz w:val="11"/>
                <w:szCs w:val="11"/>
                <w:color w:val="auto"/>
              </w:rPr>
            </w:pPr>
          </w:p>
        </w:tc>
        <w:tc>
          <w:tcPr>
            <w:tcW w:w="1820" w:type="dxa"/>
            <w:vAlign w:val="bottom"/>
          </w:tcPr>
          <w:p>
            <w:pPr>
              <w:jc w:val="center"/>
              <w:ind w:right="49"/>
              <w:spacing w:after="0" w:line="133" w:lineRule="exact"/>
              <w:rPr>
                <w:sz w:val="20"/>
                <w:szCs w:val="20"/>
                <w:color w:val="auto"/>
              </w:rPr>
            </w:pPr>
            <w:r>
              <w:rPr>
                <w:rFonts w:ascii="Arial" w:cs="Arial" w:eastAsia="Arial" w:hAnsi="Arial"/>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33"/>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Periods</w:t>
            </w:r>
          </w:p>
        </w:tc>
        <w:tc>
          <w:tcPr>
            <w:tcW w:w="1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Publicly Announced Plans</w:t>
            </w:r>
          </w:p>
        </w:tc>
        <w:tc>
          <w:tcPr>
            <w:tcW w:w="19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9"/>
              </w:rPr>
              <w:t>Purchased Under the Plans</w:t>
            </w:r>
          </w:p>
        </w:tc>
        <w:tc>
          <w:tcPr>
            <w:tcW w:w="0" w:type="dxa"/>
            <w:vAlign w:val="bottom"/>
          </w:tcPr>
          <w:p>
            <w:pPr>
              <w:spacing w:after="0"/>
              <w:rPr>
                <w:sz w:val="1"/>
                <w:szCs w:val="1"/>
                <w:color w:val="auto"/>
              </w:rPr>
            </w:pPr>
          </w:p>
        </w:tc>
      </w:tr>
      <w:tr>
        <w:trPr>
          <w:trHeight w:val="172"/>
        </w:trPr>
        <w:tc>
          <w:tcPr>
            <w:tcW w:w="4400" w:type="dxa"/>
            <w:vAlign w:val="bottom"/>
            <w:vMerge w:val="continue"/>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 Purchased</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paid per share</w:t>
            </w: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or Programs</w:t>
            </w:r>
          </w:p>
        </w:tc>
        <w:tc>
          <w:tcPr>
            <w:tcW w:w="120" w:type="dxa"/>
            <w:vAlign w:val="bottom"/>
          </w:tcPr>
          <w:p>
            <w:pPr>
              <w:spacing w:after="0"/>
              <w:rPr>
                <w:sz w:val="14"/>
                <w:szCs w:val="14"/>
                <w:color w:val="auto"/>
              </w:rPr>
            </w:pPr>
          </w:p>
        </w:tc>
        <w:tc>
          <w:tcPr>
            <w:tcW w:w="1820" w:type="dxa"/>
            <w:vAlign w:val="bottom"/>
          </w:tcPr>
          <w:p>
            <w:pPr>
              <w:jc w:val="center"/>
              <w:ind w:right="69"/>
              <w:spacing w:after="0"/>
              <w:rPr>
                <w:sz w:val="20"/>
                <w:szCs w:val="20"/>
                <w:color w:val="auto"/>
              </w:rPr>
            </w:pPr>
            <w:r>
              <w:rPr>
                <w:rFonts w:ascii="Arial" w:cs="Arial" w:eastAsia="Arial" w:hAnsi="Arial"/>
                <w:sz w:val="14"/>
                <w:szCs w:val="14"/>
                <w:b w:val="1"/>
                <w:bCs w:val="1"/>
                <w:color w:val="auto"/>
              </w:rPr>
              <w:t>or Programs</w:t>
            </w:r>
          </w:p>
        </w:tc>
        <w:tc>
          <w:tcPr>
            <w:tcW w:w="0" w:type="dxa"/>
            <w:vAlign w:val="bottom"/>
          </w:tcPr>
          <w:p>
            <w:pPr>
              <w:spacing w:after="0"/>
              <w:rPr>
                <w:sz w:val="1"/>
                <w:szCs w:val="1"/>
                <w:color w:val="auto"/>
              </w:rPr>
            </w:pPr>
          </w:p>
        </w:tc>
      </w:tr>
      <w:tr>
        <w:trPr>
          <w:trHeight w:val="17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For the year ended December 31, 2020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304,114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10.81</w:t>
            </w:r>
          </w:p>
        </w:tc>
        <w:tc>
          <w:tcPr>
            <w:tcW w:w="1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304,114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1,340,875</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20"/>
                <w:szCs w:val="20"/>
                <w:color w:val="auto"/>
              </w:rPr>
            </w:pPr>
            <w:r>
              <w:rPr>
                <w:rFonts w:ascii="Arial" w:cs="Arial" w:eastAsia="Arial" w:hAnsi="Arial"/>
                <w:sz w:val="14"/>
                <w:szCs w:val="14"/>
                <w:color w:val="auto"/>
              </w:rPr>
              <w:t>For the three months ended March 31, 2021</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7,500,000</w:t>
            </w:r>
          </w:p>
        </w:tc>
        <w:tc>
          <w:tcPr>
            <w:tcW w:w="0" w:type="dxa"/>
            <w:vAlign w:val="bottom"/>
          </w:tcPr>
          <w:p>
            <w:pPr>
              <w:spacing w:after="0"/>
              <w:rPr>
                <w:sz w:val="1"/>
                <w:szCs w:val="1"/>
                <w:color w:val="auto"/>
              </w:rPr>
            </w:pPr>
          </w:p>
        </w:tc>
      </w:tr>
      <w:tr>
        <w:trPr>
          <w:trHeight w:val="185"/>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For the three months ended June 30, 2021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7,500,000</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20"/>
                <w:szCs w:val="20"/>
                <w:color w:val="auto"/>
              </w:rPr>
            </w:pPr>
            <w:r>
              <w:rPr>
                <w:rFonts w:ascii="Arial" w:cs="Arial" w:eastAsia="Arial" w:hAnsi="Arial"/>
                <w:sz w:val="14"/>
                <w:szCs w:val="14"/>
                <w:color w:val="auto"/>
              </w:rPr>
              <w:t>For the three months ended September 30, 2021</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7,500,000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31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jc w:val="right"/>
              <w:ind w:right="349"/>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5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1080" w:type="dxa"/>
            <w:vAlign w:val="bottom"/>
          </w:tcPr>
          <w:p>
            <w:pPr>
              <w:jc w:val="right"/>
              <w:ind w:right="469"/>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15"/>
                <w:szCs w:val="15"/>
                <w:color w:val="auto"/>
              </w:rPr>
            </w:pPr>
          </w:p>
        </w:tc>
        <w:tc>
          <w:tcPr>
            <w:tcW w:w="9380" w:type="dxa"/>
            <w:vAlign w:val="bottom"/>
            <w:gridSpan w:val="3"/>
          </w:tcPr>
          <w:p>
            <w:pPr>
              <w:spacing w:after="0"/>
              <w:rPr>
                <w:sz w:val="20"/>
                <w:szCs w:val="20"/>
                <w:color w:val="auto"/>
              </w:rPr>
            </w:pPr>
            <w:r>
              <w:rPr>
                <w:rFonts w:ascii="Arial" w:cs="Arial" w:eastAsia="Arial" w:hAnsi="Arial"/>
                <w:sz w:val="14"/>
                <w:szCs w:val="14"/>
                <w:color w:val="auto"/>
              </w:rPr>
              <w:t>Amended and Restated Articles of Incorporation (incorporated by reference to Exhibit 3.1 to the Company’s Form S-1 filed on August 31, 2018).</w:t>
            </w:r>
          </w:p>
        </w:tc>
        <w:tc>
          <w:tcPr>
            <w:tcW w:w="0" w:type="dxa"/>
            <w:vAlign w:val="bottom"/>
          </w:tcPr>
          <w:p>
            <w:pPr>
              <w:spacing w:after="0"/>
              <w:rPr>
                <w:sz w:val="1"/>
                <w:szCs w:val="1"/>
                <w:color w:val="auto"/>
              </w:rPr>
            </w:pPr>
          </w:p>
        </w:tc>
      </w:tr>
      <w:tr>
        <w:trPr>
          <w:trHeight w:val="185"/>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16"/>
                <w:szCs w:val="16"/>
                <w:color w:val="auto"/>
              </w:rPr>
            </w:pPr>
          </w:p>
        </w:tc>
        <w:tc>
          <w:tcPr>
            <w:tcW w:w="9380" w:type="dxa"/>
            <w:vAlign w:val="bottom"/>
            <w:gridSpan w:val="3"/>
          </w:tcPr>
          <w:p>
            <w:pPr>
              <w:spacing w:after="0"/>
              <w:rPr>
                <w:sz w:val="20"/>
                <w:szCs w:val="20"/>
                <w:color w:val="auto"/>
              </w:rPr>
            </w:pPr>
            <w:r>
              <w:rPr>
                <w:rFonts w:ascii="Arial" w:cs="Arial" w:eastAsia="Arial" w:hAnsi="Arial"/>
                <w:sz w:val="14"/>
                <w:szCs w:val="14"/>
                <w:color w:val="auto"/>
              </w:rPr>
              <w:t>Amended and Restated Bylaws (incorporated by reference to Exhibit 3.2 to the Company’s Form S-1 filed on August 31, 2018).</w:t>
            </w:r>
          </w:p>
        </w:tc>
        <w:tc>
          <w:tcPr>
            <w:tcW w:w="0" w:type="dxa"/>
            <w:vAlign w:val="bottom"/>
          </w:tcPr>
          <w:p>
            <w:pPr>
              <w:spacing w:after="0"/>
              <w:rPr>
                <w:sz w:val="1"/>
                <w:szCs w:val="1"/>
                <w:color w:val="auto"/>
              </w:rPr>
            </w:pPr>
          </w:p>
        </w:tc>
      </w:tr>
      <w:tr>
        <w:trPr>
          <w:trHeight w:val="157"/>
        </w:trPr>
        <w:tc>
          <w:tcPr>
            <w:tcW w:w="1080" w:type="dxa"/>
            <w:vAlign w:val="bottom"/>
          </w:tcPr>
          <w:p>
            <w:pPr>
              <w:jc w:val="right"/>
              <w:ind w:right="309"/>
              <w:spacing w:after="0" w:line="157" w:lineRule="exact"/>
              <w:rPr>
                <w:sz w:val="20"/>
                <w:szCs w:val="20"/>
                <w:color w:val="auto"/>
              </w:rPr>
            </w:pPr>
            <w:r>
              <w:rPr>
                <w:rFonts w:ascii="Arial" w:cs="Arial" w:eastAsia="Arial" w:hAnsi="Arial"/>
                <w:sz w:val="14"/>
                <w:szCs w:val="14"/>
                <w:color w:val="auto"/>
              </w:rPr>
              <w:t>31.1</w:t>
            </w:r>
          </w:p>
        </w:tc>
        <w:tc>
          <w:tcPr>
            <w:tcW w:w="340" w:type="dxa"/>
            <w:vAlign w:val="bottom"/>
          </w:tcPr>
          <w:p>
            <w:pPr>
              <w:spacing w:after="0"/>
              <w:rPr>
                <w:sz w:val="13"/>
                <w:szCs w:val="13"/>
                <w:color w:val="auto"/>
              </w:rPr>
            </w:pPr>
          </w:p>
        </w:tc>
        <w:tc>
          <w:tcPr>
            <w:tcW w:w="3840" w:type="dxa"/>
            <w:vAlign w:val="bottom"/>
            <w:tcBorders>
              <w:bottom w:val="single" w:sz="8" w:color="0000FF"/>
            </w:tcBorders>
            <w:gridSpan w:val="2"/>
          </w:tcPr>
          <w:p>
            <w:pPr>
              <w:spacing w:after="0" w:line="157" w:lineRule="exact"/>
              <w:rPr>
                <w:rFonts w:ascii="Arial" w:cs="Arial" w:eastAsia="Arial" w:hAnsi="Arial"/>
                <w:sz w:val="14"/>
                <w:szCs w:val="14"/>
                <w:color w:val="0000FF"/>
              </w:rPr>
            </w:pPr>
            <w:hyperlink w:anchor="page75">
              <w:r>
                <w:rPr>
                  <w:rFonts w:ascii="Arial" w:cs="Arial" w:eastAsia="Arial" w:hAnsi="Arial"/>
                  <w:sz w:val="14"/>
                  <w:szCs w:val="14"/>
                  <w:color w:val="0000FF"/>
                </w:rPr>
                <w:t>Rule 13a-14(a) Certification of the Principal Executive Officer.</w:t>
              </w:r>
            </w:hyperlink>
          </w:p>
        </w:tc>
        <w:tc>
          <w:tcPr>
            <w:tcW w:w="5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31.2</w:t>
            </w:r>
          </w:p>
        </w:tc>
        <w:tc>
          <w:tcPr>
            <w:tcW w:w="340" w:type="dxa"/>
            <w:vAlign w:val="bottom"/>
          </w:tcPr>
          <w:p>
            <w:pPr>
              <w:spacing w:after="0"/>
              <w:rPr>
                <w:sz w:val="14"/>
                <w:szCs w:val="14"/>
                <w:color w:val="auto"/>
              </w:rPr>
            </w:pPr>
          </w:p>
        </w:tc>
        <w:tc>
          <w:tcPr>
            <w:tcW w:w="9380" w:type="dxa"/>
            <w:vAlign w:val="bottom"/>
            <w:gridSpan w:val="3"/>
          </w:tcPr>
          <w:p>
            <w:pPr>
              <w:spacing w:after="0"/>
              <w:rPr>
                <w:rFonts w:ascii="Arial" w:cs="Arial" w:eastAsia="Arial" w:hAnsi="Arial"/>
                <w:sz w:val="14"/>
                <w:szCs w:val="14"/>
                <w:color w:val="0000FF"/>
              </w:rPr>
            </w:pPr>
            <w:hyperlink w:anchor="page76">
              <w:r>
                <w:rPr>
                  <w:rFonts w:ascii="Arial" w:cs="Arial" w:eastAsia="Arial" w:hAnsi="Arial"/>
                  <w:sz w:val="14"/>
                  <w:szCs w:val="14"/>
                  <w:color w:val="0000FF"/>
                </w:rPr>
                <w:t>Rule 13a-14(a) Certification of the Principal Financial Officer</w:t>
              </w:r>
            </w:hyperlink>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1960" w:hanging="878"/>
        <w:spacing w:after="0"/>
        <w:tabs>
          <w:tab w:leader="none" w:pos="1960" w:val="left"/>
        </w:tabs>
        <w:numPr>
          <w:ilvl w:val="0"/>
          <w:numId w:val="17"/>
        </w:numPr>
        <w:rPr>
          <w:rFonts w:ascii="Arial" w:cs="Arial" w:eastAsia="Arial" w:hAnsi="Arial"/>
          <w:sz w:val="14"/>
          <w:szCs w:val="14"/>
          <w:u w:val="single" w:color="auto"/>
          <w:color w:val="0000FF"/>
        </w:rPr>
      </w:pPr>
      <w:hyperlink w:anchor="page77">
        <w:r>
          <w:rPr>
            <w:rFonts w:ascii="Arial" w:cs="Arial" w:eastAsia="Arial" w:hAnsi="Arial"/>
            <w:sz w:val="14"/>
            <w:szCs w:val="14"/>
            <w:u w:val="single" w:color="auto"/>
            <w:color w:val="0000FF"/>
          </w:rPr>
          <w:t>Section 1350 Certification of Chief Executive Officer and Chief Financial Officer.</w:t>
        </w:r>
      </w:hyperlink>
    </w:p>
    <w:p>
      <w:pPr>
        <w:spacing w:after="0" w:line="25" w:lineRule="exact"/>
        <w:rPr>
          <w:sz w:val="20"/>
          <w:szCs w:val="20"/>
          <w:color w:val="auto"/>
        </w:rPr>
      </w:pPr>
    </w:p>
    <w:p>
      <w:pPr>
        <w:ind w:left="1640" w:hanging="637"/>
        <w:spacing w:after="0" w:line="211" w:lineRule="auto"/>
        <w:tabs>
          <w:tab w:leader="none" w:pos="1958"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following materials from the Quarterly Report on Form 10-Q of Capital Bancorp, Inc. for the quarter ended September 30, 2021, formatted in eXtensible Business Reporting Language (XBRL): (i) Consolidated Balance Sheets, (ii) Consolidated Statements of Income, (iii) Consolidated Statements o Comprehensive Income, (iv) Consolidated Statement of Changes in Shareholders’ Equity, (v) Consolidated Statements of Cash Flows and (vi) Notes to Unaudited Consolidated Financial Statements.</w:t>
      </w:r>
    </w:p>
    <w:p>
      <w:pPr>
        <w:spacing w:after="0" w:line="17" w:lineRule="exact"/>
        <w:rPr>
          <w:sz w:val="20"/>
          <w:szCs w:val="20"/>
          <w:color w:val="auto"/>
        </w:rPr>
      </w:pPr>
    </w:p>
    <w:p>
      <w:pPr>
        <w:ind w:left="1000"/>
        <w:spacing w:after="0"/>
        <w:tabs>
          <w:tab w:leader="none" w:pos="194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252095</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73" w:name="page74"/>
    <w:bookmarkEnd w:id="73"/>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CAPITAL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-20955</wp:posOffset>
            </wp:positionV>
            <wp:extent cx="14414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41450"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Registrant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Arial" w:cs="Arial" w:eastAsia="Arial" w:hAnsi="Arial"/>
                <w:sz w:val="18"/>
                <w:szCs w:val="18"/>
                <w:color w:val="auto"/>
              </w:rPr>
              <w:t>Date: November 9, 2021</w:t>
            </w:r>
          </w:p>
        </w:tc>
        <w:tc>
          <w:tcPr>
            <w:tcW w:w="4260" w:type="dxa"/>
            <w:vAlign w:val="bottom"/>
            <w:gridSpan w:val="4"/>
          </w:tcPr>
          <w:p>
            <w:pPr>
              <w:ind w:left="20"/>
              <w:spacing w:after="0"/>
              <w:rPr>
                <w:sz w:val="20"/>
                <w:szCs w:val="20"/>
                <w:color w:val="auto"/>
              </w:rPr>
            </w:pPr>
            <w:r>
              <w:rPr>
                <w:rFonts w:ascii="Arial" w:cs="Arial" w:eastAsia="Arial" w:hAnsi="Arial"/>
                <w:sz w:val="18"/>
                <w:szCs w:val="18"/>
                <w:color w:val="auto"/>
              </w:rPr>
              <w:t>/s/ Ed Barry</w:t>
            </w:r>
          </w:p>
        </w:tc>
      </w:tr>
      <w:tr>
        <w:trPr>
          <w:trHeight w:val="231"/>
        </w:trPr>
        <w:tc>
          <w:tcPr>
            <w:tcW w:w="2300" w:type="dxa"/>
            <w:vAlign w:val="bottom"/>
          </w:tcPr>
          <w:p>
            <w:pPr>
              <w:ind w:left="980"/>
              <w:spacing w:after="0"/>
              <w:rPr>
                <w:sz w:val="20"/>
                <w:szCs w:val="20"/>
                <w:color w:val="auto"/>
              </w:rPr>
            </w:pPr>
            <w:r>
              <w:rPr>
                <w:rFonts w:ascii="Arial" w:cs="Arial" w:eastAsia="Arial" w:hAnsi="Arial"/>
                <w:sz w:val="18"/>
                <w:szCs w:val="18"/>
                <w:color w:val="auto"/>
              </w:rPr>
              <w:t>Ed Barry</w:t>
            </w:r>
          </w:p>
        </w:tc>
        <w:tc>
          <w:tcPr>
            <w:tcW w:w="2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12"/>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3"/>
          </w:tcPr>
          <w:p>
            <w:pPr>
              <w:ind w:left="860"/>
              <w:spacing w:after="0"/>
              <w:rPr>
                <w:sz w:val="20"/>
                <w:szCs w:val="20"/>
                <w:color w:val="auto"/>
              </w:rPr>
            </w:pPr>
            <w:r>
              <w:rPr>
                <w:rFonts w:ascii="Arial" w:cs="Arial" w:eastAsia="Arial" w:hAnsi="Arial"/>
                <w:sz w:val="18"/>
                <w:szCs w:val="18"/>
                <w:color w:val="auto"/>
              </w:rPr>
              <w:t>Chief Executive Officer</w:t>
            </w:r>
          </w:p>
        </w:tc>
      </w:tr>
      <w:tr>
        <w:trPr>
          <w:trHeight w:val="212"/>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3"/>
          </w:tcPr>
          <w:p>
            <w:pPr>
              <w:ind w:left="860"/>
              <w:spacing w:after="0"/>
              <w:rPr>
                <w:sz w:val="20"/>
                <w:szCs w:val="20"/>
                <w:color w:val="auto"/>
              </w:rPr>
            </w:pPr>
            <w:r>
              <w:rPr>
                <w:rFonts w:ascii="Arial" w:cs="Arial" w:eastAsia="Arial" w:hAnsi="Arial"/>
                <w:sz w:val="18"/>
                <w:szCs w:val="18"/>
                <w:color w:val="auto"/>
              </w:rPr>
              <w:t>(Principal Executive Officer)</w:t>
            </w:r>
          </w:p>
        </w:tc>
      </w:tr>
      <w:tr>
        <w:trPr>
          <w:trHeight w:val="385"/>
        </w:trPr>
        <w:tc>
          <w:tcPr>
            <w:tcW w:w="2300" w:type="dxa"/>
            <w:vAlign w:val="bottom"/>
          </w:tcPr>
          <w:p>
            <w:pPr>
              <w:spacing w:after="0"/>
              <w:rPr>
                <w:sz w:val="20"/>
                <w:szCs w:val="20"/>
                <w:color w:val="auto"/>
              </w:rPr>
            </w:pPr>
            <w:r>
              <w:rPr>
                <w:rFonts w:ascii="Arial" w:cs="Arial" w:eastAsia="Arial" w:hAnsi="Arial"/>
                <w:sz w:val="18"/>
                <w:szCs w:val="18"/>
                <w:color w:val="auto"/>
              </w:rPr>
              <w:t>Date: November 9, 2021</w:t>
            </w:r>
          </w:p>
        </w:tc>
        <w:tc>
          <w:tcPr>
            <w:tcW w:w="4260" w:type="dxa"/>
            <w:vAlign w:val="bottom"/>
            <w:gridSpan w:val="4"/>
          </w:tcPr>
          <w:p>
            <w:pPr>
              <w:ind w:left="20"/>
              <w:spacing w:after="0"/>
              <w:rPr>
                <w:sz w:val="20"/>
                <w:szCs w:val="20"/>
                <w:color w:val="auto"/>
              </w:rPr>
            </w:pPr>
            <w:r>
              <w:rPr>
                <w:rFonts w:ascii="Arial" w:cs="Arial" w:eastAsia="Arial" w:hAnsi="Arial"/>
                <w:sz w:val="18"/>
                <w:szCs w:val="18"/>
                <w:color w:val="auto"/>
              </w:rPr>
              <w:t>/s/ Alan W. Jackson</w:t>
            </w:r>
          </w:p>
        </w:tc>
      </w:tr>
      <w:tr>
        <w:trPr>
          <w:trHeight w:val="231"/>
        </w:trPr>
        <w:tc>
          <w:tcPr>
            <w:tcW w:w="2300" w:type="dxa"/>
            <w:vAlign w:val="bottom"/>
          </w:tcPr>
          <w:p>
            <w:pPr>
              <w:ind w:left="980"/>
              <w:spacing w:after="0"/>
              <w:rPr>
                <w:sz w:val="20"/>
                <w:szCs w:val="20"/>
                <w:color w:val="auto"/>
              </w:rPr>
            </w:pPr>
            <w:r>
              <w:rPr>
                <w:rFonts w:ascii="Arial" w:cs="Arial" w:eastAsia="Arial" w:hAnsi="Arial"/>
                <w:sz w:val="18"/>
                <w:szCs w:val="18"/>
                <w:color w:val="auto"/>
                <w:w w:val="96"/>
              </w:rPr>
              <w:t>Alan W. Jackson</w:t>
            </w:r>
          </w:p>
        </w:tc>
        <w:tc>
          <w:tcPr>
            <w:tcW w:w="2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300" w:type="dxa"/>
            <w:vAlign w:val="bottom"/>
          </w:tcPr>
          <w:p>
            <w:pPr>
              <w:spacing w:after="0"/>
              <w:rPr>
                <w:sz w:val="20"/>
                <w:szCs w:val="20"/>
                <w:color w:val="auto"/>
              </w:rPr>
            </w:pPr>
          </w:p>
        </w:tc>
      </w:tr>
      <w:tr>
        <w:trPr>
          <w:trHeight w:val="212"/>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3"/>
          </w:tcPr>
          <w:p>
            <w:pPr>
              <w:ind w:left="860"/>
              <w:spacing w:after="0"/>
              <w:rPr>
                <w:sz w:val="20"/>
                <w:szCs w:val="20"/>
                <w:color w:val="auto"/>
              </w:rPr>
            </w:pPr>
            <w:r>
              <w:rPr>
                <w:rFonts w:ascii="Arial" w:cs="Arial" w:eastAsia="Arial" w:hAnsi="Arial"/>
                <w:sz w:val="18"/>
                <w:szCs w:val="18"/>
                <w:color w:val="auto"/>
              </w:rPr>
              <w:t>Chief Financial Officer</w:t>
            </w:r>
          </w:p>
        </w:tc>
      </w:tr>
      <w:tr>
        <w:trPr>
          <w:trHeight w:val="212"/>
        </w:trPr>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gridSpan w:val="3"/>
          </w:tcPr>
          <w:p>
            <w:pPr>
              <w:ind w:left="860"/>
              <w:spacing w:after="0"/>
              <w:rPr>
                <w:sz w:val="20"/>
                <w:szCs w:val="20"/>
                <w:color w:val="auto"/>
              </w:rPr>
            </w:pPr>
            <w:r>
              <w:rPr>
                <w:rFonts w:ascii="Arial" w:cs="Arial" w:eastAsia="Arial" w:hAnsi="Arial"/>
                <w:sz w:val="18"/>
                <w:szCs w:val="18"/>
                <w:color w:val="auto"/>
                <w:w w:val="97"/>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17" w:lineRule="exact"/>
        <w:rPr>
          <w:sz w:val="20"/>
          <w:szCs w:val="20"/>
          <w:color w:val="auto"/>
        </w:rPr>
      </w:pPr>
    </w:p>
    <w:p>
      <w:pPr>
        <w:ind w:left="200" w:hanging="194"/>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48" w:lineRule="auto"/>
        <w:tabs>
          <w:tab w:leader="none" w:pos="2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199"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17" w:lineRule="exact"/>
        <w:rPr>
          <w:rFonts w:ascii="Arial" w:cs="Arial" w:eastAsia="Arial" w:hAnsi="Arial"/>
          <w:sz w:val="17"/>
          <w:szCs w:val="17"/>
          <w:color w:val="auto"/>
        </w:rPr>
      </w:pPr>
    </w:p>
    <w:p>
      <w:pPr>
        <w:jc w:val="both"/>
        <w:ind w:left="640" w:firstLine="2"/>
        <w:spacing w:after="0" w:line="248" w:lineRule="auto"/>
        <w:tabs>
          <w:tab w:leader="none" w:pos="8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6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ind w:firstLine="6"/>
        <w:spacing w:after="0" w:line="280" w:lineRule="auto"/>
        <w:tabs>
          <w:tab w:leader="none" w:pos="2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640" w:firstLine="2"/>
        <w:spacing w:after="0" w:line="251"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firstLine="2"/>
        <w:spacing w:after="0" w:line="251" w:lineRule="auto"/>
        <w:tabs>
          <w:tab w:leader="none" w:pos="8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600" w:val="left"/>
          <w:tab w:leader="none" w:pos="2640" w:val="left"/>
        </w:tabs>
        <w:rPr>
          <w:sz w:val="20"/>
          <w:szCs w:val="20"/>
          <w:color w:val="auto"/>
        </w:rPr>
      </w:pPr>
      <w:r>
        <w:rPr>
          <w:rFonts w:ascii="Arial" w:cs="Arial" w:eastAsia="Arial" w:hAnsi="Arial"/>
          <w:sz w:val="18"/>
          <w:szCs w:val="18"/>
          <w:color w:val="auto"/>
        </w:rPr>
        <w:t>Date:</w:t>
        <w:tab/>
        <w:t>November 9, 2021</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-20955</wp:posOffset>
            </wp:positionV>
            <wp:extent cx="8350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7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17" w:lineRule="exact"/>
        <w:rPr>
          <w:sz w:val="20"/>
          <w:szCs w:val="20"/>
          <w:color w:val="auto"/>
        </w:rPr>
      </w:pPr>
    </w:p>
    <w:p>
      <w:pPr>
        <w:ind w:left="200" w:hanging="194"/>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48" w:lineRule="auto"/>
        <w:tabs>
          <w:tab w:leader="none" w:pos="2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1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60" w:lineRule="auto"/>
        <w:tabs>
          <w:tab w:leader="none" w:pos="20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17" w:lineRule="exact"/>
        <w:rPr>
          <w:rFonts w:ascii="Arial" w:cs="Arial" w:eastAsia="Arial" w:hAnsi="Arial"/>
          <w:sz w:val="17"/>
          <w:szCs w:val="17"/>
          <w:color w:val="auto"/>
        </w:rPr>
      </w:pPr>
    </w:p>
    <w:p>
      <w:pPr>
        <w:jc w:val="both"/>
        <w:ind w:left="640" w:firstLine="2"/>
        <w:spacing w:after="0" w:line="248" w:lineRule="auto"/>
        <w:tabs>
          <w:tab w:leader="none" w:pos="8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5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4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firstLine="2"/>
        <w:spacing w:after="0" w:line="248" w:lineRule="auto"/>
        <w:tabs>
          <w:tab w:leader="none" w:pos="86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ind w:firstLine="6"/>
        <w:spacing w:after="0" w:line="280" w:lineRule="auto"/>
        <w:tabs>
          <w:tab w:leader="none" w:pos="20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640" w:firstLine="2"/>
        <w:spacing w:after="0" w:line="251"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firstLine="2"/>
        <w:spacing w:after="0" w:line="251" w:lineRule="auto"/>
        <w:tabs>
          <w:tab w:leader="none" w:pos="87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7"/>
          <w:szCs w:val="17"/>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1917065</wp:posOffset>
            </wp:positionH>
            <wp:positionV relativeFrom="paragraph">
              <wp:posOffset>-20955</wp:posOffset>
            </wp:positionV>
            <wp:extent cx="11029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72" w:right="339" w:bottom="1440" w:gutter="0" w:footer="0" w:header="0"/>
        </w:sectPr>
      </w:pPr>
    </w:p>
    <w:bookmarkStart w:id="76" w:name="page77"/>
    <w:bookmarkEnd w:id="76"/>
    <w:p>
      <w:pPr>
        <w:ind w:right="120"/>
        <w:spacing w:after="0" w:line="276"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8"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September 30, 2021,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87"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640" w:hanging="316"/>
        <w:spacing w:after="0" w:line="25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600" w:val="left"/>
          <w:tab w:leader="none" w:pos="2440" w:val="left"/>
        </w:tabs>
        <w:rPr>
          <w:sz w:val="20"/>
          <w:szCs w:val="20"/>
          <w:color w:val="auto"/>
        </w:rPr>
      </w:pPr>
      <w:r>
        <w:rPr>
          <w:rFonts w:ascii="Arial" w:cs="Arial" w:eastAsia="Arial" w:hAnsi="Arial"/>
          <w:sz w:val="18"/>
          <w:szCs w:val="18"/>
          <w:color w:val="auto"/>
        </w:rPr>
        <w:t>Date:</w:t>
        <w:tab/>
        <w:t>November 9, 2021</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-20955</wp:posOffset>
            </wp:positionV>
            <wp:extent cx="8350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-20955</wp:posOffset>
            </wp:positionV>
            <wp:extent cx="11029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32"/>
    </w:lvl>
  </w:abstractNum>
  <w:abstractNum w:abstractNumId="17">
    <w:nsid w:val="257130A3"/>
    <w:multiLevelType w:val="hybridMultilevel"/>
    <w:lvl w:ilvl="0">
      <w:lvlJc w:val="left"/>
      <w:lvlText w:val="%1"/>
      <w:numFmt w:val="decimal"/>
      <w:start w:val="10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2021-11-09T13:30:18Z</dcterms:created>
  <dcterms:modified xsi:type="dcterms:W3CDTF">2021-11-09T13:30:18Z</dcterms:modified>
</cp:coreProperties>
</file>