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4"/>
          <w:szCs w:val="14"/>
          <w:b w:val="1"/>
          <w:bCs w:val="1"/>
          <w:color w:val="auto"/>
        </w:rPr>
        <w:t>UNITED STATES</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SECURITIES AND EXCHANGE COMMISSION</w:t>
      </w:r>
    </w:p>
    <w:p>
      <w:pPr>
        <w:spacing w:after="0" w:line="13" w:lineRule="exact"/>
        <w:rPr>
          <w:sz w:val="24"/>
          <w:szCs w:val="24"/>
          <w:color w:val="auto"/>
        </w:rPr>
      </w:pPr>
    </w:p>
    <w:p>
      <w:pPr>
        <w:jc w:val="center"/>
        <w:ind w:right="80"/>
        <w:spacing w:after="0"/>
        <w:rPr>
          <w:sz w:val="20"/>
          <w:szCs w:val="20"/>
          <w:color w:val="auto"/>
        </w:rPr>
      </w:pPr>
      <w:r>
        <w:rPr>
          <w:rFonts w:ascii="Arial" w:cs="Arial" w:eastAsia="Arial" w:hAnsi="Arial"/>
          <w:sz w:val="11"/>
          <w:szCs w:val="11"/>
          <w:color w:val="auto"/>
        </w:rPr>
        <w:t>Washington, D.C. 20549</w:t>
      </w:r>
    </w:p>
    <w:p>
      <w:pPr>
        <w:spacing w:after="0" w:line="116"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FORM 10-K</w:t>
      </w:r>
    </w:p>
    <w:p>
      <w:pPr>
        <w:spacing w:after="0" w:line="199"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ANNUAL REPORT PURSUANT TO SECTION 13 OR 15(d) OF THE SECURITIES EXCHANGE ACT OF 1934</w:t>
      </w:r>
    </w:p>
    <w:p>
      <w:pPr>
        <w:spacing w:after="0" w:line="167" w:lineRule="exact"/>
        <w:rPr>
          <w:sz w:val="24"/>
          <w:szCs w:val="24"/>
          <w:color w:val="auto"/>
        </w:rPr>
      </w:pPr>
    </w:p>
    <w:p>
      <w:pPr>
        <w:jc w:val="center"/>
        <w:ind w:right="80"/>
        <w:spacing w:after="0"/>
        <w:rPr>
          <w:sz w:val="20"/>
          <w:szCs w:val="20"/>
          <w:color w:val="auto"/>
        </w:rPr>
      </w:pPr>
      <w:r>
        <w:rPr>
          <w:rFonts w:ascii="Arial" w:cs="Arial" w:eastAsia="Arial" w:hAnsi="Arial"/>
          <w:sz w:val="14"/>
          <w:szCs w:val="14"/>
          <w:color w:val="auto"/>
        </w:rPr>
        <w:t>For the fiscal year ended December 31, 2022</w:t>
      </w:r>
    </w:p>
    <w:p>
      <w:pPr>
        <w:spacing w:after="0" w:line="13" w:lineRule="exact"/>
        <w:rPr>
          <w:sz w:val="24"/>
          <w:szCs w:val="24"/>
          <w:color w:val="auto"/>
        </w:rPr>
      </w:pPr>
    </w:p>
    <w:p>
      <w:pPr>
        <w:jc w:val="center"/>
        <w:ind w:right="80"/>
        <w:spacing w:after="0"/>
        <w:rPr>
          <w:sz w:val="20"/>
          <w:szCs w:val="20"/>
          <w:color w:val="auto"/>
        </w:rPr>
      </w:pPr>
      <w:r>
        <w:rPr>
          <w:rFonts w:ascii="Arial" w:cs="Arial" w:eastAsia="Arial" w:hAnsi="Arial"/>
          <w:sz w:val="11"/>
          <w:szCs w:val="11"/>
          <w:color w:val="auto"/>
        </w:rPr>
        <w:t>OR</w:t>
      </w:r>
    </w:p>
    <w:p>
      <w:pPr>
        <w:spacing w:after="0" w:line="9"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TRANSITION REPORT PURSUANT TO SECTION 13 OR 15 (D) OF THE SECURITIES EXCHANGE ACT OF 1934</w:t>
      </w:r>
    </w:p>
    <w:p>
      <w:pPr>
        <w:spacing w:after="0" w:line="167"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9"/>
          </w:tcPr>
          <w:p>
            <w:pPr>
              <w:jc w:val="center"/>
              <w:ind w:right="400"/>
              <w:spacing w:after="0"/>
              <w:rPr>
                <w:sz w:val="20"/>
                <w:szCs w:val="20"/>
                <w:color w:val="auto"/>
              </w:rPr>
            </w:pPr>
            <w:r>
              <w:rPr>
                <w:rFonts w:ascii="Arial" w:cs="Arial" w:eastAsia="Arial" w:hAnsi="Arial"/>
                <w:sz w:val="14"/>
                <w:szCs w:val="14"/>
                <w:color w:val="auto"/>
              </w:rPr>
              <w:t>For the Transition Period from to</w:t>
            </w: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60" w:type="dxa"/>
            <w:vAlign w:val="bottom"/>
            <w:gridSpan w:val="9"/>
          </w:tcPr>
          <w:p>
            <w:pPr>
              <w:jc w:val="center"/>
              <w:ind w:right="400"/>
              <w:spacing w:after="0"/>
              <w:rPr>
                <w:sz w:val="20"/>
                <w:szCs w:val="20"/>
                <w:color w:val="auto"/>
              </w:rPr>
            </w:pPr>
            <w:r>
              <w:rPr>
                <w:rFonts w:ascii="Arial" w:cs="Arial" w:eastAsia="Arial" w:hAnsi="Arial"/>
                <w:sz w:val="14"/>
                <w:szCs w:val="14"/>
                <w:color w:val="auto"/>
              </w:rPr>
              <w:t>Commission file number 001-38671</w:t>
            </w:r>
          </w:p>
        </w:tc>
        <w:tc>
          <w:tcPr>
            <w:tcW w:w="4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9"/>
        </w:trPr>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9"/>
              </w:rPr>
              <w:t>CAPITAL BANCORP, INC.</w:t>
            </w:r>
          </w:p>
        </w:tc>
        <w:tc>
          <w:tcPr>
            <w:tcW w:w="720" w:type="dxa"/>
            <w:vAlign w:val="bottom"/>
            <w:gridSpan w:val="2"/>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4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9"/>
          </w:tcPr>
          <w:p>
            <w:pPr>
              <w:jc w:val="center"/>
              <w:ind w:right="380"/>
              <w:spacing w:after="0"/>
              <w:rPr>
                <w:sz w:val="20"/>
                <w:szCs w:val="20"/>
                <w:color w:val="auto"/>
              </w:rPr>
            </w:pPr>
            <w:r>
              <w:rPr>
                <w:rFonts w:ascii="Arial" w:cs="Arial" w:eastAsia="Arial" w:hAnsi="Arial"/>
                <w:sz w:val="8"/>
                <w:szCs w:val="8"/>
                <w:color w:val="auto"/>
              </w:rPr>
              <w:t>(Exact name of registrant as specified in its charter)</w:t>
            </w:r>
          </w:p>
        </w:tc>
        <w:tc>
          <w:tcPr>
            <w:tcW w:w="40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3940" w:type="dxa"/>
            <w:vAlign w:val="bottom"/>
            <w:tcBorders>
              <w:bottom w:val="single" w:sz="8" w:color="auto"/>
            </w:tcBorders>
          </w:tcPr>
          <w:p>
            <w:pPr>
              <w:jc w:val="center"/>
              <w:ind w:left="1499"/>
              <w:spacing w:after="0"/>
              <w:rPr>
                <w:sz w:val="20"/>
                <w:szCs w:val="20"/>
                <w:color w:val="auto"/>
              </w:rPr>
            </w:pPr>
            <w:r>
              <w:rPr>
                <w:rFonts w:ascii="Arial" w:cs="Arial" w:eastAsia="Arial" w:hAnsi="Arial"/>
                <w:sz w:val="14"/>
                <w:szCs w:val="14"/>
                <w:b w:val="1"/>
                <w:bCs w:val="1"/>
                <w:color w:val="auto"/>
              </w:rPr>
              <w:t>Maryland</w:t>
            </w: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right"/>
              <w:ind w:right="1980"/>
              <w:spacing w:after="0"/>
              <w:rPr>
                <w:sz w:val="20"/>
                <w:szCs w:val="20"/>
                <w:color w:val="auto"/>
              </w:rPr>
            </w:pPr>
            <w:r>
              <w:rPr>
                <w:rFonts w:ascii="Arial" w:cs="Arial" w:eastAsia="Arial" w:hAnsi="Arial"/>
                <w:sz w:val="14"/>
                <w:szCs w:val="14"/>
                <w:b w:val="1"/>
                <w:bCs w:val="1"/>
                <w:color w:val="auto"/>
              </w:rPr>
              <w:t>52-2083046</w:t>
            </w: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40" w:type="dxa"/>
            <w:vAlign w:val="bottom"/>
          </w:tcPr>
          <w:p>
            <w:pPr>
              <w:spacing w:after="0"/>
              <w:rPr>
                <w:sz w:val="8"/>
                <w:szCs w:val="8"/>
                <w:color w:val="auto"/>
              </w:rPr>
            </w:pPr>
          </w:p>
        </w:tc>
        <w:tc>
          <w:tcPr>
            <w:tcW w:w="3940" w:type="dxa"/>
            <w:vAlign w:val="bottom"/>
          </w:tcPr>
          <w:p>
            <w:pPr>
              <w:jc w:val="center"/>
              <w:ind w:left="1499"/>
              <w:spacing w:after="0"/>
              <w:rPr>
                <w:sz w:val="20"/>
                <w:szCs w:val="20"/>
                <w:color w:val="auto"/>
              </w:rPr>
            </w:pPr>
            <w:r>
              <w:rPr>
                <w:rFonts w:ascii="Arial" w:cs="Arial" w:eastAsia="Arial" w:hAnsi="Arial"/>
                <w:sz w:val="8"/>
                <w:szCs w:val="8"/>
                <w:color w:val="auto"/>
              </w:rPr>
              <w:t>(State or other jurisdiction of incorporation or organization)</w:t>
            </w: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140" w:type="dxa"/>
            <w:vAlign w:val="bottom"/>
            <w:gridSpan w:val="2"/>
          </w:tcPr>
          <w:p>
            <w:pPr>
              <w:jc w:val="center"/>
              <w:ind w:right="840"/>
              <w:spacing w:after="0"/>
              <w:rPr>
                <w:sz w:val="20"/>
                <w:szCs w:val="20"/>
                <w:color w:val="auto"/>
              </w:rPr>
            </w:pPr>
            <w:r>
              <w:rPr>
                <w:rFonts w:ascii="Arial" w:cs="Arial" w:eastAsia="Arial" w:hAnsi="Arial"/>
                <w:sz w:val="8"/>
                <w:szCs w:val="8"/>
                <w:color w:val="auto"/>
              </w:rPr>
              <w:t>(IRS Employer Identification No.)</w:t>
            </w: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3940" w:type="dxa"/>
            <w:vAlign w:val="bottom"/>
          </w:tcPr>
          <w:p>
            <w:pPr>
              <w:jc w:val="center"/>
              <w:ind w:left="1499"/>
              <w:spacing w:after="0" w:line="146" w:lineRule="exact"/>
              <w:rPr>
                <w:sz w:val="20"/>
                <w:szCs w:val="20"/>
                <w:color w:val="auto"/>
              </w:rPr>
            </w:pPr>
            <w:r>
              <w:rPr>
                <w:rFonts w:ascii="Arial" w:cs="Arial" w:eastAsia="Arial" w:hAnsi="Arial"/>
                <w:sz w:val="13"/>
                <w:szCs w:val="13"/>
                <w:b w:val="1"/>
                <w:bCs w:val="1"/>
                <w:color w:val="auto"/>
                <w:w w:val="98"/>
              </w:rPr>
              <w:t>2275 Research Boulevard, Suite 600,</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60" w:type="dxa"/>
            <w:vAlign w:val="bottom"/>
            <w:vMerge w:val="restart"/>
          </w:tcPr>
          <w:p>
            <w:pPr>
              <w:jc w:val="right"/>
              <w:ind w:right="2180"/>
              <w:spacing w:after="0"/>
              <w:rPr>
                <w:sz w:val="20"/>
                <w:szCs w:val="20"/>
                <w:color w:val="auto"/>
              </w:rPr>
            </w:pPr>
            <w:r>
              <w:rPr>
                <w:rFonts w:ascii="Arial" w:cs="Arial" w:eastAsia="Arial" w:hAnsi="Arial"/>
                <w:sz w:val="13"/>
                <w:szCs w:val="13"/>
                <w:b w:val="1"/>
                <w:bCs w:val="1"/>
                <w:color w:val="auto"/>
              </w:rPr>
              <w:t>20850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3940" w:type="dxa"/>
            <w:vAlign w:val="bottom"/>
            <w:tcBorders>
              <w:bottom w:val="single" w:sz="8" w:color="auto"/>
            </w:tcBorders>
          </w:tcPr>
          <w:p>
            <w:pPr>
              <w:jc w:val="center"/>
              <w:ind w:left="1499"/>
              <w:spacing w:after="0"/>
              <w:rPr>
                <w:sz w:val="20"/>
                <w:szCs w:val="20"/>
                <w:color w:val="auto"/>
              </w:rPr>
            </w:pPr>
            <w:r>
              <w:rPr>
                <w:rFonts w:ascii="Arial" w:cs="Arial" w:eastAsia="Arial" w:hAnsi="Arial"/>
                <w:sz w:val="13"/>
                <w:szCs w:val="13"/>
                <w:b w:val="1"/>
                <w:bCs w:val="1"/>
                <w:color w:val="auto"/>
                <w:w w:val="98"/>
              </w:rPr>
              <w:t>Rockville, Maryland 20850</w:t>
            </w: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40" w:type="dxa"/>
            <w:vAlign w:val="bottom"/>
          </w:tcPr>
          <w:p>
            <w:pPr>
              <w:spacing w:after="0"/>
              <w:rPr>
                <w:sz w:val="8"/>
                <w:szCs w:val="8"/>
                <w:color w:val="auto"/>
              </w:rPr>
            </w:pPr>
          </w:p>
        </w:tc>
        <w:tc>
          <w:tcPr>
            <w:tcW w:w="3940" w:type="dxa"/>
            <w:vAlign w:val="bottom"/>
          </w:tcPr>
          <w:p>
            <w:pPr>
              <w:jc w:val="center"/>
              <w:ind w:left="1499"/>
              <w:spacing w:after="0"/>
              <w:rPr>
                <w:sz w:val="20"/>
                <w:szCs w:val="20"/>
                <w:color w:val="auto"/>
              </w:rPr>
            </w:pPr>
            <w:r>
              <w:rPr>
                <w:rFonts w:ascii="Arial" w:cs="Arial" w:eastAsia="Arial" w:hAnsi="Arial"/>
                <w:sz w:val="8"/>
                <w:szCs w:val="8"/>
                <w:color w:val="auto"/>
              </w:rPr>
              <w:t>(Address of principal executive offices)</w:t>
            </w: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140" w:type="dxa"/>
            <w:vAlign w:val="bottom"/>
            <w:gridSpan w:val="2"/>
          </w:tcPr>
          <w:p>
            <w:pPr>
              <w:jc w:val="center"/>
              <w:ind w:right="860"/>
              <w:spacing w:after="0"/>
              <w:rPr>
                <w:sz w:val="20"/>
                <w:szCs w:val="20"/>
                <w:color w:val="auto"/>
              </w:rPr>
            </w:pPr>
            <w:r>
              <w:rPr>
                <w:rFonts w:ascii="Arial" w:cs="Arial" w:eastAsia="Arial" w:hAnsi="Arial"/>
                <w:sz w:val="8"/>
                <w:szCs w:val="8"/>
                <w:color w:val="auto"/>
              </w:rPr>
              <w:t>(Zip Code)</w:t>
            </w:r>
          </w:p>
        </w:tc>
        <w:tc>
          <w:tcPr>
            <w:tcW w:w="0" w:type="dxa"/>
            <w:vAlign w:val="bottom"/>
          </w:tcPr>
          <w:p>
            <w:pPr>
              <w:spacing w:after="0"/>
              <w:rPr>
                <w:sz w:val="1"/>
                <w:szCs w:val="1"/>
                <w:color w:val="auto"/>
              </w:rPr>
            </w:pPr>
          </w:p>
        </w:tc>
      </w:tr>
      <w:tr>
        <w:trPr>
          <w:trHeight w:val="453"/>
        </w:trPr>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40" w:type="dxa"/>
            <w:vAlign w:val="bottom"/>
            <w:gridSpan w:val="5"/>
          </w:tcPr>
          <w:p>
            <w:pPr>
              <w:jc w:val="center"/>
              <w:ind w:left="1003"/>
              <w:spacing w:after="0"/>
              <w:rPr>
                <w:sz w:val="20"/>
                <w:szCs w:val="20"/>
                <w:color w:val="auto"/>
              </w:rPr>
            </w:pPr>
            <w:r>
              <w:rPr>
                <w:rFonts w:ascii="Arial" w:cs="Arial" w:eastAsia="Arial" w:hAnsi="Arial"/>
                <w:sz w:val="11"/>
                <w:szCs w:val="11"/>
                <w:b w:val="1"/>
                <w:bCs w:val="1"/>
                <w:color w:val="auto"/>
              </w:rPr>
              <w:t>(301) 468-8848</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40" w:type="dxa"/>
            <w:vAlign w:val="bottom"/>
          </w:tcPr>
          <w:p>
            <w:pPr>
              <w:spacing w:after="0"/>
              <w:rPr>
                <w:sz w:val="7"/>
                <w:szCs w:val="7"/>
                <w:color w:val="auto"/>
              </w:rPr>
            </w:pPr>
          </w:p>
        </w:tc>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760" w:type="dxa"/>
            <w:vAlign w:val="bottom"/>
            <w:gridSpan w:val="9"/>
          </w:tcPr>
          <w:p>
            <w:pPr>
              <w:jc w:val="center"/>
              <w:ind w:right="380"/>
              <w:spacing w:after="0"/>
              <w:rPr>
                <w:sz w:val="20"/>
                <w:szCs w:val="20"/>
                <w:color w:val="auto"/>
              </w:rPr>
            </w:pPr>
            <w:r>
              <w:rPr>
                <w:rFonts w:ascii="Arial" w:cs="Arial" w:eastAsia="Arial" w:hAnsi="Arial"/>
                <w:sz w:val="8"/>
                <w:szCs w:val="8"/>
                <w:color w:val="auto"/>
              </w:rPr>
              <w:t>Registrant’s telephone number, including area code</w:t>
            </w:r>
          </w:p>
        </w:tc>
        <w:tc>
          <w:tcPr>
            <w:tcW w:w="40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20" w:type="dxa"/>
            <w:vAlign w:val="bottom"/>
            <w:gridSpan w:val="10"/>
          </w:tcPr>
          <w:p>
            <w:pPr>
              <w:jc w:val="center"/>
              <w:ind w:right="140"/>
              <w:spacing w:after="0"/>
              <w:rPr>
                <w:sz w:val="20"/>
                <w:szCs w:val="20"/>
                <w:color w:val="auto"/>
              </w:rPr>
            </w:pPr>
            <w:r>
              <w:rPr>
                <w:rFonts w:ascii="Arial" w:cs="Arial" w:eastAsia="Arial" w:hAnsi="Arial"/>
                <w:sz w:val="11"/>
                <w:szCs w:val="11"/>
                <w:color w:val="auto"/>
              </w:rPr>
              <w:t>Securities registered pursuant to Section 12(b) of the Act:</w:t>
            </w: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Title of Each Class</w:t>
            </w:r>
          </w:p>
        </w:tc>
        <w:tc>
          <w:tcPr>
            <w:tcW w:w="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Trading Symbol</w:t>
            </w:r>
          </w:p>
        </w:tc>
        <w:tc>
          <w:tcPr>
            <w:tcW w:w="260" w:type="dxa"/>
            <w:vAlign w:val="bottom"/>
            <w:gridSpan w:val="2"/>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60" w:type="dxa"/>
            <w:vAlign w:val="bottom"/>
            <w:tcBorders>
              <w:bottom w:val="single" w:sz="8" w:color="auto"/>
            </w:tcBorders>
          </w:tcPr>
          <w:p>
            <w:pPr>
              <w:jc w:val="center"/>
              <w:ind w:right="640"/>
              <w:spacing w:after="0"/>
              <w:rPr>
                <w:sz w:val="20"/>
                <w:szCs w:val="20"/>
                <w:color w:val="auto"/>
              </w:rPr>
            </w:pPr>
            <w:r>
              <w:rPr>
                <w:rFonts w:ascii="Arial" w:cs="Arial" w:eastAsia="Arial" w:hAnsi="Arial"/>
                <w:sz w:val="14"/>
                <w:szCs w:val="14"/>
                <w:b w:val="1"/>
                <w:bCs w:val="1"/>
                <w:color w:val="auto"/>
              </w:rPr>
              <w:t>Name of Each Exchange on Which Registered</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3940" w:type="dxa"/>
            <w:vAlign w:val="bottom"/>
          </w:tcPr>
          <w:p>
            <w:pPr>
              <w:jc w:val="center"/>
              <w:ind w:right="179"/>
              <w:spacing w:after="0"/>
              <w:rPr>
                <w:sz w:val="20"/>
                <w:szCs w:val="20"/>
                <w:color w:val="auto"/>
              </w:rPr>
            </w:pPr>
            <w:r>
              <w:rPr>
                <w:rFonts w:ascii="Arial" w:cs="Arial" w:eastAsia="Arial" w:hAnsi="Arial"/>
                <w:sz w:val="14"/>
                <w:szCs w:val="14"/>
                <w:color w:val="auto"/>
              </w:rPr>
              <w:t>Common Stock, par value $0.01 per share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20" w:type="dxa"/>
            <w:vAlign w:val="bottom"/>
            <w:gridSpan w:val="8"/>
          </w:tcPr>
          <w:p>
            <w:pPr>
              <w:jc w:val="center"/>
              <w:ind w:right="1300"/>
              <w:spacing w:after="0"/>
              <w:rPr>
                <w:sz w:val="20"/>
                <w:szCs w:val="20"/>
                <w:color w:val="auto"/>
              </w:rPr>
            </w:pPr>
            <w:r>
              <w:rPr>
                <w:rFonts w:ascii="Arial" w:cs="Arial" w:eastAsia="Arial" w:hAnsi="Arial"/>
                <w:sz w:val="14"/>
                <w:szCs w:val="14"/>
                <w:color w:val="auto"/>
              </w:rPr>
              <w:t>CBNK</w:t>
            </w:r>
          </w:p>
        </w:tc>
        <w:tc>
          <w:tcPr>
            <w:tcW w:w="4140" w:type="dxa"/>
            <w:vAlign w:val="bottom"/>
            <w:gridSpan w:val="2"/>
          </w:tcPr>
          <w:p>
            <w:pPr>
              <w:jc w:val="center"/>
              <w:ind w:right="780"/>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255" w:lineRule="exact"/>
        <w:rPr>
          <w:sz w:val="24"/>
          <w:szCs w:val="24"/>
          <w:color w:val="auto"/>
        </w:rPr>
      </w:pPr>
    </w:p>
    <w:p>
      <w:pPr>
        <w:jc w:val="center"/>
        <w:ind w:right="80"/>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r>
        <w:rPr>
          <w:rFonts w:ascii="Arial" w:cs="Arial" w:eastAsia="Arial" w:hAnsi="Arial"/>
          <w:sz w:val="11"/>
          <w:szCs w:val="11"/>
          <w:color w:val="auto"/>
        </w:rPr>
        <w:t>.</w:t>
      </w:r>
    </w:p>
    <w:p>
      <w:pPr>
        <w:spacing w:after="0" w:line="200" w:lineRule="exact"/>
        <w:rPr>
          <w:sz w:val="24"/>
          <w:szCs w:val="24"/>
          <w:color w:val="auto"/>
        </w:rPr>
      </w:pPr>
    </w:p>
    <w:p>
      <w:pPr>
        <w:spacing w:after="0" w:line="246" w:lineRule="exact"/>
        <w:rPr>
          <w:sz w:val="24"/>
          <w:szCs w:val="24"/>
          <w:color w:val="auto"/>
        </w:rPr>
      </w:pPr>
    </w:p>
    <w:p>
      <w:pPr>
        <w:ind w:right="3960"/>
        <w:spacing w:after="0" w:line="212"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11" w:lineRule="exact"/>
        <w:rPr>
          <w:sz w:val="24"/>
          <w:szCs w:val="24"/>
          <w:color w:val="auto"/>
        </w:rPr>
      </w:pPr>
    </w:p>
    <w:p>
      <w:pPr>
        <w:ind w:right="160"/>
        <w:spacing w:after="0" w:line="16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8" w:lineRule="exact"/>
        <w:rPr>
          <w:sz w:val="24"/>
          <w:szCs w:val="24"/>
          <w:color w:val="auto"/>
        </w:rPr>
      </w:pPr>
    </w:p>
    <w:p>
      <w:pPr>
        <w:ind w:right="80"/>
        <w:spacing w:after="0" w:line="15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2" w:lineRule="exact"/>
        <w:rPr>
          <w:sz w:val="24"/>
          <w:szCs w:val="24"/>
          <w:color w:val="auto"/>
        </w:rPr>
      </w:pPr>
    </w:p>
    <w:p>
      <w:pPr>
        <w:ind w:right="240"/>
        <w:spacing w:after="0" w:line="24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729615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394" w:right="239" w:bottom="1440" w:gutter="0" w:footer="0" w:header="0"/>
        </w:sectPr>
      </w:pPr>
    </w:p>
    <w:bookmarkStart w:id="1" w:name="page2"/>
    <w:bookmarkEnd w:id="1"/>
    <w:tbl>
      <w:tblPr>
        <w:tblLayout w:type="fixed"/>
        <w:tblInd w:w="980" w:type="dxa"/>
        <w:tblCellMar>
          <w:top w:w="0" w:type="dxa"/>
          <w:left w:w="0" w:type="dxa"/>
          <w:bottom w:w="0" w:type="dxa"/>
          <w:right w:w="0" w:type="dxa"/>
        </w:tblCellMar>
      </w:tblPr>
      <w:tr>
        <w:trPr>
          <w:trHeight w:val="165"/>
        </w:trPr>
        <w:tc>
          <w:tcPr>
            <w:tcW w:w="15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680" w:type="dxa"/>
            <w:vAlign w:val="bottom"/>
          </w:tcPr>
          <w:p>
            <w:pPr>
              <w:ind w:left="440"/>
              <w:spacing w:after="0" w:line="111" w:lineRule="exact"/>
              <w:rPr>
                <w:sz w:val="20"/>
                <w:szCs w:val="20"/>
                <w:color w:val="auto"/>
              </w:rPr>
            </w:pPr>
            <w:r>
              <w:rPr>
                <w:rFonts w:ascii="MS PGothic" w:cs="MS PGothic" w:eastAsia="MS PGothic" w:hAnsi="MS PGothic"/>
                <w:sz w:val="11"/>
                <w:szCs w:val="11"/>
                <w:color w:val="auto"/>
              </w:rPr>
              <w:t>☐</w:t>
            </w:r>
          </w:p>
        </w:tc>
        <w:tc>
          <w:tcPr>
            <w:tcW w:w="3240" w:type="dxa"/>
            <w:vAlign w:val="bottom"/>
          </w:tcPr>
          <w:p>
            <w:pPr>
              <w:spacing w:after="0"/>
              <w:rPr>
                <w:sz w:val="14"/>
                <w:szCs w:val="14"/>
                <w:color w:val="auto"/>
              </w:rPr>
            </w:pPr>
          </w:p>
        </w:tc>
        <w:tc>
          <w:tcPr>
            <w:tcW w:w="2800" w:type="dxa"/>
            <w:vAlign w:val="bottom"/>
          </w:tcPr>
          <w:p>
            <w:pPr>
              <w:ind w:left="860"/>
              <w:spacing w:after="0"/>
              <w:rPr>
                <w:sz w:val="20"/>
                <w:szCs w:val="20"/>
                <w:color w:val="auto"/>
              </w:rPr>
            </w:pPr>
            <w:r>
              <w:rPr>
                <w:rFonts w:ascii="Arial" w:cs="Arial" w:eastAsia="Arial" w:hAnsi="Arial"/>
                <w:sz w:val="11"/>
                <w:szCs w:val="11"/>
                <w:color w:val="auto"/>
              </w:rPr>
              <w:t>Accelerated filer</w:t>
            </w:r>
          </w:p>
        </w:tc>
        <w:tc>
          <w:tcPr>
            <w:tcW w:w="74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80"/>
        </w:trPr>
        <w:tc>
          <w:tcPr>
            <w:tcW w:w="1560" w:type="dxa"/>
            <w:vAlign w:val="bottom"/>
          </w:tcPr>
          <w:p>
            <w:pPr>
              <w:spacing w:after="0"/>
              <w:rPr>
                <w:sz w:val="20"/>
                <w:szCs w:val="20"/>
                <w:color w:val="auto"/>
              </w:rPr>
            </w:pPr>
            <w:r>
              <w:rPr>
                <w:rFonts w:ascii="Arial" w:cs="Arial" w:eastAsia="Arial" w:hAnsi="Arial"/>
                <w:sz w:val="11"/>
                <w:szCs w:val="11"/>
                <w:color w:val="auto"/>
              </w:rPr>
              <w:t>Non-accelerated filer</w:t>
            </w:r>
          </w:p>
        </w:tc>
        <w:tc>
          <w:tcPr>
            <w:tcW w:w="680" w:type="dxa"/>
            <w:vAlign w:val="bottom"/>
          </w:tcPr>
          <w:p>
            <w:pPr>
              <w:ind w:left="440"/>
              <w:spacing w:after="0" w:line="111" w:lineRule="exact"/>
              <w:rPr>
                <w:sz w:val="20"/>
                <w:szCs w:val="20"/>
                <w:color w:val="auto"/>
              </w:rPr>
            </w:pPr>
            <w:r>
              <w:rPr>
                <w:rFonts w:ascii="MS PGothic" w:cs="MS PGothic" w:eastAsia="MS PGothic" w:hAnsi="MS PGothic"/>
                <w:sz w:val="11"/>
                <w:szCs w:val="11"/>
                <w:color w:val="auto"/>
              </w:rPr>
              <w:t>☐</w:t>
            </w:r>
          </w:p>
        </w:tc>
        <w:tc>
          <w:tcPr>
            <w:tcW w:w="3240" w:type="dxa"/>
            <w:vAlign w:val="bottom"/>
          </w:tcPr>
          <w:p>
            <w:pPr>
              <w:ind w:left="120"/>
              <w:spacing w:after="0"/>
              <w:rPr>
                <w:sz w:val="20"/>
                <w:szCs w:val="20"/>
                <w:color w:val="auto"/>
              </w:rPr>
            </w:pPr>
            <w:r>
              <w:rPr>
                <w:rFonts w:ascii="Arial" w:cs="Arial" w:eastAsia="Arial" w:hAnsi="Arial"/>
                <w:sz w:val="11"/>
                <w:szCs w:val="11"/>
                <w:color w:val="auto"/>
              </w:rPr>
              <w:t>(Do not check if a smaller reporting company)</w:t>
            </w:r>
          </w:p>
        </w:tc>
        <w:tc>
          <w:tcPr>
            <w:tcW w:w="2800" w:type="dxa"/>
            <w:vAlign w:val="bottom"/>
          </w:tcPr>
          <w:p>
            <w:pPr>
              <w:ind w:left="860"/>
              <w:spacing w:after="0"/>
              <w:rPr>
                <w:sz w:val="20"/>
                <w:szCs w:val="20"/>
                <w:color w:val="auto"/>
              </w:rPr>
            </w:pPr>
            <w:r>
              <w:rPr>
                <w:rFonts w:ascii="Arial" w:cs="Arial" w:eastAsia="Arial" w:hAnsi="Arial"/>
                <w:sz w:val="11"/>
                <w:szCs w:val="11"/>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1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800" w:type="dxa"/>
            <w:vAlign w:val="bottom"/>
          </w:tcPr>
          <w:p>
            <w:pPr>
              <w:ind w:left="860"/>
              <w:spacing w:after="0"/>
              <w:rPr>
                <w:sz w:val="20"/>
                <w:szCs w:val="20"/>
                <w:color w:val="auto"/>
              </w:rPr>
            </w:pPr>
            <w:r>
              <w:rPr>
                <w:rFonts w:ascii="Arial" w:cs="Arial" w:eastAsia="Arial" w:hAnsi="Arial"/>
                <w:sz w:val="11"/>
                <w:szCs w:val="11"/>
                <w:color w:val="auto"/>
              </w:rPr>
              <w:t>Emerging growth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30"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2" w:lineRule="exact"/>
        <w:rPr>
          <w:sz w:val="20"/>
          <w:szCs w:val="20"/>
          <w:color w:val="auto"/>
        </w:rPr>
      </w:pPr>
    </w:p>
    <w:p>
      <w:pPr>
        <w:spacing w:after="0" w:line="163"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2" w:lineRule="exact"/>
        <w:rPr>
          <w:sz w:val="20"/>
          <w:szCs w:val="20"/>
          <w:color w:val="auto"/>
        </w:rPr>
      </w:pPr>
    </w:p>
    <w:p>
      <w:pPr>
        <w:spacing w:after="0" w:line="163"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52" w:lineRule="exact"/>
        <w:rPr>
          <w:sz w:val="20"/>
          <w:szCs w:val="20"/>
          <w:color w:val="auto"/>
        </w:rPr>
      </w:pPr>
    </w:p>
    <w:p>
      <w:pPr>
        <w:spacing w:after="0" w:line="158"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2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2022 was $186.7 million.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As of March 14, 2023, the Registrant had 14,152,418 shares of common stock outstanding.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169" w:lineRule="exact"/>
        <w:rPr>
          <w:sz w:val="20"/>
          <w:szCs w:val="20"/>
          <w:color w:val="auto"/>
        </w:rPr>
      </w:pPr>
    </w:p>
    <w:p>
      <w:pPr>
        <w:ind w:right="580"/>
        <w:spacing w:after="0" w:line="261" w:lineRule="auto"/>
        <w:rPr>
          <w:sz w:val="20"/>
          <w:szCs w:val="20"/>
          <w:color w:val="auto"/>
        </w:rPr>
      </w:pPr>
      <w:r>
        <w:rPr>
          <w:rFonts w:ascii="Arial" w:cs="Arial" w:eastAsia="Arial" w:hAnsi="Arial"/>
          <w:sz w:val="13"/>
          <w:szCs w:val="13"/>
          <w:color w:val="auto"/>
        </w:rPr>
        <w:t>The information required by Items 10, 11, 12, 13 and 14 of Part III of this Annual Report on Form 10-K will be found in the Company’s definitive proxy statement for its 2022 Annual Meeting of Stockholders, to be filed pursuant to Regulation 14A under the Securities Exchange Act of 1934, as amended, and such information is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1181100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9"/>
        </w:trPr>
        <w:tc>
          <w:tcPr>
            <w:tcW w:w="1040" w:type="dxa"/>
            <w:vAlign w:val="bottom"/>
          </w:tcPr>
          <w:p>
            <w:pPr>
              <w:spacing w:after="0"/>
              <w:rPr>
                <w:sz w:val="22"/>
                <w:szCs w:val="22"/>
                <w:color w:val="auto"/>
              </w:rPr>
            </w:pPr>
          </w:p>
        </w:tc>
        <w:tc>
          <w:tcPr>
            <w:tcW w:w="8180" w:type="dxa"/>
            <w:vAlign w:val="bottom"/>
          </w:tcPr>
          <w:p>
            <w:pPr>
              <w:jc w:val="center"/>
              <w:ind w:left="954"/>
              <w:spacing w:after="0"/>
              <w:rPr>
                <w:sz w:val="20"/>
                <w:szCs w:val="20"/>
                <w:color w:val="auto"/>
              </w:rPr>
            </w:pPr>
            <w:r>
              <w:rPr>
                <w:rFonts w:ascii="Arial" w:cs="Arial" w:eastAsia="Arial" w:hAnsi="Arial"/>
                <w:sz w:val="20"/>
                <w:szCs w:val="20"/>
                <w:b w:val="1"/>
                <w:bCs w:val="1"/>
                <w:color w:val="auto"/>
                <w:w w:val="98"/>
              </w:rPr>
              <w:t>Capital Bancorp, Inc. and Subsidiaries</w:t>
            </w:r>
          </w:p>
        </w:tc>
        <w:tc>
          <w:tcPr>
            <w:tcW w:w="1880" w:type="dxa"/>
            <w:vAlign w:val="bottom"/>
          </w:tcPr>
          <w:p>
            <w:pPr>
              <w:spacing w:after="0"/>
              <w:rPr>
                <w:sz w:val="22"/>
                <w:szCs w:val="22"/>
                <w:color w:val="auto"/>
              </w:rPr>
            </w:pPr>
          </w:p>
        </w:tc>
      </w:tr>
      <w:tr>
        <w:trPr>
          <w:trHeight w:val="180"/>
        </w:trPr>
        <w:tc>
          <w:tcPr>
            <w:tcW w:w="1040" w:type="dxa"/>
            <w:vAlign w:val="bottom"/>
          </w:tcPr>
          <w:p>
            <w:pPr>
              <w:spacing w:after="0"/>
              <w:rPr>
                <w:sz w:val="15"/>
                <w:szCs w:val="15"/>
                <w:color w:val="auto"/>
              </w:rPr>
            </w:pPr>
          </w:p>
        </w:tc>
        <w:tc>
          <w:tcPr>
            <w:tcW w:w="8180" w:type="dxa"/>
            <w:vAlign w:val="bottom"/>
          </w:tcPr>
          <w:p>
            <w:pPr>
              <w:jc w:val="center"/>
              <w:ind w:left="954"/>
              <w:spacing w:after="0"/>
              <w:rPr>
                <w:sz w:val="20"/>
                <w:szCs w:val="20"/>
                <w:color w:val="auto"/>
              </w:rPr>
            </w:pPr>
            <w:r>
              <w:rPr>
                <w:rFonts w:ascii="Arial" w:cs="Arial" w:eastAsia="Arial" w:hAnsi="Arial"/>
                <w:sz w:val="14"/>
                <w:szCs w:val="14"/>
                <w:b w:val="1"/>
                <w:bCs w:val="1"/>
                <w:color w:val="auto"/>
              </w:rPr>
              <w:t>Annual Report on Form 10-K</w:t>
            </w:r>
          </w:p>
        </w:tc>
        <w:tc>
          <w:tcPr>
            <w:tcW w:w="1880" w:type="dxa"/>
            <w:vAlign w:val="bottom"/>
          </w:tcPr>
          <w:p>
            <w:pPr>
              <w:spacing w:after="0"/>
              <w:rPr>
                <w:sz w:val="15"/>
                <w:szCs w:val="15"/>
                <w:color w:val="auto"/>
              </w:rPr>
            </w:pPr>
          </w:p>
        </w:tc>
      </w:tr>
      <w:tr>
        <w:trPr>
          <w:trHeight w:val="188"/>
        </w:trPr>
        <w:tc>
          <w:tcPr>
            <w:tcW w:w="1040" w:type="dxa"/>
            <w:vAlign w:val="bottom"/>
            <w:tcBorders>
              <w:bottom w:val="single" w:sz="8" w:color="auto"/>
            </w:tcBorders>
          </w:tcPr>
          <w:p>
            <w:pPr>
              <w:spacing w:after="0"/>
              <w:rPr>
                <w:sz w:val="16"/>
                <w:szCs w:val="16"/>
                <w:color w:val="auto"/>
              </w:rPr>
            </w:pPr>
          </w:p>
        </w:tc>
        <w:tc>
          <w:tcPr>
            <w:tcW w:w="8180" w:type="dxa"/>
            <w:vAlign w:val="bottom"/>
            <w:tcBorders>
              <w:bottom w:val="single" w:sz="8" w:color="auto"/>
            </w:tcBorders>
          </w:tcPr>
          <w:p>
            <w:pPr>
              <w:jc w:val="center"/>
              <w:ind w:left="954"/>
              <w:spacing w:after="0"/>
              <w:rPr>
                <w:sz w:val="20"/>
                <w:szCs w:val="20"/>
                <w:color w:val="auto"/>
              </w:rPr>
            </w:pPr>
            <w:r>
              <w:rPr>
                <w:rFonts w:ascii="Arial" w:cs="Arial" w:eastAsia="Arial" w:hAnsi="Arial"/>
                <w:sz w:val="14"/>
                <w:szCs w:val="14"/>
                <w:b w:val="1"/>
                <w:bCs w:val="1"/>
                <w:color w:val="auto"/>
                <w:w w:val="98"/>
              </w:rPr>
              <w:t>Index</w:t>
            </w:r>
          </w:p>
        </w:tc>
        <w:tc>
          <w:tcPr>
            <w:tcW w:w="1880" w:type="dxa"/>
            <w:vAlign w:val="bottom"/>
            <w:tcBorders>
              <w:bottom w:val="single" w:sz="8" w:color="auto"/>
            </w:tcBorders>
          </w:tcPr>
          <w:p>
            <w:pPr>
              <w:spacing w:after="0"/>
              <w:rPr>
                <w:sz w:val="16"/>
                <w:szCs w:val="16"/>
                <w:color w:val="auto"/>
              </w:rPr>
            </w:pPr>
          </w:p>
        </w:tc>
      </w:tr>
      <w:tr>
        <w:trPr>
          <w:trHeight w:val="878"/>
        </w:trPr>
        <w:tc>
          <w:tcPr>
            <w:tcW w:w="1040" w:type="dxa"/>
            <w:vAlign w:val="bottom"/>
          </w:tcPr>
          <w:p>
            <w:pPr>
              <w:ind w:left="20"/>
              <w:spacing w:after="0"/>
              <w:rPr>
                <w:sz w:val="20"/>
                <w:szCs w:val="20"/>
                <w:color w:val="auto"/>
              </w:rPr>
            </w:pPr>
            <w:r>
              <w:rPr>
                <w:rFonts w:ascii="Arial" w:cs="Arial" w:eastAsia="Arial" w:hAnsi="Arial"/>
                <w:sz w:val="13"/>
                <w:szCs w:val="13"/>
                <w:b w:val="1"/>
                <w:bCs w:val="1"/>
                <w:color w:val="auto"/>
              </w:rPr>
              <w:t>PART I</w:t>
            </w:r>
          </w:p>
        </w:tc>
        <w:tc>
          <w:tcPr>
            <w:tcW w:w="8180" w:type="dxa"/>
            <w:vAlign w:val="bottom"/>
          </w:tcPr>
          <w:p>
            <w:pPr>
              <w:spacing w:after="0"/>
              <w:rPr>
                <w:sz w:val="24"/>
                <w:szCs w:val="24"/>
                <w:color w:val="auto"/>
              </w:rPr>
            </w:pPr>
          </w:p>
        </w:tc>
        <w:tc>
          <w:tcPr>
            <w:tcW w:w="1880" w:type="dxa"/>
            <w:vAlign w:val="bottom"/>
          </w:tcPr>
          <w:p>
            <w:pPr>
              <w:jc w:val="right"/>
              <w:ind w:right="36"/>
              <w:spacing w:after="0"/>
              <w:rPr>
                <w:sz w:val="20"/>
                <w:szCs w:val="20"/>
                <w:color w:val="auto"/>
              </w:rPr>
            </w:pPr>
            <w:r>
              <w:rPr>
                <w:rFonts w:ascii="Arial" w:cs="Arial" w:eastAsia="Arial" w:hAnsi="Arial"/>
                <w:sz w:val="13"/>
                <w:szCs w:val="13"/>
                <w:color w:val="auto"/>
              </w:rPr>
              <w:t>Page</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w:t>
            </w:r>
          </w:p>
        </w:tc>
        <w:tc>
          <w:tcPr>
            <w:tcW w:w="8180" w:type="dxa"/>
            <w:vAlign w:val="bottom"/>
          </w:tcPr>
          <w:p>
            <w:pPr>
              <w:ind w:left="200"/>
              <w:spacing w:after="0"/>
              <w:rPr>
                <w:sz w:val="20"/>
                <w:szCs w:val="20"/>
                <w:color w:val="auto"/>
              </w:rPr>
            </w:pPr>
            <w:r>
              <w:rPr>
                <w:rFonts w:ascii="Arial" w:cs="Arial" w:eastAsia="Arial" w:hAnsi="Arial"/>
                <w:sz w:val="13"/>
                <w:szCs w:val="13"/>
                <w:color w:val="auto"/>
              </w:rPr>
              <w:t>Business</w:t>
            </w:r>
          </w:p>
        </w:tc>
        <w:tc>
          <w:tcPr>
            <w:tcW w:w="1880" w:type="dxa"/>
            <w:vAlign w:val="bottom"/>
          </w:tcPr>
          <w:p>
            <w:pPr>
              <w:spacing w:after="0"/>
              <w:rPr>
                <w:sz w:val="14"/>
                <w:szCs w:val="1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1A.</w:t>
            </w:r>
          </w:p>
        </w:tc>
        <w:tc>
          <w:tcPr>
            <w:tcW w:w="8180" w:type="dxa"/>
            <w:vAlign w:val="bottom"/>
          </w:tcPr>
          <w:p>
            <w:pPr>
              <w:ind w:left="200"/>
              <w:spacing w:after="0"/>
              <w:rPr>
                <w:sz w:val="20"/>
                <w:szCs w:val="20"/>
                <w:color w:val="auto"/>
              </w:rPr>
            </w:pPr>
            <w:r>
              <w:rPr>
                <w:rFonts w:ascii="Arial" w:cs="Arial" w:eastAsia="Arial" w:hAnsi="Arial"/>
                <w:sz w:val="13"/>
                <w:szCs w:val="13"/>
                <w:color w:val="auto"/>
              </w:rPr>
              <w:t>Risk Factors</w:t>
            </w:r>
          </w:p>
        </w:tc>
        <w:tc>
          <w:tcPr>
            <w:tcW w:w="1880" w:type="dxa"/>
            <w:vAlign w:val="bottom"/>
          </w:tcPr>
          <w:p>
            <w:pPr>
              <w:spacing w:after="0"/>
              <w:rPr>
                <w:sz w:val="14"/>
                <w:szCs w:val="1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1B.</w:t>
            </w:r>
          </w:p>
        </w:tc>
        <w:tc>
          <w:tcPr>
            <w:tcW w:w="8180" w:type="dxa"/>
            <w:vAlign w:val="bottom"/>
          </w:tcPr>
          <w:p>
            <w:pPr>
              <w:ind w:left="200"/>
              <w:spacing w:after="0"/>
              <w:rPr>
                <w:sz w:val="20"/>
                <w:szCs w:val="20"/>
                <w:color w:val="auto"/>
              </w:rPr>
            </w:pPr>
            <w:r>
              <w:rPr>
                <w:rFonts w:ascii="Arial" w:cs="Arial" w:eastAsia="Arial" w:hAnsi="Arial"/>
                <w:sz w:val="13"/>
                <w:szCs w:val="13"/>
                <w:color w:val="auto"/>
              </w:rPr>
              <w:t>Unresolved Staff Comments</w:t>
            </w:r>
          </w:p>
        </w:tc>
        <w:tc>
          <w:tcPr>
            <w:tcW w:w="1880" w:type="dxa"/>
            <w:vAlign w:val="bottom"/>
          </w:tcPr>
          <w:p>
            <w:pPr>
              <w:spacing w:after="0"/>
              <w:rPr>
                <w:sz w:val="14"/>
                <w:szCs w:val="1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2.</w:t>
            </w:r>
          </w:p>
        </w:tc>
        <w:tc>
          <w:tcPr>
            <w:tcW w:w="8180" w:type="dxa"/>
            <w:vAlign w:val="bottom"/>
          </w:tcPr>
          <w:p>
            <w:pPr>
              <w:ind w:left="200"/>
              <w:spacing w:after="0"/>
              <w:rPr>
                <w:sz w:val="20"/>
                <w:szCs w:val="20"/>
                <w:color w:val="auto"/>
              </w:rPr>
            </w:pPr>
            <w:r>
              <w:rPr>
                <w:rFonts w:ascii="Arial" w:cs="Arial" w:eastAsia="Arial" w:hAnsi="Arial"/>
                <w:sz w:val="13"/>
                <w:szCs w:val="13"/>
                <w:color w:val="auto"/>
              </w:rPr>
              <w:t>Properties</w:t>
            </w:r>
          </w:p>
        </w:tc>
        <w:tc>
          <w:tcPr>
            <w:tcW w:w="1880" w:type="dxa"/>
            <w:vAlign w:val="bottom"/>
          </w:tcPr>
          <w:p>
            <w:pPr>
              <w:spacing w:after="0"/>
              <w:rPr>
                <w:sz w:val="14"/>
                <w:szCs w:val="1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3.</w:t>
            </w:r>
          </w:p>
        </w:tc>
        <w:tc>
          <w:tcPr>
            <w:tcW w:w="8180" w:type="dxa"/>
            <w:vAlign w:val="bottom"/>
          </w:tcPr>
          <w:p>
            <w:pPr>
              <w:ind w:left="200"/>
              <w:spacing w:after="0"/>
              <w:rPr>
                <w:sz w:val="20"/>
                <w:szCs w:val="20"/>
                <w:color w:val="auto"/>
              </w:rPr>
            </w:pPr>
            <w:r>
              <w:rPr>
                <w:rFonts w:ascii="Arial" w:cs="Arial" w:eastAsia="Arial" w:hAnsi="Arial"/>
                <w:sz w:val="13"/>
                <w:szCs w:val="13"/>
                <w:color w:val="auto"/>
              </w:rPr>
              <w:t>Legal Proceedings</w:t>
            </w:r>
          </w:p>
        </w:tc>
        <w:tc>
          <w:tcPr>
            <w:tcW w:w="1880" w:type="dxa"/>
            <w:vAlign w:val="bottom"/>
          </w:tcPr>
          <w:p>
            <w:pPr>
              <w:spacing w:after="0"/>
              <w:rPr>
                <w:sz w:val="14"/>
                <w:szCs w:val="1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4.</w:t>
            </w:r>
          </w:p>
        </w:tc>
        <w:tc>
          <w:tcPr>
            <w:tcW w:w="8180" w:type="dxa"/>
            <w:vAlign w:val="bottom"/>
          </w:tcPr>
          <w:p>
            <w:pPr>
              <w:ind w:left="200"/>
              <w:spacing w:after="0"/>
              <w:rPr>
                <w:sz w:val="20"/>
                <w:szCs w:val="20"/>
                <w:color w:val="auto"/>
              </w:rPr>
            </w:pPr>
            <w:r>
              <w:rPr>
                <w:rFonts w:ascii="Arial" w:cs="Arial" w:eastAsia="Arial" w:hAnsi="Arial"/>
                <w:sz w:val="13"/>
                <w:szCs w:val="13"/>
                <w:color w:val="auto"/>
              </w:rPr>
              <w:t>Mine Safety Disclosures</w:t>
            </w:r>
          </w:p>
        </w:tc>
        <w:tc>
          <w:tcPr>
            <w:tcW w:w="1880" w:type="dxa"/>
            <w:vAlign w:val="bottom"/>
          </w:tcPr>
          <w:p>
            <w:pPr>
              <w:spacing w:after="0"/>
              <w:rPr>
                <w:sz w:val="14"/>
                <w:szCs w:val="14"/>
                <w:color w:val="auto"/>
              </w:rPr>
            </w:pPr>
          </w:p>
        </w:tc>
      </w:tr>
      <w:tr>
        <w:trPr>
          <w:trHeight w:val="340"/>
        </w:trPr>
        <w:tc>
          <w:tcPr>
            <w:tcW w:w="1040" w:type="dxa"/>
            <w:vAlign w:val="bottom"/>
          </w:tcPr>
          <w:p>
            <w:pPr>
              <w:ind w:left="20"/>
              <w:spacing w:after="0"/>
              <w:rPr>
                <w:sz w:val="20"/>
                <w:szCs w:val="20"/>
                <w:color w:val="auto"/>
              </w:rPr>
            </w:pPr>
            <w:r>
              <w:rPr>
                <w:rFonts w:ascii="Arial" w:cs="Arial" w:eastAsia="Arial" w:hAnsi="Arial"/>
                <w:sz w:val="13"/>
                <w:szCs w:val="13"/>
                <w:b w:val="1"/>
                <w:bCs w:val="1"/>
                <w:color w:val="auto"/>
              </w:rPr>
              <w:t>PART II</w:t>
            </w:r>
          </w:p>
        </w:tc>
        <w:tc>
          <w:tcPr>
            <w:tcW w:w="81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5.</w:t>
            </w:r>
          </w:p>
        </w:tc>
        <w:tc>
          <w:tcPr>
            <w:tcW w:w="8180" w:type="dxa"/>
            <w:vAlign w:val="bottom"/>
          </w:tcPr>
          <w:p>
            <w:pPr>
              <w:ind w:left="200"/>
              <w:spacing w:after="0"/>
              <w:rPr>
                <w:sz w:val="20"/>
                <w:szCs w:val="20"/>
                <w:color w:val="auto"/>
              </w:rPr>
            </w:pPr>
            <w:r>
              <w:rPr>
                <w:rFonts w:ascii="Arial" w:cs="Arial" w:eastAsia="Arial" w:hAnsi="Arial"/>
                <w:sz w:val="13"/>
                <w:szCs w:val="13"/>
                <w:color w:val="auto"/>
              </w:rPr>
              <w:t>Market for the Registrant’s Common Equity, Related Stockholder Matters and Issuer Purchases of Equity Securities</w:t>
            </w:r>
          </w:p>
        </w:tc>
        <w:tc>
          <w:tcPr>
            <w:tcW w:w="1880" w:type="dxa"/>
            <w:vAlign w:val="bottom"/>
          </w:tcPr>
          <w:p>
            <w:pPr>
              <w:spacing w:after="0"/>
              <w:rPr>
                <w:sz w:val="14"/>
                <w:szCs w:val="1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6</w:t>
            </w:r>
          </w:p>
        </w:tc>
        <w:tc>
          <w:tcPr>
            <w:tcW w:w="8180" w:type="dxa"/>
            <w:vAlign w:val="bottom"/>
          </w:tcPr>
          <w:p>
            <w:pPr>
              <w:ind w:left="200"/>
              <w:spacing w:after="0"/>
              <w:rPr>
                <w:sz w:val="20"/>
                <w:szCs w:val="20"/>
                <w:color w:val="auto"/>
              </w:rPr>
            </w:pPr>
            <w:r>
              <w:rPr>
                <w:rFonts w:ascii="Arial" w:cs="Arial" w:eastAsia="Arial" w:hAnsi="Arial"/>
                <w:sz w:val="13"/>
                <w:szCs w:val="13"/>
                <w:color w:val="auto"/>
              </w:rPr>
              <w:t>[Reserved]</w:t>
            </w:r>
          </w:p>
        </w:tc>
        <w:tc>
          <w:tcPr>
            <w:tcW w:w="1880" w:type="dxa"/>
            <w:vAlign w:val="bottom"/>
          </w:tcPr>
          <w:p>
            <w:pPr>
              <w:spacing w:after="0"/>
              <w:rPr>
                <w:sz w:val="14"/>
                <w:szCs w:val="1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7.</w:t>
            </w:r>
          </w:p>
        </w:tc>
        <w:tc>
          <w:tcPr>
            <w:tcW w:w="8180" w:type="dxa"/>
            <w:vAlign w:val="bottom"/>
          </w:tcPr>
          <w:p>
            <w:pPr>
              <w:ind w:left="200"/>
              <w:spacing w:after="0"/>
              <w:rPr>
                <w:sz w:val="20"/>
                <w:szCs w:val="20"/>
                <w:color w:val="auto"/>
              </w:rPr>
            </w:pPr>
            <w:r>
              <w:rPr>
                <w:rFonts w:ascii="Arial" w:cs="Arial" w:eastAsia="Arial" w:hAnsi="Arial"/>
                <w:sz w:val="13"/>
                <w:szCs w:val="13"/>
                <w:color w:val="auto"/>
              </w:rPr>
              <w:t>Management’s Discussion and Analysis of Financial Condition and Results of Operations</w:t>
            </w:r>
          </w:p>
        </w:tc>
        <w:tc>
          <w:tcPr>
            <w:tcW w:w="1880" w:type="dxa"/>
            <w:vAlign w:val="bottom"/>
          </w:tcPr>
          <w:p>
            <w:pPr>
              <w:spacing w:after="0"/>
              <w:rPr>
                <w:sz w:val="14"/>
                <w:szCs w:val="1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7A.</w:t>
            </w:r>
          </w:p>
        </w:tc>
        <w:tc>
          <w:tcPr>
            <w:tcW w:w="8180" w:type="dxa"/>
            <w:vAlign w:val="bottom"/>
          </w:tcPr>
          <w:p>
            <w:pPr>
              <w:ind w:left="200"/>
              <w:spacing w:after="0"/>
              <w:rPr>
                <w:sz w:val="20"/>
                <w:szCs w:val="20"/>
                <w:color w:val="auto"/>
              </w:rPr>
            </w:pPr>
            <w:r>
              <w:rPr>
                <w:rFonts w:ascii="Arial" w:cs="Arial" w:eastAsia="Arial" w:hAnsi="Arial"/>
                <w:sz w:val="13"/>
                <w:szCs w:val="13"/>
                <w:color w:val="auto"/>
              </w:rPr>
              <w:t>Quantitative and Qualitative Disclosures about Market Risk</w:t>
            </w:r>
          </w:p>
        </w:tc>
        <w:tc>
          <w:tcPr>
            <w:tcW w:w="1880" w:type="dxa"/>
            <w:vAlign w:val="bottom"/>
          </w:tcPr>
          <w:p>
            <w:pPr>
              <w:spacing w:after="0"/>
              <w:rPr>
                <w:sz w:val="14"/>
                <w:szCs w:val="1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8.</w:t>
            </w:r>
          </w:p>
        </w:tc>
        <w:tc>
          <w:tcPr>
            <w:tcW w:w="8180" w:type="dxa"/>
            <w:vAlign w:val="bottom"/>
          </w:tcPr>
          <w:p>
            <w:pPr>
              <w:ind w:left="200"/>
              <w:spacing w:after="0"/>
              <w:rPr>
                <w:sz w:val="20"/>
                <w:szCs w:val="20"/>
                <w:color w:val="auto"/>
              </w:rPr>
            </w:pPr>
            <w:r>
              <w:rPr>
                <w:rFonts w:ascii="Arial" w:cs="Arial" w:eastAsia="Arial" w:hAnsi="Arial"/>
                <w:sz w:val="13"/>
                <w:szCs w:val="13"/>
                <w:color w:val="auto"/>
              </w:rPr>
              <w:t>Financial Statements and Supplementary Data</w:t>
            </w:r>
          </w:p>
        </w:tc>
        <w:tc>
          <w:tcPr>
            <w:tcW w:w="1880" w:type="dxa"/>
            <w:vAlign w:val="bottom"/>
          </w:tcPr>
          <w:p>
            <w:pPr>
              <w:spacing w:after="0"/>
              <w:rPr>
                <w:sz w:val="14"/>
                <w:szCs w:val="1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9.</w:t>
            </w:r>
          </w:p>
        </w:tc>
        <w:tc>
          <w:tcPr>
            <w:tcW w:w="8180" w:type="dxa"/>
            <w:vAlign w:val="bottom"/>
          </w:tcPr>
          <w:p>
            <w:pPr>
              <w:ind w:left="200"/>
              <w:spacing w:after="0"/>
              <w:rPr>
                <w:sz w:val="20"/>
                <w:szCs w:val="20"/>
                <w:color w:val="auto"/>
              </w:rPr>
            </w:pPr>
            <w:r>
              <w:rPr>
                <w:rFonts w:ascii="Arial" w:cs="Arial" w:eastAsia="Arial" w:hAnsi="Arial"/>
                <w:sz w:val="13"/>
                <w:szCs w:val="13"/>
                <w:color w:val="auto"/>
              </w:rPr>
              <w:t>Changes in and Disagreements with Accountants on Accounting and Financial Disclosure</w:t>
            </w:r>
          </w:p>
        </w:tc>
        <w:tc>
          <w:tcPr>
            <w:tcW w:w="1880" w:type="dxa"/>
            <w:vAlign w:val="bottom"/>
          </w:tcPr>
          <w:p>
            <w:pPr>
              <w:jc w:val="right"/>
              <w:spacing w:after="0"/>
              <w:rPr>
                <w:sz w:val="20"/>
                <w:szCs w:val="20"/>
                <w:color w:val="auto"/>
              </w:rPr>
            </w:pPr>
            <w:r>
              <w:rPr>
                <w:rFonts w:ascii="Arial" w:cs="Arial" w:eastAsia="Arial" w:hAnsi="Arial"/>
                <w:sz w:val="13"/>
                <w:szCs w:val="13"/>
                <w:color w:val="0000FF"/>
              </w:rPr>
              <w:t>1</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9A.</w:t>
            </w:r>
          </w:p>
        </w:tc>
        <w:tc>
          <w:tcPr>
            <w:tcW w:w="8180" w:type="dxa"/>
            <w:vAlign w:val="bottom"/>
          </w:tcPr>
          <w:p>
            <w:pPr>
              <w:ind w:left="200"/>
              <w:spacing w:after="0"/>
              <w:rPr>
                <w:sz w:val="20"/>
                <w:szCs w:val="20"/>
                <w:color w:val="auto"/>
              </w:rPr>
            </w:pPr>
            <w:r>
              <w:rPr>
                <w:rFonts w:ascii="Arial" w:cs="Arial" w:eastAsia="Arial" w:hAnsi="Arial"/>
                <w:sz w:val="13"/>
                <w:szCs w:val="13"/>
                <w:color w:val="auto"/>
              </w:rPr>
              <w:t>Controls and Procedures</w:t>
            </w:r>
          </w:p>
        </w:tc>
        <w:tc>
          <w:tcPr>
            <w:tcW w:w="1880" w:type="dxa"/>
            <w:vAlign w:val="bottom"/>
          </w:tcPr>
          <w:p>
            <w:pPr>
              <w:jc w:val="right"/>
              <w:spacing w:after="0"/>
              <w:rPr>
                <w:sz w:val="20"/>
                <w:szCs w:val="20"/>
                <w:color w:val="auto"/>
              </w:rPr>
            </w:pPr>
            <w:r>
              <w:rPr>
                <w:rFonts w:ascii="Arial" w:cs="Arial" w:eastAsia="Arial" w:hAnsi="Arial"/>
                <w:sz w:val="13"/>
                <w:szCs w:val="13"/>
                <w:color w:val="0000FF"/>
              </w:rPr>
              <w:t>1</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9B.</w:t>
            </w:r>
          </w:p>
        </w:tc>
        <w:tc>
          <w:tcPr>
            <w:tcW w:w="8180" w:type="dxa"/>
            <w:vAlign w:val="bottom"/>
          </w:tcPr>
          <w:p>
            <w:pPr>
              <w:ind w:left="200"/>
              <w:spacing w:after="0"/>
              <w:rPr>
                <w:sz w:val="20"/>
                <w:szCs w:val="20"/>
                <w:color w:val="auto"/>
              </w:rPr>
            </w:pPr>
            <w:r>
              <w:rPr>
                <w:rFonts w:ascii="Arial" w:cs="Arial" w:eastAsia="Arial" w:hAnsi="Arial"/>
                <w:sz w:val="13"/>
                <w:szCs w:val="13"/>
                <w:color w:val="auto"/>
              </w:rPr>
              <w:t>Other Information</w:t>
            </w:r>
          </w:p>
        </w:tc>
        <w:tc>
          <w:tcPr>
            <w:tcW w:w="1880" w:type="dxa"/>
            <w:vAlign w:val="bottom"/>
          </w:tcPr>
          <w:p>
            <w:pPr>
              <w:jc w:val="right"/>
              <w:spacing w:after="0"/>
              <w:rPr>
                <w:sz w:val="20"/>
                <w:szCs w:val="20"/>
                <w:color w:val="auto"/>
              </w:rPr>
            </w:pPr>
            <w:r>
              <w:rPr>
                <w:rFonts w:ascii="Arial" w:cs="Arial" w:eastAsia="Arial" w:hAnsi="Arial"/>
                <w:sz w:val="13"/>
                <w:szCs w:val="13"/>
                <w:color w:val="0000FF"/>
              </w:rPr>
              <w:t>1</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9C.</w:t>
            </w:r>
          </w:p>
        </w:tc>
        <w:tc>
          <w:tcPr>
            <w:tcW w:w="8180" w:type="dxa"/>
            <w:vAlign w:val="bottom"/>
          </w:tcPr>
          <w:p>
            <w:pPr>
              <w:ind w:left="200"/>
              <w:spacing w:after="0"/>
              <w:rPr>
                <w:sz w:val="20"/>
                <w:szCs w:val="20"/>
                <w:color w:val="auto"/>
              </w:rPr>
            </w:pPr>
            <w:r>
              <w:rPr>
                <w:rFonts w:ascii="Arial" w:cs="Arial" w:eastAsia="Arial" w:hAnsi="Arial"/>
                <w:sz w:val="13"/>
                <w:szCs w:val="13"/>
                <w:color w:val="auto"/>
              </w:rPr>
              <w:t>Disclosure Regarding Foreign Jurisdictions that Prevent Inspections</w:t>
            </w:r>
          </w:p>
        </w:tc>
        <w:tc>
          <w:tcPr>
            <w:tcW w:w="1880" w:type="dxa"/>
            <w:vAlign w:val="bottom"/>
          </w:tcPr>
          <w:p>
            <w:pPr>
              <w:jc w:val="right"/>
              <w:spacing w:after="0"/>
              <w:rPr>
                <w:sz w:val="20"/>
                <w:szCs w:val="20"/>
                <w:color w:val="auto"/>
              </w:rPr>
            </w:pPr>
            <w:r>
              <w:rPr>
                <w:rFonts w:ascii="Arial" w:cs="Arial" w:eastAsia="Arial" w:hAnsi="Arial"/>
                <w:sz w:val="13"/>
                <w:szCs w:val="13"/>
                <w:color w:val="0000FF"/>
              </w:rPr>
              <w:t>1</w:t>
            </w:r>
          </w:p>
        </w:tc>
      </w:tr>
      <w:tr>
        <w:trPr>
          <w:trHeight w:val="340"/>
        </w:trPr>
        <w:tc>
          <w:tcPr>
            <w:tcW w:w="1040" w:type="dxa"/>
            <w:vAlign w:val="bottom"/>
          </w:tcPr>
          <w:p>
            <w:pPr>
              <w:ind w:left="20"/>
              <w:spacing w:after="0"/>
              <w:rPr>
                <w:sz w:val="20"/>
                <w:szCs w:val="20"/>
                <w:color w:val="auto"/>
              </w:rPr>
            </w:pPr>
            <w:r>
              <w:rPr>
                <w:rFonts w:ascii="Arial" w:cs="Arial" w:eastAsia="Arial" w:hAnsi="Arial"/>
                <w:sz w:val="13"/>
                <w:szCs w:val="13"/>
                <w:b w:val="1"/>
                <w:bCs w:val="1"/>
                <w:color w:val="auto"/>
              </w:rPr>
              <w:t>PART III</w:t>
            </w:r>
          </w:p>
        </w:tc>
        <w:tc>
          <w:tcPr>
            <w:tcW w:w="81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10.</w:t>
            </w:r>
          </w:p>
        </w:tc>
        <w:tc>
          <w:tcPr>
            <w:tcW w:w="8180" w:type="dxa"/>
            <w:vAlign w:val="bottom"/>
          </w:tcPr>
          <w:p>
            <w:pPr>
              <w:ind w:left="200"/>
              <w:spacing w:after="0"/>
              <w:rPr>
                <w:sz w:val="20"/>
                <w:szCs w:val="20"/>
                <w:color w:val="auto"/>
              </w:rPr>
            </w:pPr>
            <w:r>
              <w:rPr>
                <w:rFonts w:ascii="Arial" w:cs="Arial" w:eastAsia="Arial" w:hAnsi="Arial"/>
                <w:sz w:val="13"/>
                <w:szCs w:val="13"/>
                <w:color w:val="auto"/>
              </w:rPr>
              <w:t>Directors, Executive Officers and Corporate Governance</w:t>
            </w:r>
          </w:p>
        </w:tc>
        <w:tc>
          <w:tcPr>
            <w:tcW w:w="1880" w:type="dxa"/>
            <w:vAlign w:val="bottom"/>
          </w:tcPr>
          <w:p>
            <w:pPr>
              <w:jc w:val="right"/>
              <w:spacing w:after="0"/>
              <w:rPr>
                <w:sz w:val="20"/>
                <w:szCs w:val="20"/>
                <w:color w:val="auto"/>
              </w:rPr>
            </w:pPr>
            <w:r>
              <w:rPr>
                <w:rFonts w:ascii="Arial" w:cs="Arial" w:eastAsia="Arial" w:hAnsi="Arial"/>
                <w:sz w:val="13"/>
                <w:szCs w:val="13"/>
                <w:color w:val="0000FF"/>
              </w:rPr>
              <w:t>1</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11.</w:t>
            </w:r>
          </w:p>
        </w:tc>
        <w:tc>
          <w:tcPr>
            <w:tcW w:w="8180" w:type="dxa"/>
            <w:vAlign w:val="bottom"/>
          </w:tcPr>
          <w:p>
            <w:pPr>
              <w:ind w:left="200"/>
              <w:spacing w:after="0"/>
              <w:rPr>
                <w:sz w:val="20"/>
                <w:szCs w:val="20"/>
                <w:color w:val="auto"/>
              </w:rPr>
            </w:pPr>
            <w:r>
              <w:rPr>
                <w:rFonts w:ascii="Arial" w:cs="Arial" w:eastAsia="Arial" w:hAnsi="Arial"/>
                <w:sz w:val="13"/>
                <w:szCs w:val="13"/>
                <w:color w:val="auto"/>
              </w:rPr>
              <w:t>Executive Compensation</w:t>
            </w:r>
          </w:p>
        </w:tc>
        <w:tc>
          <w:tcPr>
            <w:tcW w:w="1880" w:type="dxa"/>
            <w:vAlign w:val="bottom"/>
          </w:tcPr>
          <w:p>
            <w:pPr>
              <w:jc w:val="right"/>
              <w:spacing w:after="0"/>
              <w:rPr>
                <w:sz w:val="20"/>
                <w:szCs w:val="20"/>
                <w:color w:val="auto"/>
              </w:rPr>
            </w:pPr>
            <w:r>
              <w:rPr>
                <w:rFonts w:ascii="Arial" w:cs="Arial" w:eastAsia="Arial" w:hAnsi="Arial"/>
                <w:sz w:val="13"/>
                <w:szCs w:val="13"/>
                <w:color w:val="0000FF"/>
              </w:rPr>
              <w:t>1</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12.</w:t>
            </w:r>
          </w:p>
        </w:tc>
        <w:tc>
          <w:tcPr>
            <w:tcW w:w="8180" w:type="dxa"/>
            <w:vAlign w:val="bottom"/>
          </w:tcPr>
          <w:p>
            <w:pPr>
              <w:ind w:left="200"/>
              <w:spacing w:after="0"/>
              <w:rPr>
                <w:sz w:val="20"/>
                <w:szCs w:val="20"/>
                <w:color w:val="auto"/>
              </w:rPr>
            </w:pPr>
            <w:r>
              <w:rPr>
                <w:rFonts w:ascii="Arial" w:cs="Arial" w:eastAsia="Arial" w:hAnsi="Arial"/>
                <w:sz w:val="13"/>
                <w:szCs w:val="13"/>
                <w:color w:val="auto"/>
              </w:rPr>
              <w:t>Security Ownership of Certain Beneficial Owners and Management and Related Stockholder Matters</w:t>
            </w:r>
          </w:p>
        </w:tc>
        <w:tc>
          <w:tcPr>
            <w:tcW w:w="1880" w:type="dxa"/>
            <w:vAlign w:val="bottom"/>
          </w:tcPr>
          <w:p>
            <w:pPr>
              <w:jc w:val="right"/>
              <w:spacing w:after="0"/>
              <w:rPr>
                <w:sz w:val="20"/>
                <w:szCs w:val="20"/>
                <w:color w:val="auto"/>
              </w:rPr>
            </w:pPr>
            <w:r>
              <w:rPr>
                <w:rFonts w:ascii="Arial" w:cs="Arial" w:eastAsia="Arial" w:hAnsi="Arial"/>
                <w:sz w:val="13"/>
                <w:szCs w:val="13"/>
                <w:color w:val="0000FF"/>
              </w:rPr>
              <w:t>1</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13.</w:t>
            </w:r>
          </w:p>
        </w:tc>
        <w:tc>
          <w:tcPr>
            <w:tcW w:w="8180" w:type="dxa"/>
            <w:vAlign w:val="bottom"/>
          </w:tcPr>
          <w:p>
            <w:pPr>
              <w:ind w:left="200"/>
              <w:spacing w:after="0"/>
              <w:rPr>
                <w:sz w:val="20"/>
                <w:szCs w:val="20"/>
                <w:color w:val="auto"/>
              </w:rPr>
            </w:pPr>
            <w:r>
              <w:rPr>
                <w:rFonts w:ascii="Arial" w:cs="Arial" w:eastAsia="Arial" w:hAnsi="Arial"/>
                <w:sz w:val="13"/>
                <w:szCs w:val="13"/>
                <w:color w:val="auto"/>
              </w:rPr>
              <w:t>Certain Relationships and Related Transactions and Director Independence</w:t>
            </w:r>
          </w:p>
        </w:tc>
        <w:tc>
          <w:tcPr>
            <w:tcW w:w="1880" w:type="dxa"/>
            <w:vAlign w:val="bottom"/>
          </w:tcPr>
          <w:p>
            <w:pPr>
              <w:jc w:val="right"/>
              <w:spacing w:after="0"/>
              <w:rPr>
                <w:sz w:val="20"/>
                <w:szCs w:val="20"/>
                <w:color w:val="auto"/>
              </w:rPr>
            </w:pPr>
            <w:r>
              <w:rPr>
                <w:rFonts w:ascii="Arial" w:cs="Arial" w:eastAsia="Arial" w:hAnsi="Arial"/>
                <w:sz w:val="13"/>
                <w:szCs w:val="13"/>
                <w:color w:val="0000FF"/>
              </w:rPr>
              <w:t>1</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14.</w:t>
            </w:r>
          </w:p>
        </w:tc>
        <w:tc>
          <w:tcPr>
            <w:tcW w:w="8180" w:type="dxa"/>
            <w:vAlign w:val="bottom"/>
          </w:tcPr>
          <w:p>
            <w:pPr>
              <w:ind w:left="200"/>
              <w:spacing w:after="0"/>
              <w:rPr>
                <w:sz w:val="20"/>
                <w:szCs w:val="20"/>
                <w:color w:val="auto"/>
              </w:rPr>
            </w:pPr>
            <w:r>
              <w:rPr>
                <w:rFonts w:ascii="Arial" w:cs="Arial" w:eastAsia="Arial" w:hAnsi="Arial"/>
                <w:sz w:val="13"/>
                <w:szCs w:val="13"/>
                <w:color w:val="auto"/>
              </w:rPr>
              <w:t>Principal Accountant Fees and Services</w:t>
            </w:r>
          </w:p>
        </w:tc>
        <w:tc>
          <w:tcPr>
            <w:tcW w:w="1880" w:type="dxa"/>
            <w:vAlign w:val="bottom"/>
          </w:tcPr>
          <w:p>
            <w:pPr>
              <w:jc w:val="right"/>
              <w:spacing w:after="0"/>
              <w:rPr>
                <w:sz w:val="20"/>
                <w:szCs w:val="20"/>
                <w:color w:val="auto"/>
              </w:rPr>
            </w:pPr>
            <w:r>
              <w:rPr>
                <w:rFonts w:ascii="Arial" w:cs="Arial" w:eastAsia="Arial" w:hAnsi="Arial"/>
                <w:sz w:val="13"/>
                <w:szCs w:val="13"/>
                <w:color w:val="0000FF"/>
              </w:rPr>
              <w:t>1</w:t>
            </w:r>
          </w:p>
        </w:tc>
      </w:tr>
      <w:tr>
        <w:trPr>
          <w:trHeight w:val="340"/>
        </w:trPr>
        <w:tc>
          <w:tcPr>
            <w:tcW w:w="1040" w:type="dxa"/>
            <w:vAlign w:val="bottom"/>
          </w:tcPr>
          <w:p>
            <w:pPr>
              <w:ind w:left="20"/>
              <w:spacing w:after="0"/>
              <w:rPr>
                <w:sz w:val="20"/>
                <w:szCs w:val="20"/>
                <w:color w:val="auto"/>
              </w:rPr>
            </w:pPr>
            <w:r>
              <w:rPr>
                <w:rFonts w:ascii="Arial" w:cs="Arial" w:eastAsia="Arial" w:hAnsi="Arial"/>
                <w:sz w:val="13"/>
                <w:szCs w:val="13"/>
                <w:b w:val="1"/>
                <w:bCs w:val="1"/>
                <w:color w:val="auto"/>
              </w:rPr>
              <w:t>PART IV</w:t>
            </w:r>
          </w:p>
        </w:tc>
        <w:tc>
          <w:tcPr>
            <w:tcW w:w="81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15.</w:t>
            </w:r>
          </w:p>
        </w:tc>
        <w:tc>
          <w:tcPr>
            <w:tcW w:w="8180" w:type="dxa"/>
            <w:vAlign w:val="bottom"/>
          </w:tcPr>
          <w:p>
            <w:pPr>
              <w:ind w:left="200"/>
              <w:spacing w:after="0"/>
              <w:rPr>
                <w:sz w:val="20"/>
                <w:szCs w:val="20"/>
                <w:color w:val="auto"/>
              </w:rPr>
            </w:pPr>
            <w:r>
              <w:rPr>
                <w:rFonts w:ascii="Arial" w:cs="Arial" w:eastAsia="Arial" w:hAnsi="Arial"/>
                <w:sz w:val="13"/>
                <w:szCs w:val="13"/>
                <w:color w:val="auto"/>
              </w:rPr>
              <w:t>Exhibits and Financial Statement Schedules</w:t>
            </w:r>
          </w:p>
        </w:tc>
        <w:tc>
          <w:tcPr>
            <w:tcW w:w="1880" w:type="dxa"/>
            <w:vAlign w:val="bottom"/>
          </w:tcPr>
          <w:p>
            <w:pPr>
              <w:jc w:val="right"/>
              <w:spacing w:after="0"/>
              <w:rPr>
                <w:sz w:val="20"/>
                <w:szCs w:val="20"/>
                <w:color w:val="auto"/>
              </w:rPr>
            </w:pPr>
            <w:r>
              <w:rPr>
                <w:rFonts w:ascii="Arial" w:cs="Arial" w:eastAsia="Arial" w:hAnsi="Arial"/>
                <w:sz w:val="13"/>
                <w:szCs w:val="13"/>
                <w:color w:val="0000FF"/>
              </w:rPr>
              <w:t>1</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Item 16.</w:t>
            </w:r>
          </w:p>
        </w:tc>
        <w:tc>
          <w:tcPr>
            <w:tcW w:w="8180" w:type="dxa"/>
            <w:vAlign w:val="bottom"/>
          </w:tcPr>
          <w:p>
            <w:pPr>
              <w:ind w:left="200"/>
              <w:spacing w:after="0"/>
              <w:rPr>
                <w:sz w:val="20"/>
                <w:szCs w:val="20"/>
                <w:color w:val="auto"/>
              </w:rPr>
            </w:pPr>
            <w:r>
              <w:rPr>
                <w:rFonts w:ascii="Arial" w:cs="Arial" w:eastAsia="Arial" w:hAnsi="Arial"/>
                <w:sz w:val="13"/>
                <w:szCs w:val="13"/>
                <w:color w:val="auto"/>
              </w:rPr>
              <w:t>Form 10K Summary</w:t>
            </w:r>
          </w:p>
        </w:tc>
        <w:tc>
          <w:tcPr>
            <w:tcW w:w="1880" w:type="dxa"/>
            <w:vAlign w:val="bottom"/>
          </w:tcPr>
          <w:p>
            <w:pPr>
              <w:jc w:val="right"/>
              <w:spacing w:after="0"/>
              <w:rPr>
                <w:sz w:val="20"/>
                <w:szCs w:val="20"/>
                <w:color w:val="auto"/>
              </w:rPr>
            </w:pPr>
            <w:r>
              <w:rPr>
                <w:rFonts w:ascii="Arial" w:cs="Arial" w:eastAsia="Arial" w:hAnsi="Arial"/>
                <w:sz w:val="13"/>
                <w:szCs w:val="13"/>
                <w:color w:val="0000FF"/>
              </w:rPr>
              <w:t>1</w:t>
            </w:r>
          </w:p>
        </w:tc>
      </w:tr>
      <w:tr>
        <w:trPr>
          <w:trHeight w:val="340"/>
        </w:trPr>
        <w:tc>
          <w:tcPr>
            <w:tcW w:w="1040" w:type="dxa"/>
            <w:vAlign w:val="bottom"/>
          </w:tcPr>
          <w:p>
            <w:pPr>
              <w:ind w:left="20"/>
              <w:spacing w:after="0"/>
              <w:rPr>
                <w:sz w:val="20"/>
                <w:szCs w:val="20"/>
                <w:color w:val="auto"/>
              </w:rPr>
            </w:pPr>
            <w:r>
              <w:rPr>
                <w:rFonts w:ascii="Arial" w:cs="Arial" w:eastAsia="Arial" w:hAnsi="Arial"/>
                <w:sz w:val="13"/>
                <w:szCs w:val="13"/>
                <w:b w:val="1"/>
                <w:bCs w:val="1"/>
                <w:color w:val="auto"/>
              </w:rPr>
              <w:t>SIGNATURES</w:t>
            </w:r>
          </w:p>
        </w:tc>
        <w:tc>
          <w:tcPr>
            <w:tcW w:w="81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0000FF"/>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201930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560" w:top="499" w:right="239" w:bottom="1440" w:gutter="0" w:footer="0" w:header="0"/>
        </w:sectPr>
      </w:pPr>
    </w:p>
    <w:bookmarkStart w:id="3" w:name="page4"/>
    <w:bookmarkEnd w:id="3"/>
    <w:p>
      <w:pPr>
        <w:ind w:left="260"/>
        <w:spacing w:after="0"/>
        <w:rPr>
          <w:sz w:val="20"/>
          <w:szCs w:val="20"/>
          <w:color w:val="auto"/>
        </w:rPr>
      </w:pPr>
      <w:r>
        <w:rPr>
          <w:rFonts w:ascii="Arial" w:cs="Arial" w:eastAsia="Arial" w:hAnsi="Arial"/>
          <w:sz w:val="14"/>
          <w:szCs w:val="14"/>
          <w:b w:val="1"/>
          <w:bCs w:val="1"/>
          <w:color w:val="auto"/>
        </w:rPr>
        <w:t>PRIVATE SECURITIES LITIGATION REFORM ACT SAFE HARBOR STATEMENT</w:t>
      </w:r>
    </w:p>
    <w:p>
      <w:pPr>
        <w:spacing w:after="0" w:line="19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This Report on Form 10-K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“could,” “project,” “seek,” “should,” “will,” or “would,” or the negative of these words and phrases or similar words and phrases.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General Economic Conditions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forward-looking statements are subject to risks and uncertainties that could cause actual results, performance or achievements to differ materially from those projected.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These risks and uncertainties, some of which are beyond our control, include, but are not limited to:</w:t>
      </w:r>
    </w:p>
    <w:p>
      <w:pPr>
        <w:spacing w:after="0" w:line="179" w:lineRule="exact"/>
        <w:rPr>
          <w:sz w:val="20"/>
          <w:szCs w:val="20"/>
          <w:color w:val="auto"/>
        </w:rPr>
      </w:pPr>
    </w:p>
    <w:p>
      <w:pPr>
        <w:ind w:left="760" w:hanging="500"/>
        <w:spacing w:after="0" w:line="266"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economic conditions (including the interest rate environment, government economic and monetary policies, the strength of global financial markets and inflation/deflation) that impact the financial services industry as a whole and/or our business;</w:t>
      </w:r>
    </w:p>
    <w:p>
      <w:pPr>
        <w:spacing w:after="0" w:line="109" w:lineRule="exact"/>
        <w:rPr>
          <w:rFonts w:ascii="Arial" w:cs="Arial" w:eastAsia="Arial" w:hAnsi="Arial"/>
          <w:sz w:val="14"/>
          <w:szCs w:val="14"/>
          <w:color w:val="auto"/>
        </w:rPr>
      </w:pPr>
    </w:p>
    <w:p>
      <w:pPr>
        <w:ind w:left="760" w:hanging="500"/>
        <w:spacing w:after="0" w:line="266"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concentration of our business in the Washington, D.C. and Baltimore, Maryland metropolitan areas and the effect of changes in economic, political and environmental conditions on these markets;</w:t>
      </w:r>
    </w:p>
    <w:p>
      <w:pPr>
        <w:spacing w:after="0" w:line="109" w:lineRule="exact"/>
        <w:rPr>
          <w:rFonts w:ascii="Arial" w:cs="Arial" w:eastAsia="Arial" w:hAnsi="Arial"/>
          <w:sz w:val="14"/>
          <w:szCs w:val="14"/>
          <w:color w:val="auto"/>
        </w:rPr>
      </w:pPr>
    </w:p>
    <w:p>
      <w:pPr>
        <w:ind w:left="760" w:hanging="500"/>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prudently manage our growth and execute our strategy;</w:t>
      </w:r>
    </w:p>
    <w:p>
      <w:pPr>
        <w:spacing w:after="0" w:line="136" w:lineRule="exact"/>
        <w:rPr>
          <w:rFonts w:ascii="Arial" w:cs="Arial" w:eastAsia="Arial" w:hAnsi="Arial"/>
          <w:sz w:val="14"/>
          <w:szCs w:val="14"/>
          <w:color w:val="auto"/>
        </w:rPr>
      </w:pPr>
    </w:p>
    <w:p>
      <w:pPr>
        <w:ind w:left="760" w:hanging="500"/>
        <w:spacing w:after="0" w:line="253"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plans to grow our commercial real estate and commercial business loan portfolios which may carry material risks of non-payment or other unfavorable consequences;</w:t>
      </w:r>
    </w:p>
    <w:p>
      <w:pPr>
        <w:spacing w:after="0" w:line="297" w:lineRule="exact"/>
        <w:rPr>
          <w:rFonts w:ascii="Arial" w:cs="Arial" w:eastAsia="Arial" w:hAnsi="Arial"/>
          <w:sz w:val="14"/>
          <w:szCs w:val="14"/>
          <w:color w:val="auto"/>
        </w:rPr>
      </w:pPr>
    </w:p>
    <w:p>
      <w:pPr>
        <w:ind w:left="760" w:hanging="500"/>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adequacy of reserves, including our allowance for loan losses;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deterioration of our asset quality;</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associated with our residential mortgage banking business;</w:t>
      </w:r>
    </w:p>
    <w:p>
      <w:pPr>
        <w:spacing w:after="0" w:line="127" w:lineRule="exact"/>
        <w:rPr>
          <w:rFonts w:ascii="Arial" w:cs="Arial" w:eastAsia="Arial" w:hAnsi="Arial"/>
          <w:sz w:val="14"/>
          <w:szCs w:val="14"/>
          <w:color w:val="auto"/>
        </w:rPr>
      </w:pPr>
    </w:p>
    <w:p>
      <w:pPr>
        <w:ind w:left="760" w:hanging="500"/>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associated with 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credit card division, including compliance with applicable consumer finance and fraud prevention regulations;</w:t>
      </w:r>
    </w:p>
    <w:p>
      <w:pPr>
        <w:spacing w:after="0" w:line="98" w:lineRule="exact"/>
        <w:rPr>
          <w:rFonts w:ascii="Arial" w:cs="Arial" w:eastAsia="Arial" w:hAnsi="Arial"/>
          <w:sz w:val="14"/>
          <w:szCs w:val="14"/>
          <w:color w:val="auto"/>
        </w:rPr>
      </w:pPr>
    </w:p>
    <w:p>
      <w:pPr>
        <w:ind w:left="760" w:hanging="500"/>
        <w:spacing w:after="0" w:line="266"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results of examinations of us by our regulators, including the possibility that our regulators may, among other things, require us to increase our allowance for loan losses or to write-down assets;</w:t>
      </w:r>
    </w:p>
    <w:p>
      <w:pPr>
        <w:spacing w:after="0" w:line="109" w:lineRule="exact"/>
        <w:rPr>
          <w:rFonts w:ascii="Arial" w:cs="Arial" w:eastAsia="Arial" w:hAnsi="Arial"/>
          <w:sz w:val="14"/>
          <w:szCs w:val="14"/>
          <w:color w:val="auto"/>
        </w:rPr>
      </w:pPr>
    </w:p>
    <w:p>
      <w:pPr>
        <w:ind w:left="760" w:hanging="500"/>
        <w:spacing w:after="0" w:line="253"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effectiveness of our internal controls over financial reporting and our ability to remediate any future material weakness in our internal controls over financial reporting;</w:t>
      </w:r>
    </w:p>
    <w:p>
      <w:pPr>
        <w:spacing w:after="0" w:line="297" w:lineRule="exact"/>
        <w:rPr>
          <w:rFonts w:ascii="Arial" w:cs="Arial" w:eastAsia="Arial" w:hAnsi="Arial"/>
          <w:sz w:val="14"/>
          <w:szCs w:val="14"/>
          <w:color w:val="auto"/>
        </w:rPr>
      </w:pPr>
    </w:p>
    <w:p>
      <w:pPr>
        <w:ind w:left="760" w:hanging="500"/>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the value of collateral securing our loans;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dependence on our management team and board of directors and changes in management and board composition;</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liquidity and operations risks associated with our business;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4" w:name="page5"/>
    <w:bookmarkEnd w:id="4"/>
    <w:p>
      <w:pPr>
        <w:ind w:left="760" w:hanging="500"/>
        <w:spacing w:after="0" w:line="266" w:lineRule="auto"/>
        <w:tabs>
          <w:tab w:leader="none" w:pos="756"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rate risk associated with our business, including sensitivity of our interest earning assets and interest-bearing liabilities to changes in interest rates, and the impact to our earnings from changes in interest rates;</w:t>
      </w:r>
    </w:p>
    <w:p>
      <w:pPr>
        <w:spacing w:after="0" w:line="109"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maintain important customer deposit relationships and our reputation;</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operational risks associated with our business;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strategic acquisitions we may undertake to achieve our goals;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sufficiency of our capital, including sources of capital and the extent to which we may be required to raise additional capital to meet our goals;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fluctuations in the fair value of our investment securities that are beyond our control;</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potential exposure to fraud, negligence, computer theft and cyber-crime;</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adequacy of our risk management framework;</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dependence on our information technology and telecommunications systems and the potential for any systems failures or interruptions;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dependence upon outside third parties for the processing and handling of our records and data;</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adapt to technological change;</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engagement in derivative transactions;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volatility and direction of market interest rates;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competition in the financial services industry, particularly from regional and national institutions;</w:t>
      </w:r>
    </w:p>
    <w:p>
      <w:pPr>
        <w:spacing w:after="0" w:line="136" w:lineRule="exact"/>
        <w:rPr>
          <w:sz w:val="20"/>
          <w:szCs w:val="20"/>
          <w:color w:val="auto"/>
        </w:rPr>
      </w:pPr>
    </w:p>
    <w:p>
      <w:pPr>
        <w:ind w:left="760" w:hanging="500"/>
        <w:spacing w:after="0" w:line="266" w:lineRule="auto"/>
        <w:tabs>
          <w:tab w:leader="none" w:pos="75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transition away from USD London Interbank Offering Rate (“LIBOR”) and related uncertainty and costs regarding migration to potential alternative reference rates, including the Secured Overnight Financing Rate (“SOFR”);</w:t>
      </w:r>
    </w:p>
    <w:p>
      <w:pPr>
        <w:spacing w:after="0" w:line="110" w:lineRule="exact"/>
        <w:rPr>
          <w:sz w:val="20"/>
          <w:szCs w:val="20"/>
          <w:color w:val="auto"/>
        </w:rPr>
      </w:pPr>
    </w:p>
    <w:p>
      <w:pPr>
        <w:ind w:left="760" w:hanging="500"/>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involvement from time to time in legal proceedings, examinations and remedial actions by regulators;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the laws, rules, regulations, interpretations or policies relating to financial institution, accounting, tax, trade, monetary and fiscal matters;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financial soundness of other financial institutions;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further government intervention in the U.S. financial system;</w:t>
      </w:r>
    </w:p>
    <w:p>
      <w:pPr>
        <w:spacing w:after="0" w:line="136" w:lineRule="exact"/>
        <w:rPr>
          <w:rFonts w:ascii="Arial" w:cs="Arial" w:eastAsia="Arial" w:hAnsi="Arial"/>
          <w:sz w:val="14"/>
          <w:szCs w:val="14"/>
          <w:color w:val="auto"/>
        </w:rPr>
      </w:pPr>
    </w:p>
    <w:p>
      <w:pPr>
        <w:ind w:left="760" w:hanging="500"/>
        <w:spacing w:after="0" w:line="253" w:lineRule="auto"/>
        <w:tabs>
          <w:tab w:leader="none" w:pos="756" w:val="left"/>
        </w:tabs>
        <w:numPr>
          <w:ilvl w:val="0"/>
          <w:numId w:val="6"/>
        </w:numPr>
        <w:rPr>
          <w:rFonts w:ascii="Arial" w:cs="Arial" w:eastAsia="Arial" w:hAnsi="Arial"/>
          <w:sz w:val="14"/>
          <w:szCs w:val="14"/>
          <w:color w:val="auto"/>
        </w:rPr>
      </w:pPr>
      <w:r>
        <w:rPr>
          <w:rFonts w:ascii="Arial" w:cs="Arial" w:eastAsia="Arial" w:hAnsi="Arial"/>
          <w:sz w:val="14"/>
          <w:szCs w:val="14"/>
          <w:color w:val="auto"/>
        </w:rPr>
        <w:t>natural disasters and adverse weather, acts of terrorism, an outbreak of hostilities or other international or domestic calamities, and other matters beyond our control; and</w:t>
      </w:r>
    </w:p>
    <w:p>
      <w:pPr>
        <w:spacing w:after="0" w:line="297" w:lineRule="exact"/>
        <w:rPr>
          <w:rFonts w:ascii="Arial" w:cs="Arial" w:eastAsia="Arial" w:hAnsi="Arial"/>
          <w:sz w:val="14"/>
          <w:szCs w:val="14"/>
          <w:color w:val="auto"/>
        </w:rPr>
      </w:pPr>
    </w:p>
    <w:p>
      <w:pPr>
        <w:ind w:left="760" w:hanging="500"/>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factors that are discussed in Item 1A. Risk Factors.</w:t>
      </w:r>
    </w:p>
    <w:p>
      <w:pPr>
        <w:spacing w:after="0" w:line="13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As you read and consider forward -looking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or results of operations may vary materially from those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4"/>
          <w:szCs w:val="14"/>
          <w:color w:val="auto"/>
        </w:rPr>
        <w:t>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Item 1A. hereunder. 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 In light of these risks and uncertainties, you should keep in mind that any forward-looking statement made in this document or elsewhere might not reflect actual results.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In this annual report, unless we state otherwise or the context otherwise requires, references to “we,” “our,” “us,” “the Company” and “Capital” refer to Capital Bancorp, Inc. and its wholly owned subsidiaries, Capital Bank, N.A., which we sometimes refer to as “Capital Bank,” “the Bank” or “our Bank,” and Church Street Capital, LLC. “Church Street Capital” or “CSC” refer to our wholly owned subsidiary, Church Street Capital, LLC.</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 BUSINESS</w:t>
      </w:r>
    </w:p>
    <w:p>
      <w:pPr>
        <w:spacing w:after="0" w:line="19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We are Capital Bancorp, Inc., a bank holding company and a Maryland corporation established in 1998, operating primarily through our wholly owned subsidiary, Capital Bank, N.A., a commercial-focused community bank based in the Washington, D.C. and Baltimore metropolitan areas. We serve businesses, not-for-profit associations and entrepreneurs throughout the region. Capital Bank is headquartered in Rockville, Maryland and operates a branch-lite model through four commercial bank branches, one mortgage office and two loan production offices.</w:t>
      </w:r>
    </w:p>
    <w:p>
      <w:pPr>
        <w:spacing w:after="0" w:line="151" w:lineRule="exact"/>
        <w:rPr>
          <w:sz w:val="20"/>
          <w:szCs w:val="20"/>
          <w:color w:val="auto"/>
        </w:rPr>
      </w:pPr>
    </w:p>
    <w:p>
      <w:pPr>
        <w:jc w:val="both"/>
        <w:ind w:firstLine="255"/>
        <w:spacing w:after="0" w:line="218" w:lineRule="auto"/>
        <w:rPr>
          <w:sz w:val="20"/>
          <w:szCs w:val="20"/>
          <w:color w:val="auto"/>
        </w:rPr>
      </w:pPr>
      <w:r>
        <w:rPr>
          <w:rFonts w:ascii="Arial" w:cs="Arial" w:eastAsia="Arial" w:hAnsi="Arial"/>
          <w:sz w:val="14"/>
          <w:szCs w:val="14"/>
          <w:color w:val="auto"/>
        </w:rPr>
        <w:t>Capital Bank currently operates three divisions: Commercial Banking, Capital Bank Home Loans, and OpenSky</w:t>
      </w:r>
      <w:r>
        <w:rPr>
          <w:rFonts w:ascii="Arial" w:cs="Arial" w:eastAsia="Arial" w:hAnsi="Arial"/>
          <w:sz w:val="18"/>
          <w:szCs w:val="18"/>
          <w:color w:val="auto"/>
          <w:vertAlign w:val="superscript"/>
        </w:rPr>
        <w:t>®</w:t>
      </w:r>
      <w:r>
        <w:rPr>
          <w:rFonts w:ascii="Arial" w:cs="Arial" w:eastAsia="Arial" w:hAnsi="Arial"/>
          <w:sz w:val="14"/>
          <w:szCs w:val="14"/>
          <w:color w:val="auto"/>
        </w:rPr>
        <w:t>. Our Commercial Banking division operates primarily in the Washington, D.C. and Baltimore metropolitan areas and focuses on providing personalized service to commercial clients throughout our area of operations. Capital Bank Home Loans and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both leverage Capital Bank’s national banking charter to operate as national consumer business lines; Capital Bank Home Loans acts as our residential mortgage origination platform and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provides nationwide, digitally-based, unsecured credit cards as well as secured credit cards to under-banked populations and those looking to rebuild their credit scores.</w:t>
      </w:r>
    </w:p>
    <w:p>
      <w:pPr>
        <w:spacing w:after="0" w:line="17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 addition to the three divisions of Capital Bank, Church Street Capital also operates as a wholly owned subsidiary of Capital Bancorp, Inc. CSC originates and services a portfolio of primarily mezzanine loans with certain characteristics that do not meet Capital Bank’s general underwriting standards, but command a higher rate of return. Initially, CSC typically sold participation interests in these loans to third parties (including to certain of the Company’s and Bank's directors), and retained exposure of as little as 10 percent. Beginning in 2019, CSC more typically retained 100% of the exposures. In all cases CSC had retained servicing of the loans, thereby maintaining a relationship with the customer.</w:t>
      </w:r>
    </w:p>
    <w:p>
      <w:pPr>
        <w:spacing w:after="0" w:line="15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In addition to its subsidiaries discussed above, Capital Bank, N.A. and Church Street Capital, Capital Bancorp, Inc. owns all of the stock of Capital Bancorp (MD) Statutory Trust I (the “Trust”). The Trust is a special purpose non-consolidated entity organized for the sole purpose of issuing trust preferred securities.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Commercial Banking Division</w:t>
      </w:r>
    </w:p>
    <w:p>
      <w:pPr>
        <w:spacing w:after="0" w:line="19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Commercial Banking division operates out of four full service banking locations, each of which is in the Washington, D.C. Metropolitan Statistical Area (“MSA”), and its full service banking location in Columbia, Maryland in the Baltimore, Maryland MSA. Additionally, we have two loan production offices,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6" w:name="page7"/>
    <w:bookmarkEnd w:id="6"/>
    <w:p>
      <w:pPr>
        <w:jc w:val="both"/>
        <w:spacing w:after="0" w:line="266" w:lineRule="auto"/>
        <w:rPr>
          <w:sz w:val="20"/>
          <w:szCs w:val="20"/>
          <w:color w:val="auto"/>
        </w:rPr>
      </w:pPr>
      <w:r>
        <w:rPr>
          <w:rFonts w:ascii="Arial" w:cs="Arial" w:eastAsia="Arial" w:hAnsi="Arial"/>
          <w:sz w:val="14"/>
          <w:szCs w:val="14"/>
          <w:color w:val="auto"/>
        </w:rPr>
        <w:t>one located in the Washington, D.C. area and one in Columbia, Maryland. Our Commercial Banking division’s commercial loan officers and commercial real estate loan officers provide commercial and industrial, or C&amp;I, commercial real estate and construction lending solutions to business clients in Capital Bank’s operating markets.</w:t>
      </w:r>
    </w:p>
    <w:p>
      <w:pPr>
        <w:spacing w:after="0" w:line="15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Construction lending is a core competency of our Commercial Banking division. Our construction loan portfolio provides Capital Bank with short duration and higher yield loans. Our construction lending is focused on commercial and residential construction projects within the Washington, D.C. and Baltimore-Columbia-Towson, Maryland metropolitan operating areas, with limited exposure to suburban subdivision tract development.</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In addition to its loan officers who have incentives and goals to drive core deposit growth, our Commercial Banking division currently has a team of business development officers concentrating on continuing to diversify Capital Bank’s funding sources away from wholesale funding and towards core deposit funding.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 Bank Home Loans Division</w:t>
      </w:r>
    </w:p>
    <w:p>
      <w:pPr>
        <w:spacing w:after="0" w:line="193"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Capital Bank Home Loans (“CBHL”) originates conventional and government-guaranteed residential mortgage loans on a national basis, for sale into the secondary market and in certain circumstances for our loan portfolio. Loans sold into the secondary market are sold servicing released. Our residential loan portfolio aims to retain high-quality, lower risk loans which support the Company’s business strategies. A portion of the retained residential portfolio is represented by mortgage loans on primary residences within Capital Bank’s operating markets to individuals who own businesses where Capital Bank may also pursue a commercial lending relationship and has a vested interest in maintaining the fullest possible control of the lending relationship.</w:t>
      </w:r>
    </w:p>
    <w:p>
      <w:pPr>
        <w:spacing w:after="0" w:line="160" w:lineRule="exact"/>
        <w:rPr>
          <w:sz w:val="20"/>
          <w:szCs w:val="20"/>
          <w:color w:val="auto"/>
        </w:rPr>
      </w:pPr>
    </w:p>
    <w:p>
      <w:pPr>
        <w:jc w:val="both"/>
        <w:ind w:firstLine="127"/>
        <w:spacing w:after="0" w:line="266" w:lineRule="auto"/>
        <w:rPr>
          <w:sz w:val="20"/>
          <w:szCs w:val="20"/>
          <w:color w:val="auto"/>
        </w:rPr>
      </w:pPr>
      <w:r>
        <w:rPr>
          <w:rFonts w:ascii="Arial" w:cs="Arial" w:eastAsia="Arial" w:hAnsi="Arial"/>
          <w:sz w:val="14"/>
          <w:szCs w:val="14"/>
          <w:color w:val="auto"/>
        </w:rPr>
        <w:t>In 2022, as the mortgage refinance market continued to contract in response to increasing market interest rates, CBHL continued to focus on purchase originations. Purchase origination volume was 80.6 percent for the year ended December 31, 2022, compared to 42.3 percent for the year ended December 31, 2021.</w:t>
      </w:r>
    </w:p>
    <w:p>
      <w:pPr>
        <w:spacing w:after="0" w:line="15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Approximately 69.7 percent of CBHL loan originations by volume occur within Capital Bank’s operating markets in Maryland, Virginia and Washington, D.C. The remainder of originations are national in scope and derive primarily through a consumer direct channel utilizing consumer marketing, including through social media applications.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OpenSky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Secured Credit Card Division</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Division provides secured, partially secured and unsecured credit cards on a nationwide basis.</w:t>
      </w:r>
    </w:p>
    <w:p>
      <w:pPr>
        <w:spacing w:after="0" w:line="141"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secured credit cards require a minimum initial deposit of $ 200 and maximum initial deposits of $3,000 per card and $10,000 per individual and are focused on under-banked populations and those looking to rebuild their credit scores. In order to obtain a secured credit card from us, the customer must select a credit line amount that they are willing to secure with a matching deposit amount. A deposit equal to the full credit limit of the card is made into a noninterest-bearing demand account with the Bank. Once the account is opened, the deposit is required to be maintained throughout the life of the card. The customer’s funding of the deposit account is collateral and it is not a consideration in the credit card approval process, but is a prerequisite to activating the credit line. Once the customer’s deposit account has been funded, the credit line is activated and the collateral funds are generally available to absorb any losses on the account that may occur. Given the secured nature of the cards, credit checks are not required at the time of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7" w:name="page8"/>
    <w:bookmarkEnd w:id="7"/>
    <w:p>
      <w:pPr>
        <w:jc w:val="both"/>
        <w:ind w:firstLine="255"/>
        <w:spacing w:after="0" w:line="259" w:lineRule="auto"/>
        <w:rPr>
          <w:sz w:val="20"/>
          <w:szCs w:val="20"/>
          <w:color w:val="auto"/>
        </w:rPr>
      </w:pPr>
      <w:r>
        <w:rPr>
          <w:rFonts w:ascii="Arial" w:cs="Arial" w:eastAsia="Arial" w:hAnsi="Arial"/>
          <w:sz w:val="14"/>
          <w:szCs w:val="14"/>
          <w:color w:val="auto"/>
        </w:rPr>
        <w:t>The partially secured credit card uses our proprietary scoring model, which considers among other things, credit score and repayment history (typically a minimum of six months of on-time repayments, but ultimately determined on a case-by-case basis), to offer certain customers an unsecured line in excess of their secured line of credit. As each customer’s secured account ages, we obtain credit scores to baseline their improvement as an input into any decision to extend unsecured credit.</w:t>
      </w:r>
    </w:p>
    <w:p>
      <w:pPr>
        <w:spacing w:after="0" w:line="150" w:lineRule="exact"/>
        <w:rPr>
          <w:sz w:val="20"/>
          <w:szCs w:val="20"/>
          <w:color w:val="auto"/>
        </w:rPr>
      </w:pPr>
    </w:p>
    <w:p>
      <w:pPr>
        <w:jc w:val="both"/>
        <w:ind w:firstLine="255"/>
        <w:spacing w:after="0" w:line="234" w:lineRule="auto"/>
        <w:rPr>
          <w:sz w:val="20"/>
          <w:szCs w:val="20"/>
          <w:color w:val="auto"/>
        </w:rPr>
      </w:pPr>
      <w:r>
        <w:rPr>
          <w:rFonts w:ascii="Arial" w:cs="Arial" w:eastAsia="Arial" w:hAnsi="Arial"/>
          <w:sz w:val="14"/>
          <w:szCs w:val="14"/>
          <w:color w:val="auto"/>
        </w:rPr>
        <w:t>The unsecured credit card was added, for qualifying customers, in the fourth quarter of 2021 to expand the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offering. The addition of the unsecured card allows for an uninterrupted experience for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customers who can now more easily continue in their journey from a secured to unsecured credit card.</w:t>
      </w:r>
    </w:p>
    <w:p>
      <w:pPr>
        <w:spacing w:after="0" w:line="106" w:lineRule="exact"/>
        <w:rPr>
          <w:sz w:val="20"/>
          <w:szCs w:val="20"/>
          <w:color w:val="auto"/>
        </w:rPr>
      </w:pPr>
    </w:p>
    <w:p>
      <w:pPr>
        <w:jc w:val="both"/>
        <w:ind w:firstLine="255"/>
        <w:spacing w:after="0" w:line="232" w:lineRule="auto"/>
        <w:rPr>
          <w:sz w:val="20"/>
          <w:szCs w:val="20"/>
          <w:color w:val="auto"/>
        </w:rPr>
      </w:pPr>
      <w:r>
        <w:rPr>
          <w:rFonts w:ascii="Arial" w:cs="Arial" w:eastAsia="Arial" w:hAnsi="Arial"/>
          <w:sz w:val="14"/>
          <w:szCs w:val="14"/>
          <w:color w:val="auto"/>
        </w:rPr>
        <w:t>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cards operate on a fully digital and mobile platform with all marketing and application procedures conducted through its website or mobile application.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credit cards have floating interest rates, which are beneficial to us in a rising rate environment, and we believe the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secured credit card product may provide a counter-cyclical benefit as more people may wish to enter its target segment of credit rebuilders during an economic downturn. Credit card eligibility for all product offerings is based on identity and income verification. Our prior experience has shown that approximately 20% of our secured credit cards will experience a charge-off within the first year of issuance primarily due to the relative inexperience of this under-banked population in effectively managing credit card debt. As of December 31, 2022, approximately 12.7% of our secured credit card portfolio was delinquent by 30 days or more.</w:t>
      </w:r>
    </w:p>
    <w:p>
      <w:pPr>
        <w:spacing w:after="0" w:line="166" w:lineRule="exact"/>
        <w:rPr>
          <w:sz w:val="20"/>
          <w:szCs w:val="20"/>
          <w:color w:val="auto"/>
        </w:rPr>
      </w:pPr>
    </w:p>
    <w:p>
      <w:pPr>
        <w:jc w:val="both"/>
        <w:ind w:firstLine="255"/>
        <w:spacing w:after="0" w:line="234" w:lineRule="auto"/>
        <w:rPr>
          <w:sz w:val="20"/>
          <w:szCs w:val="20"/>
          <w:color w:val="auto"/>
        </w:rPr>
      </w:pPr>
      <w:r>
        <w:rPr>
          <w:rFonts w:ascii="Arial" w:cs="Arial" w:eastAsia="Arial" w:hAnsi="Arial"/>
          <w:sz w:val="14"/>
          <w:szCs w:val="14"/>
          <w:color w:val="auto"/>
        </w:rPr>
        <w:t>Capital Bank evaluates its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customers using analytics that track consumer behaviors and score each customer on risk and behavior metrics. These real-time monitoring capabilities give our management insight into the credit trends of our portfolio on a consumer-by-consumer basis, allowing us to identify potential fraud situations and mitigate any associated losses, as well as to obtain insights into how to optimize the profitability and life cycle of each account. The model utilizes data proprietary to Capital Bank.</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Our Business Strategy</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Regulations, technology and competition have fundamentally impacted the economics of the banking sector. We believe that by using technology-enabled strategies and advice-based solutions, we can deliver attractive shareholder returns in excess of our cost of capital. We have adopted the following strategies that we believe will continue to drive growth while maintaining consistent profitability and enhancing shareholder value:</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Deliver premium advice-based solutions that drive organic loan and core deposit growth with corresponding net interest margin</w:t>
      </w:r>
    </w:p>
    <w:p>
      <w:pPr>
        <w:spacing w:after="0" w:line="193" w:lineRule="exact"/>
        <w:rPr>
          <w:sz w:val="20"/>
          <w:szCs w:val="20"/>
          <w:color w:val="auto"/>
        </w:rPr>
      </w:pPr>
    </w:p>
    <w:p>
      <w:pPr>
        <w:ind w:left="760" w:hanging="500"/>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Serve as financial partners to our customers, helping them to grow their businesses through advice-based financial solutions;</w:t>
      </w:r>
    </w:p>
    <w:p>
      <w:pPr>
        <w:spacing w:after="0" w:line="136" w:lineRule="exact"/>
        <w:rPr>
          <w:rFonts w:ascii="Arial" w:cs="Arial" w:eastAsia="Arial" w:hAnsi="Arial"/>
          <w:sz w:val="14"/>
          <w:szCs w:val="14"/>
          <w:color w:val="auto"/>
        </w:rPr>
      </w:pPr>
    </w:p>
    <w:p>
      <w:pPr>
        <w:ind w:left="760" w:hanging="500"/>
        <w:spacing w:after="0" w:line="266"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color w:val="auto"/>
        </w:rPr>
        <w:t>Endeavor to provide comprehensive loan and deposit solutions to our customers that are tailored to their needs, and leverage data, analytics, and financial technology to improve the customer experience;</w:t>
      </w:r>
    </w:p>
    <w:p>
      <w:pPr>
        <w:spacing w:after="0" w:line="109" w:lineRule="exact"/>
        <w:rPr>
          <w:rFonts w:ascii="Arial" w:cs="Arial" w:eastAsia="Arial" w:hAnsi="Arial"/>
          <w:sz w:val="14"/>
          <w:szCs w:val="14"/>
          <w:color w:val="auto"/>
        </w:rPr>
      </w:pPr>
    </w:p>
    <w:p>
      <w:pPr>
        <w:ind w:left="760" w:hanging="500"/>
        <w:spacing w:after="0" w:line="266"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color w:val="auto"/>
        </w:rPr>
        <w:t>Scale our consumer fee-based platforms by investing in fintech capabilities and digital marketing to deliver high impact products and services and differentiated customer experience;</w:t>
      </w:r>
    </w:p>
    <w:p>
      <w:pPr>
        <w:spacing w:after="0" w:line="109" w:lineRule="exact"/>
        <w:rPr>
          <w:rFonts w:ascii="Arial" w:cs="Arial" w:eastAsia="Arial" w:hAnsi="Arial"/>
          <w:sz w:val="14"/>
          <w:szCs w:val="14"/>
          <w:color w:val="auto"/>
        </w:rPr>
      </w:pPr>
    </w:p>
    <w:p>
      <w:pPr>
        <w:ind w:left="760" w:hanging="500"/>
        <w:spacing w:after="0" w:line="266" w:lineRule="auto"/>
        <w:tabs>
          <w:tab w:leader="none" w:pos="756" w:val="left"/>
        </w:tabs>
        <w:numPr>
          <w:ilvl w:val="0"/>
          <w:numId w:val="7"/>
        </w:numPr>
        <w:rPr>
          <w:rFonts w:ascii="Arial" w:cs="Arial" w:eastAsia="Arial" w:hAnsi="Arial"/>
          <w:sz w:val="14"/>
          <w:szCs w:val="14"/>
          <w:color w:val="auto"/>
        </w:rPr>
      </w:pPr>
      <w:r>
        <w:rPr>
          <w:rFonts w:ascii="Arial" w:cs="Arial" w:eastAsia="Arial" w:hAnsi="Arial"/>
          <w:sz w:val="14"/>
          <w:szCs w:val="14"/>
          <w:color w:val="auto"/>
        </w:rPr>
        <w:t>Capitalize on market dislocation from recent in-market acquisitions to continue to attract top sales talent, and acquire new commercial banking relationships from local competitors; and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8" w:name="page9"/>
    <w:bookmarkEnd w:id="8"/>
    <w:p>
      <w:pPr>
        <w:ind w:left="760" w:hanging="500"/>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Selectively add banking centers where sales teams have already proved an ability to capture market share and leverage customer relationships.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Leverage technology to improve the customer experience and loyalty and deliver operational efficiencies</w:t>
      </w:r>
    </w:p>
    <w:p>
      <w:pPr>
        <w:spacing w:after="0" w:line="193" w:lineRule="exact"/>
        <w:rPr>
          <w:sz w:val="20"/>
          <w:szCs w:val="20"/>
          <w:color w:val="auto"/>
        </w:rPr>
      </w:pPr>
    </w:p>
    <w:p>
      <w:pPr>
        <w:ind w:left="760" w:hanging="500"/>
        <w:spacing w:after="0" w:line="266" w:lineRule="auto"/>
        <w:tabs>
          <w:tab w:leader="none" w:pos="756" w:val="left"/>
        </w:tabs>
        <w:numPr>
          <w:ilvl w:val="0"/>
          <w:numId w:val="9"/>
        </w:numPr>
        <w:rPr>
          <w:rFonts w:ascii="Arial" w:cs="Arial" w:eastAsia="Arial" w:hAnsi="Arial"/>
          <w:sz w:val="14"/>
          <w:szCs w:val="14"/>
          <w:color w:val="auto"/>
        </w:rPr>
      </w:pPr>
      <w:r>
        <w:rPr>
          <w:rFonts w:ascii="Arial" w:cs="Arial" w:eastAsia="Arial" w:hAnsi="Arial"/>
          <w:sz w:val="14"/>
          <w:szCs w:val="14"/>
          <w:color w:val="auto"/>
        </w:rPr>
        <w:t>Use solution structuring and customized technology implementation as differentiators to add value to clients with complex needs and enhance our relationships within our existing customer base;</w:t>
      </w:r>
    </w:p>
    <w:p>
      <w:pPr>
        <w:spacing w:after="0" w:line="109" w:lineRule="exact"/>
        <w:rPr>
          <w:rFonts w:ascii="Arial" w:cs="Arial" w:eastAsia="Arial" w:hAnsi="Arial"/>
          <w:sz w:val="14"/>
          <w:szCs w:val="14"/>
          <w:color w:val="auto"/>
        </w:rPr>
      </w:pPr>
    </w:p>
    <w:p>
      <w:pPr>
        <w:ind w:left="760" w:hanging="500"/>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Deploy technologies that better support our lending associates and simplify our processes;</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Maximize the potential of web-based and mobile banking applications to drive core funding while maintaining our branch-lite business model; and</w:t>
      </w:r>
    </w:p>
    <w:p>
      <w:pPr>
        <w:spacing w:after="0" w:line="127" w:lineRule="exact"/>
        <w:rPr>
          <w:rFonts w:ascii="Arial" w:cs="Arial" w:eastAsia="Arial" w:hAnsi="Arial"/>
          <w:sz w:val="14"/>
          <w:szCs w:val="14"/>
          <w:color w:val="auto"/>
        </w:rPr>
      </w:pPr>
    </w:p>
    <w:p>
      <w:pPr>
        <w:ind w:left="760" w:hanging="500"/>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Enhance cross-selling capabilities among our OpenSky</w:t>
      </w:r>
      <w:r>
        <w:rPr>
          <w:rFonts w:ascii="Arial" w:cs="Arial" w:eastAsia="Arial" w:hAnsi="Arial"/>
          <w:sz w:val="18"/>
          <w:szCs w:val="18"/>
          <w:color w:val="auto"/>
          <w:vertAlign w:val="superscript"/>
        </w:rPr>
        <w:t>®</w:t>
      </w:r>
      <w:r>
        <w:rPr>
          <w:rFonts w:ascii="Arial" w:cs="Arial" w:eastAsia="Arial" w:hAnsi="Arial"/>
          <w:sz w:val="14"/>
          <w:szCs w:val="14"/>
          <w:color w:val="auto"/>
        </w:rPr>
        <w:t>, Capital Bank Home Loans and Commercial Banking division customers.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Increase scale in our consumer fee-based platforms through delivery of high value products and services</w:t>
      </w:r>
    </w:p>
    <w:p>
      <w:pPr>
        <w:spacing w:after="0" w:line="193" w:lineRule="exact"/>
        <w:rPr>
          <w:sz w:val="20"/>
          <w:szCs w:val="20"/>
          <w:color w:val="auto"/>
        </w:rPr>
      </w:pPr>
    </w:p>
    <w:p>
      <w:pPr>
        <w:ind w:left="760" w:hanging="500"/>
        <w:spacing w:after="0" w:line="266" w:lineRule="auto"/>
        <w:tabs>
          <w:tab w:leader="none" w:pos="7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Utilize our customer acquisition system, Apollo, and leverage our investment in a new core processing system, together with our expertise in data, analytics and marketing, to deliver new products and services and grow our secured credit card business;</w:t>
      </w:r>
    </w:p>
    <w:p>
      <w:pPr>
        <w:spacing w:after="0" w:line="101" w:lineRule="exact"/>
        <w:rPr>
          <w:rFonts w:ascii="Arial" w:cs="Arial" w:eastAsia="Arial" w:hAnsi="Arial"/>
          <w:sz w:val="14"/>
          <w:szCs w:val="14"/>
          <w:color w:val="auto"/>
        </w:rPr>
      </w:pPr>
    </w:p>
    <w:p>
      <w:pPr>
        <w:ind w:left="760" w:hanging="500"/>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Retain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customers that “graduate” from our secured credit product through the limited use of partially and fully unsecured credit products; and</w:t>
      </w:r>
    </w:p>
    <w:p>
      <w:pPr>
        <w:spacing w:after="0" w:line="98" w:lineRule="exact"/>
        <w:rPr>
          <w:rFonts w:ascii="Arial" w:cs="Arial" w:eastAsia="Arial" w:hAnsi="Arial"/>
          <w:sz w:val="14"/>
          <w:szCs w:val="14"/>
          <w:color w:val="auto"/>
        </w:rPr>
      </w:pPr>
    </w:p>
    <w:p>
      <w:pPr>
        <w:ind w:left="760" w:hanging="500"/>
        <w:spacing w:after="0" w:line="266" w:lineRule="auto"/>
        <w:tabs>
          <w:tab w:leader="none" w:pos="7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Expand our purchase-oriented mortgage loan sales both in-market and in adjacent markets through the hiring of qualified mortgage originators and continue to improve on our direct to consumer marketing channels.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Pursue acquisitions opportunistically</w:t>
      </w:r>
    </w:p>
    <w:p>
      <w:pPr>
        <w:spacing w:after="0" w:line="193" w:lineRule="exact"/>
        <w:rPr>
          <w:sz w:val="20"/>
          <w:szCs w:val="20"/>
          <w:color w:val="auto"/>
        </w:rPr>
      </w:pPr>
    </w:p>
    <w:p>
      <w:pPr>
        <w:ind w:left="760" w:hanging="500"/>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Seek strategic acquisitions in the Washington, D.C., Baltimore, Maryland, and surrounding metropolitan areas;</w:t>
      </w:r>
    </w:p>
    <w:p>
      <w:pPr>
        <w:spacing w:after="0" w:line="136" w:lineRule="exact"/>
        <w:rPr>
          <w:rFonts w:ascii="Arial" w:cs="Arial" w:eastAsia="Arial" w:hAnsi="Arial"/>
          <w:sz w:val="14"/>
          <w:szCs w:val="14"/>
          <w:color w:val="auto"/>
        </w:rPr>
      </w:pPr>
    </w:p>
    <w:p>
      <w:pPr>
        <w:ind w:left="760" w:hanging="500"/>
        <w:spacing w:after="0" w:line="266" w:lineRule="auto"/>
        <w:tabs>
          <w:tab w:leader="none" w:pos="7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Evaluate specialty finance company opportunities where we can add value through increasing interest and fee income and leveraging our management’s expertise and existing strategic assets; and</w:t>
      </w:r>
    </w:p>
    <w:p>
      <w:pPr>
        <w:spacing w:after="0" w:line="109" w:lineRule="exact"/>
        <w:rPr>
          <w:rFonts w:ascii="Arial" w:cs="Arial" w:eastAsia="Arial" w:hAnsi="Arial"/>
          <w:sz w:val="14"/>
          <w:szCs w:val="14"/>
          <w:color w:val="auto"/>
        </w:rPr>
      </w:pPr>
    </w:p>
    <w:p>
      <w:pPr>
        <w:ind w:left="760" w:hanging="500"/>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Use our management’s and Board’s expertise to structure transactions that minimize the integration and execution risk for the Bank.</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Sustainability</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aspire to be the most valued and trusted community bank within the markets we serve. We understand our obligation to both our shareholders and the communities we serve -- to be an institution that achieves superior financial performance, while contributing to society through the delivery to our customers of services that enlarge access, equity and opportunity.</w:t>
      </w:r>
    </w:p>
    <w:p>
      <w:pPr>
        <w:spacing w:after="0" w:line="15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focus our environmental, social, and governance (“ESG”) efforts on issues that are important to our business and to our key stakeholders. Our mission is to support businesses, help people and strengthen communities, as well as to grow our operations and revenue. Essential to this mission is our commitment to provide long-term, sustainable financial and social value to our stakeholders, including the communities we serve, our shareholders and our employees.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9" w:name="page10"/>
    <w:bookmarkEnd w:id="9"/>
    <w:p>
      <w:pPr>
        <w:ind w:left="260"/>
        <w:spacing w:after="0"/>
        <w:rPr>
          <w:sz w:val="20"/>
          <w:szCs w:val="20"/>
          <w:color w:val="auto"/>
        </w:rPr>
      </w:pPr>
      <w:r>
        <w:rPr>
          <w:rFonts w:ascii="Arial" w:cs="Arial" w:eastAsia="Arial" w:hAnsi="Arial"/>
          <w:sz w:val="14"/>
          <w:szCs w:val="14"/>
          <w:b w:val="1"/>
          <w:bCs w:val="1"/>
          <w:color w:val="auto"/>
        </w:rPr>
        <w:t>Employees and Human Capital Resources</w:t>
      </w:r>
    </w:p>
    <w:p>
      <w:pPr>
        <w:spacing w:after="0" w:line="19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At December 31, 2022, we employed 329 persons, of which 270 were employed on a full-time basis. None of our employees are represented by any collective bargaining unit or are a party to a collective bargaining agreement. We believe the relationship with our employees to be excellent and we were recently named a Best Bank to Work For by American Banker for the fourth consecutive year. Our ability to attract and retain employees is a key to our success. We offer a competitive total rewards program to our employees, flexible work arrangements, and monitor the competitiveness of our compensation and benefits programs in our various market areas.</w:t>
      </w:r>
    </w:p>
    <w:p>
      <w:pPr>
        <w:spacing w:after="0" w:line="15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prides itself on being a values-driven organization, where employees are empowered to share Ideas that keep the organization connected. Our company core values guide each team member to:</w:t>
      </w:r>
    </w:p>
    <w:p>
      <w:pPr>
        <w:spacing w:after="0" w:line="152" w:lineRule="exact"/>
        <w:rPr>
          <w:sz w:val="20"/>
          <w:szCs w:val="20"/>
          <w:color w:val="auto"/>
        </w:rPr>
      </w:pPr>
    </w:p>
    <w:p>
      <w:pPr>
        <w:ind w:left="760" w:hanging="500"/>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Act as an Owner</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Practice Balanced Risk Management</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Challenge the Norm</w:t>
      </w:r>
    </w:p>
    <w:p>
      <w:pPr>
        <w:spacing w:after="0" w:line="136" w:lineRule="exact"/>
        <w:rPr>
          <w:rFonts w:ascii="Arial" w:cs="Arial" w:eastAsia="Arial" w:hAnsi="Arial"/>
          <w:sz w:val="14"/>
          <w:szCs w:val="14"/>
          <w:color w:val="auto"/>
        </w:rPr>
      </w:pPr>
    </w:p>
    <w:p>
      <w:pPr>
        <w:ind w:left="760" w:hanging="500"/>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Leverage the Team</w:t>
      </w:r>
    </w:p>
    <w:p>
      <w:pPr>
        <w:spacing w:after="0" w:line="13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believe that these values enable our success with our customers and have helped us build a fun, vibrant and accountability driven culture. In addition, we are committed to developing our staff through internal/external training programs, availability of a robust online training resource, and continuing to implement leadership development programs for all levels of leadership within the organization.</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Available Information</w:t>
      </w:r>
    </w:p>
    <w:p>
      <w:pPr>
        <w:spacing w:after="0" w:line="19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Company provides access to its SEC filings through its web site at www.capitalbankmd.com. After accessing the web site, the filings are available upon selecting “Investor Relations.” Reports available include the annual report on Form 10-K, quarterly reports on Form 10-Q, current reports on Form 8-K, and all amendments to those reports as soon as reasonably practicable after the reports are electronically filed with or furnished to the SEC. Further, the SEC maintains an internet site that contains reports, proxy and information statements, and other information regarding issuers that file electronically with the SEC at www.sec.gov. The information on, or accessible through, our website or any other website cited in this Annual Report on Form 10-K is not part of, or incorporated by reference into, this Annual Report on Form 10-K and should not be relied upon in determining whether to make an investment decision.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SUPERVISION AND REGULATION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General</w:t>
      </w:r>
    </w:p>
    <w:p>
      <w:pPr>
        <w:spacing w:after="0" w:line="19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 and conditions on a bank holding company’s (“BHC”) ability to repurchase stock or to receive dividends from its subsidiary banks. We are subject to comprehensive examination and supervision by the Board of Governors of the Federal Reserve (“Federal Reserve”), and the Bank is subject to comprehensive examination and supervision by the Office of the Comptroller of the Currency (“OCC”). We are required to file with the Federal Reserve quarterly and annual reports and such additional information as the Federal Reserve may require pursuant to the Bank Holding Company Act of 1956 (“BHC Act”). The Federal Reserve may conduct examinations of BHCs and their subsidiaries. The Bank’s deposits are insured by the Federal Deposit Insurance Corporation (“FDIC”), through the Deposit Insurance Fund (“DIF”). As 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4"/>
          <w:szCs w:val="14"/>
          <w:color w:val="auto"/>
        </w:rPr>
        <w:t>result of this deposit insurance function, the FDIC also has certain supervisory authority and powers over the Bank as well as all other FDIC insured institutions. The Company’s and the Bank’s regulators generally have broad discretion to impose restrictions and limitations on our operations. Bank regulation is intended to protect depositors and consumers and not shareholders. This supervisory framework could materially and adversely impact the conduct and profitability of our activities.</w:t>
      </w:r>
    </w:p>
    <w:p>
      <w:pPr>
        <w:spacing w:after="0" w:line="15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To the extent that the following information describes statutory and regulatory provisions, it is qualified in its entirety by reference to the text of the applicable statutory and regulatory provisions. Legislative and regulatory initiatives, which necessarily impact the regulation of the financial services industry, are introduced from time to time. We cannot predict whether or when potential legislation or new regulations will be enacted, and if enacted, the effect that new legislation or any implemented regulations and supervisory policies would have on our financial condition and results of operations. The Dodd-Frank Wall Street Reform and Consumer Protection Act (the “Dodd-Frank Act”), by way of example, contains a comprehensive set of provisions designed to govern the practices and oversight of financial institutions and other participants in the financial markets. The Dodd-Frank Act made extensive changes in the regulation of financial institutions and their holding companies. Some of the changes brought about by the Dodd-Frank Act were modified by the Economic Growth, Regulatory Relief, and Consumer Protection Act of 2018 (the “Regulatory Relief Act”), signed into law on May 24, 2018. The Dodd-Frank Act has increased the regulatory burden and compliance costs borne by the Company. The Dodd-Frank Act also modified the standard by which state consumer financial laws may be applied to national banking associations, such as the Bank. The application of that standard by state regulators and the courts may cause the Bank’s compliance burden and costs to increase. Moreover, bank regulatory agencies appear to be increasingly aggressive in responding to concerns and trends identified in examinations, which could result in higher frequency initiation of enforcement actions against financial institutions to address credit quality, liquidity, risk management and capital adequacy, as well as other safety and soundness concerns.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Regulation of Capital Bancorp, Inc.</w:t>
      </w:r>
    </w:p>
    <w:p>
      <w:pPr>
        <w:spacing w:after="0" w:line="19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We are registered as a BHC under the BHC Act and are subject to regulation and supervision by the Federal Reserve. The BHC Act requires us to secure the prior approval of the Federal Reserve before we own or control, directly or indirectly, more than 5% of the voting shares or substantially all of the assets of any bank or thrift, or merge or consolidate with another bank or thrift holding company. Further, under the BHC Act, our activities and those of any nonbank subsidiary are limited to: (i) those activities that the Federal 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Regulation of Capital Bank</w:t>
      </w:r>
    </w:p>
    <w:p>
      <w:pPr>
        <w:spacing w:after="0" w:line="19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operations and investments of our Bank are subject to the supervision, examination and reporting requirements of the National Bank Act and the regulations of the OCC as well as other federal banking statutes and regulations, including with respect to the level of reserves that our Bank must maintain against deposits, restrictions on the types, amount, and terms and conditions of loans it may originate, and limits on the types of other activities in which our Bank may engage and the investments that it may make. The OCC also has the power to prevent the continuance or development of unsafe or unsound banking practices and other violations of law. Because our Bank’s deposits are insured by the FDIC to the maximum extent provided by law, it is also subject to certain FDIC regulations, and the FDIC has backup examination authority and some enforcement powers over our Bank. If, as a result of an examination of our Bank, the regulators should determine that the financial condition, capital resources, asset quality,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4"/>
          <w:szCs w:val="14"/>
          <w:color w:val="auto"/>
        </w:rPr>
        <w:t>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require affirmative action to correct any conditions resulting from any violation or practice, issue an administrative order that can be judicially enforced, direct an increase in capital, restrict growth, assess civil monetary penalties and remove officers and directors. The regulators also may request the FDIC to terminate the Bank’s deposit insurance.</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Capital Adequacy Guidelines</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Bank holding companies and banks are subject to various regulatory capital requirements administered by state and federal agencies. See “Part II, Item 8. Financial Statements and Supplementary Data - Notes to Consolidated Financial Statements - Note 14, Capital Standards” for additional regulatory capital information, including the Bank’s and Company’s Leverage Ratio as of December 31, 2022.</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Community Reinvestment Act</w:t>
      </w:r>
    </w:p>
    <w:p>
      <w:pPr>
        <w:spacing w:after="0" w:line="197"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CRA requires the federal banking regulatory agencies to assess all financial institutions that they regulate to determine whether these institutions are meeting the credit needs of the communities they serve, including their assessment area(s) (as established for these purposes in accordance with 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activities. Under the CRA, institutions are assigned a rating of “outstanding,” “satisfactory,” “needs to improve,” or “unsatisfactory.” A rating that is less than “satisfactory” may substantially inhibit the Bank’s opportunities for future growth. An institution’s record in meeting the 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and expansions into non-banking activities. Our Bank received an “outstanding” rating in its most recent CRA evaluation which was in 2021.</w:t>
      </w:r>
    </w:p>
    <w:p>
      <w:pPr>
        <w:spacing w:after="0" w:line="16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In April 2018, the U.S. Department of Treasury issued a memorandum to the federal banking regulators recommending changes to the CRA’s regulations to reduce their complexity and associated burden on banks, and in December 2019, the FDIC and the OCC proposed for public comment rules to modernize the agencies' regulations under the CRA. In September 2020, the Federal Reserve released for public comment its proposed rules to modernize CRA regulations. As of this issuance, the Federal Reserve has not moved forward in the rulemaking process. In July 2021, the Federal Reserve, FDIC, and the OCC issued an interagency statement committing to joint agency action on CRA. This may signal that additional regulatory action on this issue will be forthcoming in 2023.</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Anti-Terrorism, Money Laundering Legislation and OFAC</w:t>
      </w:r>
    </w:p>
    <w:p>
      <w:pPr>
        <w:spacing w:after="0" w:line="19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Bank is subject to the Bank Secrecy Act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program that includes training and audit components, (ii) establishment of a “know your customer” program involving due diligence to confirm the identities of persons seeking to open accounts and to decline to open accounts for those persons unable to demonstrate their identities, (iii) the filing of currency transaction reports for deposits and withdrawals of large amounts of cash and suspicious activities reports for activity that might signify money laundering,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4"/>
          <w:szCs w:val="14"/>
          <w:color w:val="auto"/>
        </w:rPr>
        <w:t>tax evasion or other criminal activities, (iv) additional precautions for accounts sought and managed for non-U.S. persons and (v) verification and certification of money laundering risk with respect to private banking and foreign correspondent banking relationships. For many of these tasks, a bank must keep records to be made available to its primary federal regulator. Anti-money laundering rules and policies are developed by a bureau within the Financial Crimes Enforcement Network, but compliance by individual institutions is overseen by its primary federal regulator.</w:t>
      </w:r>
    </w:p>
    <w:p>
      <w:pPr>
        <w:spacing w:after="0" w:line="15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Bank has established anti-money laundering and customer identification programs and it maintains records of cash purchases of negotiable instruments, files reports of certain cash transactions exceeding $10,000 (daily aggregate amount), and reports suspicious activity that might signify money laundering, tax evasion or other criminal activities pursuant to the Bank Secrecy Act.</w:t>
      </w:r>
    </w:p>
    <w:p>
      <w:pPr>
        <w:spacing w:after="0" w:line="158"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Treasury Department’s Office of Foreign Assets Control (“OFAC”) administers and enforces economic and trade sanctions against targeted foreign countries, persons, non-governmental organizations, associations, and criminal networks, among others, as defined by various Executive Orders and Acts of Congress. OFAC publishes lists of persons that are the target of sanctions, including the List of Specially Designated Nationals and Blocked Persons. Financial institutions are responsible for, among other things, blocking accounts of and transactions with sanctioned persons and countries, prohibiting unlicensed trade and financial transactions with them and reporting blocked and rejected transactions after their occurrence. If the Company or the Bank finds a name or other information on any transaction, account or wire transfer that is on an OFAC list or that otherwise indicates that the transaction involves a target of an OFAC-administered sanctions program, the Company or the Bank generally must freeze or block such account or transaction, file a suspicious activity report, and notify the appropriate authorities. Banking regulators examine banks for compliance with the economic sanctions regulations administered by OFAC.</w:t>
      </w:r>
    </w:p>
    <w:p>
      <w:pPr>
        <w:spacing w:after="0" w:line="33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Bank has implemented policies and procedures to comply with the foregoing requirements.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Federal Home Loan Bank Membership</w:t>
      </w:r>
    </w:p>
    <w:p>
      <w:pPr>
        <w:spacing w:after="0" w:line="19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 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the Company is unable to determine the extent of future required potential payments to the FHLB. Additionally, if a member financial institution fails, the right of the FHLB to seek repayment of funds loaned to that institution will take priority (a super lien) over the rights of all other creditors.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Dividends and Share Repurchases</w:t>
      </w:r>
    </w:p>
    <w:p>
      <w:pPr>
        <w:spacing w:after="0" w:line="197"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ability of the Company to pay dividends or to repurchase its common stock, and the ability of the Bank to pay dividends to the Company, may be restricted due to several factors including: (a) the Maryland General Corporate Law ("MGCL," in the case of the Company), (b) covenants contained in any subordinated debentures and borrowing agreements in existence now or that may exist in the future, (c) restrictions on the ability of the Bank to declare dividends under the National Bank Act and OCC regulations (in the case of the Bank), and (d) the general supervisory authority of the FRB and the OCC. Our ability to pay dividends to our stockholders or to repurchase shares of our common stock is subject to the restrictions set forth in the MGCL.</w:t>
      </w:r>
    </w:p>
    <w:p>
      <w:pPr>
        <w:spacing w:after="0" w:line="160" w:lineRule="exact"/>
        <w:rPr>
          <w:sz w:val="20"/>
          <w:szCs w:val="20"/>
          <w:color w:val="auto"/>
        </w:rPr>
      </w:pPr>
    </w:p>
    <w:p>
      <w:pPr>
        <w:jc w:val="both"/>
        <w:ind w:firstLine="255"/>
        <w:spacing w:after="0" w:line="170" w:lineRule="exact"/>
        <w:rPr>
          <w:sz w:val="20"/>
          <w:szCs w:val="20"/>
          <w:color w:val="auto"/>
        </w:rPr>
      </w:pPr>
      <w:r>
        <w:rPr>
          <w:rFonts w:ascii="Arial" w:cs="Arial" w:eastAsia="Arial" w:hAnsi="Arial"/>
          <w:sz w:val="14"/>
          <w:szCs w:val="14"/>
          <w:color w:val="auto"/>
        </w:rPr>
        <w:t>Notification to the FRB is required prior to our declaring and paying a cash dividend to our stockholders during any period in which our quarterly and/or cumulative twelve</w:t>
      </w:r>
      <w:r>
        <w:rPr>
          <w:rFonts w:ascii="MS PGothic" w:cs="MS PGothic" w:eastAsia="MS PGothic" w:hAnsi="MS PGothic"/>
          <w:sz w:val="14"/>
          <w:szCs w:val="14"/>
          <w:color w:val="auto"/>
        </w:rPr>
        <w:t>‑</w:t>
      </w:r>
      <w:r>
        <w:rPr>
          <w:rFonts w:ascii="Arial" w:cs="Arial" w:eastAsia="Arial" w:hAnsi="Arial"/>
          <w:sz w:val="14"/>
          <w:szCs w:val="14"/>
          <w:color w:val="auto"/>
        </w:rPr>
        <w:t>month net earnings are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4"/>
          <w:szCs w:val="14"/>
          <w:color w:val="auto"/>
        </w:rPr>
        <w:t>insufficient to fund the dividend amount, among other requirements. Under such circumstances, we may not pay a dividend should the FRB object until such time as we receive approval from the FRB or no longer need to provide notice under applicable regulations. In addition, prior approval of the FRB may be required in certain circumstances prior to our repurchasing shares of our common stock.</w:t>
      </w:r>
    </w:p>
    <w:p>
      <w:pPr>
        <w:spacing w:after="0" w:line="158"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 connection with the decision regarding dividends and share repurchase programs, our Board will take into account general business conditions, our financial results, projected cash flows, capital requirements, contractual, legal and regulatory restrictions on the payment of dividends by the Bank to the Company and such other factors as may be deemed relevant. We can provide no assurance that we will continue to declare dividends on a quarterly basis or otherwise or to repurchase shares of our common stock. The declaration of dividends by the Company is subject to the discretion of our Board.</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Customer Information Privacy and Cybersecurity</w:t>
      </w:r>
    </w:p>
    <w:p>
      <w:pPr>
        <w:spacing w:after="0" w:line="197" w:lineRule="exact"/>
        <w:rPr>
          <w:sz w:val="20"/>
          <w:szCs w:val="20"/>
          <w:color w:val="auto"/>
        </w:rPr>
      </w:pPr>
    </w:p>
    <w:p>
      <w:pPr>
        <w:jc w:val="both"/>
        <w:ind w:firstLine="255"/>
        <w:spacing w:after="0" w:line="170" w:lineRule="exact"/>
        <w:rPr>
          <w:sz w:val="20"/>
          <w:szCs w:val="20"/>
          <w:color w:val="auto"/>
        </w:rPr>
      </w:pPr>
      <w:r>
        <w:rPr>
          <w:rFonts w:ascii="Arial" w:cs="Arial" w:eastAsia="Arial" w:hAnsi="Arial"/>
          <w:sz w:val="14"/>
          <w:szCs w:val="14"/>
          <w:color w:val="auto"/>
        </w:rPr>
        <w:t>The FRB and other bank regulatory agencies have adopted guidelines for safeguarding confidential, personal, non</w:t>
      </w:r>
      <w:r>
        <w:rPr>
          <w:rFonts w:ascii="MS PGothic" w:cs="MS PGothic" w:eastAsia="MS PGothic" w:hAnsi="MS PGothic"/>
          <w:sz w:val="14"/>
          <w:szCs w:val="14"/>
          <w:color w:val="auto"/>
        </w:rPr>
        <w:t>‑</w:t>
      </w:r>
      <w:r>
        <w:rPr>
          <w:rFonts w:ascii="Arial" w:cs="Arial" w:eastAsia="Arial" w:hAnsi="Arial"/>
          <w:sz w:val="14"/>
          <w:szCs w:val="14"/>
          <w:color w:val="auto"/>
        </w:rPr>
        <w:t>public customer information. These guidelines require each financial institution, under the supervision and ongoing oversight of its board of directors or an appropriate committee thereof, to create, implement, and maintain a comprehensive written information security program designed to ensure the security and confidentiality of customer information, protect against any anticipated threats or hazard to the security or integrity of such information, and protect against unauthorized access to or use of such information that could result in substantial harm or inconvenience to any customer. We have adopted a customer information security program to comply with these requirements.</w:t>
      </w:r>
    </w:p>
    <w:p>
      <w:pPr>
        <w:spacing w:after="0" w:line="170" w:lineRule="exact"/>
        <w:rPr>
          <w:sz w:val="20"/>
          <w:szCs w:val="20"/>
          <w:color w:val="auto"/>
        </w:rPr>
      </w:pPr>
    </w:p>
    <w:p>
      <w:pPr>
        <w:jc w:val="both"/>
        <w:ind w:firstLine="255"/>
        <w:spacing w:after="0" w:line="170" w:lineRule="exact"/>
        <w:rPr>
          <w:sz w:val="20"/>
          <w:szCs w:val="20"/>
          <w:color w:val="auto"/>
        </w:rPr>
      </w:pPr>
      <w:r>
        <w:rPr>
          <w:rFonts w:ascii="Arial" w:cs="Arial" w:eastAsia="Arial" w:hAnsi="Arial"/>
          <w:sz w:val="14"/>
          <w:szCs w:val="14"/>
          <w:color w:val="auto"/>
        </w:rPr>
        <w:t>The Gramm</w:t>
      </w:r>
      <w:r>
        <w:rPr>
          <w:rFonts w:ascii="MS PGothic" w:cs="MS PGothic" w:eastAsia="MS PGothic" w:hAnsi="MS PGothic"/>
          <w:sz w:val="14"/>
          <w:szCs w:val="14"/>
          <w:color w:val="auto"/>
        </w:rPr>
        <w:t>‑</w:t>
      </w:r>
      <w:r>
        <w:rPr>
          <w:rFonts w:ascii="Arial" w:cs="Arial" w:eastAsia="Arial" w:hAnsi="Arial"/>
          <w:sz w:val="14"/>
          <w:szCs w:val="14"/>
          <w:color w:val="auto"/>
        </w:rPr>
        <w:t>Leach</w:t>
      </w:r>
      <w:r>
        <w:rPr>
          <w:rFonts w:ascii="MS PGothic" w:cs="MS PGothic" w:eastAsia="MS PGothic" w:hAnsi="MS PGothic"/>
          <w:sz w:val="14"/>
          <w:szCs w:val="14"/>
          <w:color w:val="auto"/>
        </w:rPr>
        <w:t>‑</w:t>
      </w:r>
      <w:r>
        <w:rPr>
          <w:rFonts w:ascii="Arial" w:cs="Arial" w:eastAsia="Arial" w:hAnsi="Arial"/>
          <w:sz w:val="14"/>
          <w:szCs w:val="14"/>
          <w:color w:val="auto"/>
        </w:rPr>
        <w:t>Bliley Act of 1999 (the “GLBA”) requires financial institutions to implement policies and procedures regarding the disclosure of non-public personal information about consumers to non</w:t>
      </w:r>
      <w:r>
        <w:rPr>
          <w:rFonts w:ascii="MS PGothic" w:cs="MS PGothic" w:eastAsia="MS PGothic" w:hAnsi="MS PGothic"/>
          <w:sz w:val="14"/>
          <w:szCs w:val="14"/>
          <w:color w:val="auto"/>
        </w:rPr>
        <w:t>‑</w:t>
      </w:r>
      <w:r>
        <w:rPr>
          <w:rFonts w:ascii="Arial" w:cs="Arial" w:eastAsia="Arial" w:hAnsi="Arial"/>
          <w:sz w:val="14"/>
          <w:szCs w:val="14"/>
          <w:color w:val="auto"/>
        </w:rPr>
        <w:t>affiliated third parties. The GLBA requires disclosures to consumers on policies and procedures regarding the disclosure of such non-public personal information and, except as otherwise required by law, prohibits disclosing such information except as provided in the Bank’s policies and procedures. We have implemented privacy policies addressing these restrictions that are distributed regularly to all existing and new customers of the Bank.</w:t>
      </w:r>
    </w:p>
    <w:p>
      <w:pPr>
        <w:spacing w:after="0" w:line="170"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March 2015, federal regulators issued two related statements regarding cybersecurity. One statement indicates that financial institutions should design multiple layers of security controls to establish lines of defense and to ensure that their risk management processes also address the risk posed by compromised customer credentials, including security measures to reliably authenticate customers accessing Internet-based services of the financial institution. The other statement indicates that a financial institution’s management is expected to maintain sufficient business continuity planning processes to ensure the rapid recovery, resumption and maintenance of the institution’s operations after a cyber-attack involving destructive malware. A financial institution is also expected to develop appropriate processes to enable recovery of data and business operations and address rebuilding network capabilities and restoring data if the institution or its critical service providers fall victim to this type of cyber-attack. If we fail to observe the regulatory guidance, we could be subject to various regulatory sanctions, including financial penalties.</w:t>
      </w:r>
    </w:p>
    <w:p>
      <w:pPr>
        <w:spacing w:after="0" w:line="161"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In November 2021, the federal bank regulatory agencies issued a joint rule establishing computer-security incident notification requirements for banking organizations and their service providers. This rule requires new notification requirements where a banking organization experiences a computer-security incident.</w:t>
      </w:r>
    </w:p>
    <w:p>
      <w:pPr>
        <w:spacing w:after="0" w:line="15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State regulators have been increasingly active in implementing privacy and cybersecurity standards and regulations. Recently, several states have adopted regulations requiring certain financial institutions to implement cybersecurity programs and providing detailed requirements with respect to these programs, including data encryption requirements. Many states have also recently implemented or modified their data breach notification and data privacy requirements.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14" w:name="page15"/>
    <w:bookmarkEnd w:id="14"/>
    <w:p>
      <w:pPr>
        <w:ind w:left="260"/>
        <w:spacing w:after="0"/>
        <w:rPr>
          <w:sz w:val="20"/>
          <w:szCs w:val="20"/>
          <w:color w:val="auto"/>
        </w:rPr>
      </w:pPr>
      <w:r>
        <w:rPr>
          <w:rFonts w:ascii="Arial" w:cs="Arial" w:eastAsia="Arial" w:hAnsi="Arial"/>
          <w:sz w:val="14"/>
          <w:szCs w:val="14"/>
          <w:b w:val="1"/>
          <w:bCs w:val="1"/>
          <w:color w:val="auto"/>
        </w:rPr>
        <w:t>Deposit Insurance</w:t>
      </w:r>
    </w:p>
    <w:p>
      <w:pPr>
        <w:spacing w:after="0" w:line="19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Bank is a national banking association, regulated by the OCC. The Bank accepts deposits, and those deposits have the benefit of FDIC insurance up to the applicable limits established by law. The applicable statutory limit for FDIC insurance for most types of accounts is $250,000.</w:t>
      </w:r>
    </w:p>
    <w:p>
      <w:pPr>
        <w:spacing w:after="0" w:line="152"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Under the FDIC's risk-based deposit premium assessment system, the assessment rates for an insured depository institution are determined by an assessment rate calculator, which is based on a number of elements that measure the risk each institution poses to the Deposit Insurance Fund. The calculated assessment rate is applied to average consolidated assets less the average tangible equity of the insured depository institution during the assessment period to determine the dollar amount of the quarterly assessment. Under the current system, premiums are assessed quarterly and could increase if, for example, criticized loans and leases and/or other higher risk assets increase or balance sheet liquidity decreases.</w:t>
      </w:r>
    </w:p>
    <w:p>
      <w:pPr>
        <w:spacing w:after="0" w:line="16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Under the Federal Deposit Insurance Act, the FDIC may terminate deposit insurance upon a finding that the institution has engaged in unsafe and unsound practices, is in an unsafe or unsound condition to continue operations, or has violated any applicable law, regulation, rule, order or condition imposed by the FDIC. In the event any insured depository institution, such as the Bank, is placed into FDIC receivership due to the termination of deposit insurance, or for any other reason, and the institution is sold or liquidated, the chances of the institution's parent BHC's shareholders recovering any value is very unlikely.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1A. RISK FACTORS.</w:t>
      </w:r>
    </w:p>
    <w:p>
      <w:pPr>
        <w:spacing w:after="0" w:line="218"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Ownership of our common stock involves certain risks. The risks and uncertainties described below are not the only ones we face. You should carefully consider the risks described below, as well as all other information contained in this Annual Report on Form 10-K. Additional risks and uncertainties not presently known to us or that we currently deem immaterial may also impair our business operations. If any of these risks actually occurs, our business, financial condition or results of operations could be materially and adversely affected.</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Risks Related to Our Business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As a business operating in the financial services industry, our business and operations may be adversely affected in numerous and complex ways by weak economic conditions.</w:t>
      </w:r>
    </w:p>
    <w:p>
      <w:pPr>
        <w:spacing w:after="0" w:line="13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Our performance could be negatively impacted to the extent there is deterioration in business and economic conditions, including persistent inflation, supply chain issues or labor shortages, which have direct or indirect impacts on us, our customers and/or our counterparties. All of these factors can individually or in the aggregate be detrimental to our business, and the interplay between these factors can be complex and unpredictable. Adverse economic conditions could have a material adverse effect on our business, financial condition and results of operations.</w:t>
      </w:r>
    </w:p>
    <w:p>
      <w:pPr>
        <w:spacing w:after="0" w:line="143" w:lineRule="exact"/>
        <w:rPr>
          <w:sz w:val="20"/>
          <w:szCs w:val="20"/>
          <w:color w:val="auto"/>
        </w:rPr>
      </w:pPr>
    </w:p>
    <w:p>
      <w:pPr>
        <w:ind w:right="620"/>
        <w:spacing w:after="0" w:line="290" w:lineRule="auto"/>
        <w:rPr>
          <w:sz w:val="20"/>
          <w:szCs w:val="20"/>
          <w:color w:val="auto"/>
        </w:rPr>
      </w:pPr>
      <w:r>
        <w:rPr>
          <w:rFonts w:ascii="Arial" w:cs="Arial" w:eastAsia="Arial" w:hAnsi="Arial"/>
          <w:sz w:val="14"/>
          <w:szCs w:val="14"/>
          <w:b w:val="1"/>
          <w:bCs w:val="1"/>
          <w:i w:val="1"/>
          <w:iCs w:val="1"/>
          <w:color w:val="auto"/>
        </w:rPr>
        <w:t>Our commercial business and operations are concentrated in the Washington, D.C. and Baltimore metropolitan areas and we are more sensitive than our more geographically diversified competitors to adverse changes in the local economy.</w:t>
      </w:r>
    </w:p>
    <w:p>
      <w:pPr>
        <w:spacing w:after="0" w:line="13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As of December 31, 2022, approximately 88.2% of our loans held for investment (measured by dollar amount) were made to borrowers who live or conduct business in the Washington, D.C. and Baltimore metropolitan areas. Therefore, our success depends upon the general economic conditions in this area, which we cannot predict with any degree of certainty. A downturn in the local economy generally could make it more difficult for our borrowers to repay their loans and may lead to loan losses that are not offset by operations in other markets; it may also reduce the ability of our depositors to make or maintain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15" w:name="page16"/>
    <w:bookmarkEnd w:id="15"/>
    <w:p>
      <w:pPr>
        <w:jc w:val="both"/>
        <w:spacing w:after="0" w:line="266" w:lineRule="auto"/>
        <w:rPr>
          <w:sz w:val="20"/>
          <w:szCs w:val="20"/>
          <w:color w:val="auto"/>
        </w:rPr>
      </w:pPr>
      <w:r>
        <w:rPr>
          <w:rFonts w:ascii="Arial" w:cs="Arial" w:eastAsia="Arial" w:hAnsi="Arial"/>
          <w:sz w:val="14"/>
          <w:szCs w:val="14"/>
          <w:color w:val="auto"/>
        </w:rPr>
        <w:t>deposits with us. For these reasons, any regional or local economic downturn that affects the Washington, D.C. and Baltimore metropolitan areas, or existing or prospective borrowers or depositors in the Washington, D.C. and Baltimore metropolitan areas could have a material adverse effect on our business, financial condition and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customers and businesses in the Washington, D.C. metropolitan area may be adversely impacted as a result of changes in government spending.</w:t>
      </w:r>
    </w:p>
    <w:p>
      <w:pPr>
        <w:spacing w:after="0" w:line="195"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Washington, D.C. metropolitan area is characterized by a significant number of businesses that are federal government contractors or subcontractors, or which depend on such businesses for a significant portion of their revenues. The impact of a decline in federal government spending, a reallocation of government spending to different industries or different areas of the country or a delay in payments to such contractors could have a ripple effect. Temporary layoffs, staffing freezes, salary reductions or furloughs of government employees or government contractors could have adverse impacts on other businesses in the Company’s market and the general economy of the greater Washington, D.C. metropolitan area, and may indirectly lead to a loss of revenues by the Company’s customers, including vendors and lessors to the federal government and government contractors or to their employees, as well as a wide variety of commercial and retail businesses and the local housing market. Accordingly, such potential federal government activities could lead to increases in past due loans, nonperforming loans, loan loss reserves and charge-offs, and to a corresponding decline in liquidity.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measure and limit our credit risk adequately, which could lead to unexpected losses.</w:t>
      </w:r>
    </w:p>
    <w:p>
      <w:pPr>
        <w:spacing w:after="0" w:line="19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primary component of our business involves making loans to customers. The business of lending is inherently risky, including risks that the principal of or interest on any loan will not be repaid in a timely manner or at all or that the value of any collateral supporting the loan will be insufficient to cover our outstanding exposure. A failure to measure and limit the credit risk associated with our loan portfolio effectively could lead to unexpected losses and have a materially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accounting standards or interpretation of new or existing standards may affect our financial condition and results of operations.</w:t>
      </w:r>
    </w:p>
    <w:p>
      <w:pPr>
        <w:spacing w:after="0" w:line="19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From time to time, the Financial Accounting Standards Board (“FASB”) and the SEC change accounting regulations and reporting standards that govern the preparation of our financial statements. In addition, the FASB, SEC, bank regulators and the outside independent auditors may revise their previous interpretations regarding existing accounting regulations and the application of these accounting standards. These changes can be difficult to predict and can materially impact how to record and report our financial condition and results of operations. In some cases, there could be a requirement to apply a new or revised accounting standard retroactively, resulting in the restatement of prior period financial statements.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The implementation of the Current Expected Credit Loss accounting standard could require us to increase our allowance for credit losses and may have a material adverse effect on our financial condition and results of operations.</w:t>
      </w:r>
    </w:p>
    <w:p>
      <w:pPr>
        <w:spacing w:after="0" w:line="136"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In June 2016, the FASB issued ASU 2016-13, Financial Instruments - Credit Losses (Topic 326): Measurement of Credit Losses on Financial Instruments. ASU 2016-13 replaces the incurred loss model with an expected loss model, which is referred to as the current expected credit loss model, or CECL. ASU 2016-13 became effective for the Company on January 1, 2023. This standard requires earlier recognition of expected credit losses on loans and certain other instruments, compared to the incurred loss model. At the adoption date, we expect a change to the Allowance for Loan Losses of less than $1.0 million based on the expected performance of the economy at the transition date. Implementing the CECL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4"/>
          <w:szCs w:val="14"/>
          <w:color w:val="auto"/>
        </w:rPr>
        <w:t>framework requires us to increase the data the Company must collect and review to determine the appropriate level of the allowance for credit losses. Subsequent to the adoption date, the implementation of CECL may result in greater volatility in the level of the allowance for credit losses, depending on various factors and assumptions applied in the model, such as the forecasted economic conditions in the foreseeable future and loan payment behaviors. Any increase in the allowance for credit losses, or expenses incurred to determine the appropriate level of the allowance for credit losses, may have a materially adverse effect on our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allowance for loan losses may prove to be insufficient to absorb potential losses in our loan portfolio.</w:t>
      </w:r>
    </w:p>
    <w:p>
      <w:pPr>
        <w:spacing w:after="0" w:line="19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We maintain an allowance for loan losses that represents management’s judgment of probable losses and risks inherent in our loan portfolio. The level of the allowance reflects management’s continuing evaluation of general economic conditions, diversification and seasoning of the loan portfolio, historic loss experience, identified credit problems, delinquency levels and adequacy of collateral. The determination of the appropriate level of our allowance for loan losses is inherently highly subjective and requires management to make significant estimates of and assumptions regarding current credit risks and future trends, all of which may undergo material changes. If we are required to materially increase our level of allowance for loan losses for any reason, such increase could materially and adversely affect our business, financial condition and results of operations.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The small- to medium-sized businesses that we lend to may have fewer resources to weather adverse business developments, which may impair our borrowers’ ability to repay loans.</w:t>
      </w:r>
    </w:p>
    <w:p>
      <w:pPr>
        <w:spacing w:after="0" w:line="13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Small - to medium-sized businesses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If our borrowers are unable to repay their loans, our business, financial condition and results of operations could be materially and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commercial real estate and real estate construction loan portfolio exposes us to credit risks that may be greater than the risks related to other types of loans.</w:t>
      </w:r>
    </w:p>
    <w:p>
      <w:pPr>
        <w:spacing w:after="0" w:line="19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These loans typically involve repayment that depends upon income generated, or expected to be generated, by the property securing the loan in amounts sufficient to cover operating expenses and debt service. Unexpected deterioration in the credit quality of our commercial real estate loan portfolio could require us to increase our allowance for loan losses, which would reduce our profitability and could have a material and adverse effect on our business, financial condition and results of operations.</w:t>
      </w:r>
    </w:p>
    <w:p>
      <w:pPr>
        <w:spacing w:after="0" w:line="158"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Construction loans also involve risks because loan funds are secured by a project under construction and the project is of uncertain value prior to its completion. It can be difficult to accurately evaluate the total funds required to complete a project, and construction lending often involves the disbursement of substantial funds with repayment dependent, in part, on the success of the ultimate project rather than the ability of a borrower or guarantor to repay the loan. If we are forced to foreclose on a project prior to completion, we may be unable to recover the entire unpaid portion of the loan. In addition, we may be required to fund additional amounts to complete a project, incur taxes, maintenance and compliance costs for a foreclosed property and may have to hold the property for an indeterminate period of time, any of which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17" w:name="page18"/>
    <w:bookmarkEnd w:id="17"/>
    <w:p>
      <w:pPr>
        <w:jc w:val="both"/>
        <w:spacing w:after="0" w:line="290" w:lineRule="auto"/>
        <w:rPr>
          <w:sz w:val="20"/>
          <w:szCs w:val="20"/>
          <w:color w:val="auto"/>
        </w:rPr>
      </w:pPr>
      <w:r>
        <w:rPr>
          <w:rFonts w:ascii="Arial" w:cs="Arial" w:eastAsia="Arial" w:hAnsi="Arial"/>
          <w:sz w:val="14"/>
          <w:szCs w:val="14"/>
          <w:b w:val="1"/>
          <w:bCs w:val="1"/>
          <w:i w:val="1"/>
          <w:iCs w:val="1"/>
          <w:color w:val="auto"/>
        </w:rPr>
        <w:t>Because a significant portion of our loan portfolio held for investment is comprised of real estate loans, negative changes in the economy affecting real estate values and liquidity could impair the value of collateral securing our real estate loans and result in loan and other losses.</w:t>
      </w:r>
    </w:p>
    <w:p>
      <w:pPr>
        <w:spacing w:after="0" w:line="13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Adverse developments affecting real estate values and the liquidity of real estate in our primary markets could increase the credit risk associated with our loan portfolio, and could result in losses that adversely affect credit quality, financial condition and results of operations. If real estate values decline, it is more likely that we would be required to increase our allowance for loan losses, which would adversely affect our business, financial condition and results of operations.</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A portion of our loan portfolio is comprised of commercial loans secured by receivables, inventory, equipment or other commercial collateral, the deterioration in value of which could expose us to credit losses.</w:t>
      </w:r>
    </w:p>
    <w:p>
      <w:pPr>
        <w:spacing w:after="0" w:line="13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 general, these loans are collateralized by general business assets, including, among other things, accounts receivable, inventory and equipment, and most are backed by a personal guaranty of the borrower or principal. Significant adverse changes in the economy or local market conditions in which our commercial lending customers operate could cause rapid declines in loan collectability and the values associated with general business assets resulting in inadequate collateral coverage that may expose us to credit losses and could materially and adversely affect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System failure or cybersecurity breaches of our network security could subject us to increased operating costs as well as litigation and other potential losses.</w:t>
      </w:r>
    </w:p>
    <w:p>
      <w:pPr>
        <w:spacing w:after="0" w:line="19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computer systems and network infrastructure could be vulnerable to hardware and cybersecurity issues. Any damage or failure that causes an interruption in our operations could have a materially, adverse effect on our financial condition and results of operations.</w:t>
      </w:r>
    </w:p>
    <w:p>
      <w:pPr>
        <w:spacing w:after="0" w:line="152"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Our operations are also dependent upon our ability to protect our computer systems and network infrastructure, including our digital, mobile and internet banking activities, against damage from physical break-ins, cybersecurity breaches and other disruptive problems.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and adverse effect on our business, financial condition and results of operations. In addition, we may need to take our systems off-line if they become infected with malware or a computer virus or as a result of another form of cyber-attack. In the event that backup systems are utilized, they may not process data as quickly as our primary systems and some data might not have been saved to backup systems, potentially resulting in a temporary or permanent loss of such data. In addition, our ability to implement backup systems and other safeguards with respect to third-party systems is more limited than with respect to our own systems. We frequently update our systems to support our operations and growth and to remain compliant with applicable laws, rules and regulations. This updating entails significant costs and creates risks associated with implementing new systems and integrating them with existing ones, including business interruptions. Implementation and testing of controls related to our computer systems, security monitoring, and retaining and training personnel required to operate our systems also entail significant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8" w:name="page19"/>
    <w:bookmarkEnd w:id="18"/>
    <w:p>
      <w:pPr>
        <w:ind w:right="740"/>
        <w:spacing w:after="0" w:line="290" w:lineRule="auto"/>
        <w:rPr>
          <w:sz w:val="20"/>
          <w:szCs w:val="20"/>
          <w:color w:val="auto"/>
        </w:rPr>
      </w:pPr>
      <w:r>
        <w:rPr>
          <w:rFonts w:ascii="Arial" w:cs="Arial" w:eastAsia="Arial" w:hAnsi="Arial"/>
          <w:sz w:val="14"/>
          <w:szCs w:val="14"/>
          <w:b w:val="1"/>
          <w:bCs w:val="1"/>
          <w:i w:val="1"/>
          <w:iCs w:val="1"/>
          <w:color w:val="auto"/>
        </w:rPr>
        <w:t>We face security risks, including denial of service attacks, hacking, malware intrusion and data corruption attempts, and identity theft that could result in the disclosure of confidential information, materially and adversely affect our business or reputation, and create significant legal and financial exposure.</w:t>
      </w:r>
    </w:p>
    <w:p>
      <w:pPr>
        <w:spacing w:after="0" w:line="13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Our business relies on the secure processing, transmission, storage and retrieval of confidential, proprietary, and other information in our computer and data management systems and networks, and in the computer and data management systems and networks of third parties. In addition, to access our network, products and services, our customers and other third parties may use personal mobile devices or computing devices that are outside of our network environment and are subject to their own cybersecurity risks.</w:t>
      </w:r>
    </w:p>
    <w:p>
      <w:pPr>
        <w:spacing w:after="0" w:line="15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We, our customers, regulators, and other third parties, including other financial services institutions and companies engaged in data processing, have been subject to, and are likely to continue to be the target of, cyber-attacks. These cyber-attacks include computer viruses, malicious or destructive code, phishing attacks, denial of service or information, ransomware, improper access by employees or vendors, attacks on personal email of employees, ransom demands to not exploit security vulnerabilities in our systems or the systems of third parties, and other security breaches that could result in the unauthorized release, gathering, monitoring, misuse, loss or destruction of confidential, proprietary and other information of ours, our employees, our customers, or of third parties, and damage to our systems that could otherwise materially disrupt our or our customers’ or other third parties’ network access or business operations. As cyber-threats continue to evolve, we may be required to expend significant additional resources to modify or enhance our protective measures or to investigate and remediate any information security vulnerabilities or incidents. Despite efforts to ensure the integrity of our systems and implement controls, processes, policies and other protective measures, we may not be able to anticipate all security breaches, nor may we be able to implement sufficient preventive measures against such security breaches, which may expose us to material losses and other material, adverse consequences.</w:t>
      </w:r>
    </w:p>
    <w:p>
      <w:pPr>
        <w:spacing w:after="0" w:line="164"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Cybersecurity risks for banking organizations have significantly increased in recent years in part because of the proliferation of new technologies, and the use of the internet and telecommunications technologies to conduct financial transactions. Even the most advanced internal control environment may be vulnerable to compromise. The techniques used by cyber criminals change frequently, may not be recognized until launched, and may not be recognized until well after a breach has occurred. The speed at which new vulnerabilities are discovered and exploited, often before security patches are published, continues to rise. The risk of a security breach caused by a cyber-attack on a vendor or by unauthorized vendor access has also increased in recent years.</w:t>
      </w:r>
    </w:p>
    <w:p>
      <w:pPr>
        <w:spacing w:after="0" w:line="160"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Cyber-attacks or other security breaches, whether directed at us or third parties, may result in a material loss or have other material, adverse consequences. Furthermore, the public perception that a cyber-attack on our systems has been successful, whether or not this perception is correct, may damage our reputation with customers and third parties with whom we do business. Hacking of personal information and identity theft risks, in particular, could cause serious reputational harm. A successful penetration or circumvention of system security could cause us serious negative consequences, including our loss of customers and business opportunities, costs associated with maintaining business relationships after an attack or breach, significant business disruption to our operations and business, misappropriation, exposure or destruction of our confidential information, intellectual property, funds and/or those of our customers; or damage to our or our customers’ and/or third parties’ computers or systems, and could result in a violation of applicable privacy and other laws, litigation exposure, regulatory fines, penalties or intervention, loss of confidence in our security measures, reputational damage, reimbursement or other compensatory costs, and additional compliance costs, and could materially and adversely impact our results of operations, liquidity and financial condition. In addition, we may not have adequate insurance coverage to compensate for losses from a cybersecurity event.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9" w:name="page20"/>
    <w:bookmarkEnd w:id="19"/>
    <w:p>
      <w:pPr>
        <w:ind w:right="360"/>
        <w:spacing w:after="0" w:line="290" w:lineRule="auto"/>
        <w:rPr>
          <w:sz w:val="20"/>
          <w:szCs w:val="20"/>
          <w:color w:val="auto"/>
        </w:rPr>
      </w:pPr>
      <w:r>
        <w:rPr>
          <w:rFonts w:ascii="Arial" w:cs="Arial" w:eastAsia="Arial" w:hAnsi="Arial"/>
          <w:sz w:val="14"/>
          <w:szCs w:val="14"/>
          <w:b w:val="1"/>
          <w:bCs w:val="1"/>
          <w:i w:val="1"/>
          <w:iCs w:val="1"/>
          <w:color w:val="auto"/>
        </w:rPr>
        <w:t>Appraisals and other valuation techniques we use in evaluating and monitoring loans secured by real property, other real estate owned and repossessed personal property may not accurately describe the net value of the asset.</w:t>
      </w:r>
    </w:p>
    <w:p>
      <w:pPr>
        <w:spacing w:after="0" w:line="136"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As a result, we may not be able to recover the full amount of any remaining indebtedness when we foreclose on and sell the relevant property. In addition, we rely on appraisals and other valuation techniques to establish the value of our other real estate owned, or OREO, and personal property that we acquire through foreclosure proceedings and to determine certain loan impairments. If any of these valuations are inaccurate, our combined and consolidated financial statements may not reflect the correct value of our OREO, and our allowance for loan losses may not reflect accurate loan impairments. This could have a material, adverse effect on our business, financial condition or results of operations.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We engage in lending secured by real estate and may be forced to foreclose on the collateral and own the underlying real estate, subjecting us to the costs and potential risks associated with the ownership of the real property, or consumer protection initiatives or changes in state or federal law may substantially raise the cost of foreclosure or prevent us from foreclosing at all.</w:t>
      </w:r>
    </w:p>
    <w:p>
      <w:pPr>
        <w:spacing w:after="0" w:line="15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Our inability to manage the amount of costs or the risks associated with the ownership of real estate, or write-downs in the value of OREO, could have a material and adverse effect on our business, financial condition and results of operations.</w:t>
      </w:r>
    </w:p>
    <w:p>
      <w:pPr>
        <w:spacing w:after="0" w:line="15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Additionally, consumer protection initiatives or changes in state or federal law may substantially increase the time and expense associated with the foreclosure process or prevent us from foreclosing at all. If new state or federal laws or regulations are ultimately enacted that significantly raise the cost of foreclosure or raise outright barriers, such could have a materially adverse effect on our business, financial condition and results of operation.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lack of liquidity could impair our ability to fund operations and adversely impact our business, financial condition and results of operations.</w:t>
      </w:r>
    </w:p>
    <w:p>
      <w:pPr>
        <w:spacing w:after="0" w:line="19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Liquidity is essential to our business. We rely on our ability to generate deposits and effectively manage the repayment and maturity schedules of our loans and investment securities, respectively, to ensure that we have adequate liquidity to fund our operations. An inability to raise funds through deposits, borrowings, sales of our investment securities, sales of loans or other sources could materially and adversely impact our ability to originate loans, invest in securities, meet our expenses or fulfill obligations such as repaying our borrowings or meeting deposit withdrawal demands, any of which could, in turn, have a material and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several large depositor relationships, the loss of which could force us to fund our business through more expensive and less stable sources.</w:t>
      </w:r>
    </w:p>
    <w:p>
      <w:pPr>
        <w:spacing w:after="0" w:line="19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 of December 31, 2022, our 10 largest non-brokered depositors accounted for $389.9 million in deposits, or approximately 22.2% of our total deposits. Withdrawals of deposits by any one of our largest depositors could force us to rely more heavily on borrowings and other sources of funding for our business, adversely affecting our net interest margin and results of operations. We may also be forced, as a result of any withdrawal of deposits, to rely more heavily on other, potentially more expensive and less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stable funding sources. Consequently, the occurrence of any of these events could have a material and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mortgage banking division may not continue to provide us with significant noninterest income.</w:t>
      </w:r>
    </w:p>
    <w:p>
      <w:pPr>
        <w:spacing w:after="0" w:line="19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residential mortgage business is highly competitive and highly susceptible to changes in market interest rates, consumer confidence levels, employment statistics, the capacity and willingness of secondary market purchasers to acquire and hold or securitize loans, and other factors beyond our control. Additionally, in many respects, the traditional mortgage origination business is relationship-based, and dependent on the services of individual mortgage loan officers. The loss of services of one or more loan officers could have the effect of reducing the level of our mortgage production, or the rate of growth of production. As a result of these factors, we cannot be certain that we will be able to maintain or increase the volume or percentage of revenue or net income produced by our residential mortgage business.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We earn income by originating residential mortgage loans for resale in the secondary mortgage market, and disruptions in that market could reduce our operating income.</w:t>
      </w:r>
    </w:p>
    <w:p>
      <w:pPr>
        <w:spacing w:after="0" w:line="13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Historically, as part of our focus on loan origination and sales activities, we enter into formal commitments and informal agreements with larger banking companies and mortgage investors earning the Bank income from these sales. Under these arrangements, we originate single-family mortgages that are priced and underwritten to conform to previously agreed criteria before loan funding and are delivered to the investor shortly after funding.</w:t>
      </w:r>
    </w:p>
    <w:p>
      <w:pPr>
        <w:spacing w:after="0" w:line="158"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Disruptions in the secondary market may not only affect us but also the ability and desire of mortgage investors and other banks to purchase residential mortgage loans that we originate. As a result, we may not be able to maintain or grow the income we receive from originating and reselling residential mortgage loans. Additionally, we hold certain mortgage loans that we originated for sale, increasing our exposure to interest rate risk and adverse changes in the value of the residential real estate that serves as collateral for the mortgage loan prior to sale.</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Our financial condition, earnings and asset quality could be adversely affected if we are required to repurchase loans originated for sale by our mortgage banking division.</w:t>
      </w:r>
    </w:p>
    <w:p>
      <w:pPr>
        <w:spacing w:after="0" w:line="13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Bank originates residential mortgage loans for sale to secondary market investors, subject to contractually specified recourse provisions. Because the loans are intended to be originated within investor guidelines, using designated automated underwriting and product-specific requirements as part of the loan application, the loans sold have a limited recourse provision. Should such loan repurchases become a material issue, our earnings and asset quality could be adversely impacted, which could materially and adversely impact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Delinquencies and credit losses from our OpenSky</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credit card division could adversely affect our business, financial condition and results of operations.</w:t>
      </w:r>
    </w:p>
    <w:p>
      <w:pPr>
        <w:spacing w:after="0" w:line="143" w:lineRule="exact"/>
        <w:rPr>
          <w:sz w:val="20"/>
          <w:szCs w:val="20"/>
          <w:color w:val="auto"/>
        </w:rPr>
      </w:pPr>
    </w:p>
    <w:p>
      <w:pPr>
        <w:jc w:val="both"/>
        <w:ind w:firstLine="255"/>
        <w:spacing w:after="0" w:line="232" w:lineRule="auto"/>
        <w:rPr>
          <w:sz w:val="20"/>
          <w:szCs w:val="20"/>
          <w:color w:val="auto"/>
        </w:rPr>
      </w:pPr>
      <w:r>
        <w:rPr>
          <w:rFonts w:ascii="Arial" w:cs="Arial" w:eastAsia="Arial" w:hAnsi="Arial"/>
          <w:sz w:val="14"/>
          <w:szCs w:val="14"/>
          <w:color w:val="auto"/>
        </w:rPr>
        <w:t>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Division provides secured, partially secured, and unsecured credit cards on a nationwide basis to under-banked populations and those looking to rebuild their credit scores. Although some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credit cards are fully or partially secured, losses may occur as a result of fraud, or when the account exceeds its established limit or if a cardholder ceases to maintain the account in good standing. Fraud, such as identity fraud, payment fraud and funding fraud (where, for example, an individual funds a card using information from someone they know well, such as a relative or roommate) can result in substantial losses. In the case of an OpenSky® account that is funded through fraud on the part of an applicant, we are required by applicable laws to refund the amount of the original deposit, and we charge off balances which were subsequently charged on the card. Account balances in excess of</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21" w:name="page22"/>
    <w:bookmarkEnd w:id="21"/>
    <w:p>
      <w:pPr>
        <w:jc w:val="both"/>
        <w:spacing w:after="0" w:line="244" w:lineRule="auto"/>
        <w:rPr>
          <w:sz w:val="20"/>
          <w:szCs w:val="20"/>
          <w:color w:val="auto"/>
        </w:rPr>
      </w:pPr>
      <w:r>
        <w:rPr>
          <w:rFonts w:ascii="Arial" w:cs="Arial" w:eastAsia="Arial" w:hAnsi="Arial"/>
          <w:sz w:val="14"/>
          <w:szCs w:val="14"/>
          <w:color w:val="auto"/>
        </w:rPr>
        <w:t>established credit limits happen as a result of certain VISA membership policies that allow cardholders to incur certain charges even if they exceed their card limits, which include, but are not limited to, rental car charges, gas station charges and hotel deposits. If an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cardholder exceeds his or her credit limit as a result of purchases in one of these categories, we may incur losses for amounts in excess of the collateral deposited if the borrower fails to repay such excess amounts. Customers can also exceed their credit limit by making intra period payments to replenish their available lines. If the payments are made via the Automated Clearing House (“ACH”) and were fraudulent, we could incur the cost of the payment. Finally, losses to our credit card portfolio may arise if cardholders cease to maintain the account in good standing with timely payments. For example, in the event a card becomes more than 120 days past due, the credit card balance is recovered against any corresponding deposit account and a charge-off is recorded for any related fees, accrued interest or other charges in excess of the deposit account balance. We have invested in technology and systems to prevent and detect fraudulent behavior and mitigate losses but such investments may not be adequate, and our systems may not adequately monitor or mitigate potential losses arising from these risks.</w:t>
      </w:r>
    </w:p>
    <w:p>
      <w:pPr>
        <w:spacing w:after="0" w:line="172" w:lineRule="exact"/>
        <w:rPr>
          <w:sz w:val="20"/>
          <w:szCs w:val="20"/>
          <w:color w:val="auto"/>
        </w:rPr>
      </w:pPr>
    </w:p>
    <w:p>
      <w:pPr>
        <w:jc w:val="both"/>
        <w:ind w:firstLine="255"/>
        <w:spacing w:after="0" w:line="221" w:lineRule="auto"/>
        <w:rPr>
          <w:sz w:val="20"/>
          <w:szCs w:val="20"/>
          <w:color w:val="auto"/>
        </w:rPr>
      </w:pPr>
      <w:r>
        <w:rPr>
          <w:rFonts w:ascii="Arial" w:cs="Arial" w:eastAsia="Arial" w:hAnsi="Arial"/>
          <w:sz w:val="14"/>
          <w:szCs w:val="14"/>
          <w:color w:val="auto"/>
        </w:rPr>
        <w:t>A high credit loss rate (the rate at which we charge off uncollectible loans) on either our secured, partially secured, or unsecured portfolio could materially and adversely impact our overall financial performance. We maintain an allowance for loan losses, which we believe to be adequate to cover credit losses inherent in 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portfolio, but we cannot be certain that the allowance will be sufficient to cover actual credit losses. If credit losses from 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portfolio exceed our allowance for loan losses, our revenues will be reduced by the excess of such credit losses.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inability of our OpenSky</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credit card division to continue its growth rate could adversely affect our earnings.</w:t>
      </w:r>
    </w:p>
    <w:p>
      <w:pPr>
        <w:spacing w:after="0" w:line="151"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credit card portfolio has increased and certain corresponding fees have been a significant portion of our income. We do not know if we will be able to retain existing customers or attract new customers, or that we will be able to increase account balances for new or existing customers.</w:t>
      </w:r>
    </w:p>
    <w:p>
      <w:pPr>
        <w:spacing w:after="0" w:line="15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hope the development and expansion of new credit card products and related cardholder service products will be an important contributor to our growth and earnings in the future; however, if we are unable to implement new cardholder products and features, our ability to grow will be negatively impacted. Declining sales of cardholder service products would likely result in reduced income from fees and interest.</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Our business, financial condition and results of operations may be adversely affected by merchants’ increasing focus on the fees charged by credit card networks and by regulation and legislation impacting such fees.</w:t>
      </w:r>
    </w:p>
    <w:p>
      <w:pPr>
        <w:spacing w:after="0" w:line="136" w:lineRule="exact"/>
        <w:rPr>
          <w:sz w:val="20"/>
          <w:szCs w:val="20"/>
          <w:color w:val="auto"/>
        </w:rPr>
      </w:pPr>
    </w:p>
    <w:p>
      <w:pPr>
        <w:jc w:val="both"/>
        <w:ind w:firstLine="255"/>
        <w:spacing w:after="0" w:line="231" w:lineRule="auto"/>
        <w:rPr>
          <w:sz w:val="20"/>
          <w:szCs w:val="20"/>
          <w:color w:val="auto"/>
        </w:rPr>
      </w:pPr>
      <w:r>
        <w:rPr>
          <w:rFonts w:ascii="Arial" w:cs="Arial" w:eastAsia="Arial" w:hAnsi="Arial"/>
          <w:sz w:val="14"/>
          <w:szCs w:val="14"/>
          <w:color w:val="auto"/>
        </w:rPr>
        <w:t>Credit card interchange fees are generally one of the largest components of the costs that merchants pay in connection with the acceptance of credit cards and are a meaningful source of revenue for 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Division. Interchange fees are the subject of significant and intense legal, regulatory and legislative focus globally, and the resulting decisions, regulations and legislation may have a material and adverse impact on our business, financial condition and results of operations.</w:t>
      </w:r>
    </w:p>
    <w:p>
      <w:pPr>
        <w:spacing w:after="0" w:line="17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heightened focus by merchants and regulatory and legislative bodies on the fees charged by credit and debit card networks, and the ability of certain merchants to negotiate discounts to interchange fees with MasterCard and Visa successfully or develop alternative payment systems could result in a reduction of interchange fees. Any resulting loss in income to us could have a material and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i w:val="1"/>
          <w:iCs w:val="1"/>
          <w:color w:val="auto"/>
        </w:rPr>
        <w:t>By engaging in derivative transactions, we are exposed to additional credit and market risk.</w:t>
      </w:r>
    </w:p>
    <w:p>
      <w:pPr>
        <w:spacing w:after="0" w:line="19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As part of our mortgage banking activities, we enter into interest rate lock agreements with the consumer. These are commitments to originate loans at a specified interest rate and lock expiration which is set prior to closing.</w:t>
      </w:r>
    </w:p>
    <w:p>
      <w:pPr>
        <w:spacing w:after="0" w:line="152"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Hedging interest rate risk is a complex process, requiring sophisticated models and routine monitoring. As a result of interest rate fluctuations, hedged assets and liabilities will appreciate or depreciate in market value. The effect of this unrealized appreciation or depreciation in assets (loans) will generally be offset by income or loss in the corresponding MBS derivative instruments that are linked to the hedged assets and liabilities. By engaging in derivative transactions, we are exposed to counterparty credit and market risk. If the counterparty fails to perform, credit risk exists to the extent of the fair value gain in the derivative. Market risk exists to the extent that interest rates change in ways that are significantly different from what was modeled when we entered into the derivative transaction. The existence of credit and market risk associated with our derivative instruments could materially and adversely affect our mortgage banking revenue and, therefore, could have a material and adverse effect on our business, financial condition and results of operations.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interest rate risk as fluctuations in interest rates may adversely affect our earnings.</w:t>
      </w:r>
    </w:p>
    <w:p>
      <w:pPr>
        <w:spacing w:after="0" w:line="19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majority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interest-bearing liabilities, such as deposits and borrowings. We expect that we will periodically experience “gaps” in the interest rate sensitivities of our assets and liabilities, meaning that either our interest-bearing liabilities will be more sensitive to changes in market interest rates than our interest earning assets, or vice versa. In either case, if market interest rates move contrary to our position, this gap will negatively impact our earnings. The impact on earnings is more adverse when the slope of the yield curve flattens; that is, when short-term interest rates increase more than long-term interest rates or when long-term interest rates decrease more than short-term interest rates. Many factors impact interest rates, including governmental monetary policies, inflation, recession, changes in unemployment, the money supply, international economic weakness and disorder and instability in domestic and foreign financial markets.</w:t>
      </w:r>
    </w:p>
    <w:p>
      <w:pPr>
        <w:spacing w:after="0" w:line="16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Interest rate increases often result in larger payment requirements for our borrowers, which increases the potential for default and could result in a decrease in the demand for loans. At the same time, the marketability of the property securing a loan may be adversely affected by any reduced demand resulting from higher interest rates. In a declining interest rate environment, there may be an increase in prepayments on loans as borrowers refinance their loans at lower rates. In addition, in a low interest rate environment, loan customers often pursue long-term fixed rate credits, which could adversely affect our earnings and net interest margin if rates later increase. Changes in interest rates also can affect the value of loans, securities and other assets. An increase in interest rates that adversely affects the ability of borrowers to pay the principal or interest on loans may lead to an increase in nonperforming assets and a reduction of income recognized, which could have a material and adverse effect on our results of operations and cash flows. Further, when we place a loan on nonaccrual status, we reverse any accrued but unpaid interest receivable, which decreases interest income. At the same time, we continue to incur costs to fund the loan, which is reflected as interest expense, without any interest income to offset the associated funding expense. Thus, an increase in the amount of nonperforming assets would have a material and adverse impact on net interest income.</w:t>
      </w:r>
    </w:p>
    <w:p>
      <w:pPr>
        <w:spacing w:after="0" w:line="148" w:lineRule="exact"/>
        <w:rPr>
          <w:sz w:val="20"/>
          <w:szCs w:val="20"/>
          <w:color w:val="auto"/>
        </w:rPr>
      </w:pPr>
    </w:p>
    <w:p>
      <w:pPr>
        <w:ind w:right="720"/>
        <w:spacing w:after="0" w:line="290" w:lineRule="auto"/>
        <w:rPr>
          <w:sz w:val="20"/>
          <w:szCs w:val="20"/>
          <w:color w:val="auto"/>
        </w:rPr>
      </w:pPr>
      <w:r>
        <w:rPr>
          <w:rFonts w:ascii="Arial" w:cs="Arial" w:eastAsia="Arial" w:hAnsi="Arial"/>
          <w:sz w:val="14"/>
          <w:szCs w:val="14"/>
          <w:b w:val="1"/>
          <w:bCs w:val="1"/>
          <w:i w:val="1"/>
          <w:iCs w:val="1"/>
          <w:color w:val="auto"/>
        </w:rPr>
        <w:t>We could recognize losses on investment securities held in our securities portfolio, particularly if interest rates continue to increase or economic and market conditions deteriorate.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3" w:name="page24"/>
    <w:bookmarkEnd w:id="23"/>
    <w:p>
      <w:pPr>
        <w:jc w:val="both"/>
        <w:ind w:firstLine="255"/>
        <w:spacing w:after="0" w:line="255" w:lineRule="auto"/>
        <w:rPr>
          <w:sz w:val="20"/>
          <w:szCs w:val="20"/>
          <w:color w:val="auto"/>
        </w:rPr>
      </w:pPr>
      <w:r>
        <w:rPr>
          <w:rFonts w:ascii="Arial" w:cs="Arial" w:eastAsia="Arial" w:hAnsi="Arial"/>
          <w:sz w:val="14"/>
          <w:szCs w:val="14"/>
          <w:color w:val="auto"/>
        </w:rPr>
        <w:t>We invest a portion of our total assets (11.9% as of December 31, 2022) in investment securities with the primary objectives of providing a source of liquidity, providing an appropriate return on funds invested and managing interest rate risk. As of December 31, 2022, the fair value of our available-for-sale investment securities portfolio was $252 million, which included unrealized losses of $22.4 million and no unrealized gains. Factors beyond our control can significantly and adversely influence the fair value of securities in our portfolio. Because of changing economic and market conditions affecting interest rates, the financial condition of issuers of the securities and the performance of the underlying collateral, we may recognize realized and/or unrealized losses in future periods, which could have a material and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Uncertainty about the future of LIBOR may adversely affect our business.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July 27, 2017, the United Kingdom’s Financial Conduct Authority, which regulates the LIBOR, announced that it intends to stop persuading or compelling banks to submit rates for the calculation of LIBOR after 2021. In November 2020, the Financial Conduct Authority announced that it would continue to publish LIBOR rates through June 30, 2023. It is unclear whether, or in what form, LIBOR will continue to exist after that date. Central banks around the world, including the Federal Reserve, have commissioned committees and working groups of market participants and official sector representatives to replace LIBOR and replace or reform other interest rate benchmarks. U.S. banking agencies encouraged banks to cease entering into new contracts referencing LIBOR no later than December 31, 2021. A transition away from the widespread use of LIBOR to alternative benchmarks has begun and will continue over the course of the next few years. These reforms may cause such rates to perform differently than in the past or have other consequences that are unforeseen.</w:t>
      </w:r>
    </w:p>
    <w:p>
      <w:pPr>
        <w:spacing w:after="0" w:line="332"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While there is no consensus on what rate or rates may become accepted alternatives to LIBOR, a group of market participants convened by the Federal Reserve, the Alternative Reference Rate Committee, has selected SOFR as its recommended alternative to LIBOR. SOFR may fail to gain market acceptance. SOFR was developed for use in certain U.S. dollar derivatives and other financial contracts as an alternative to U.S. dollar LIBOR in part because it is considered to be a good representation of general funding conditions in the overnight U.S. Treasury repo market. However, as a rate based on transactions secured by U.S. Treasury securities, it does not measure bank-specific credit risk and, as a result, is likely to correlate with the unsecured short-term funding costs of banks. This may mean that market participants would not consider SOFR to be a suitable substitute or a successor for all of the purposes for which U.S. dollar LIBOR historically has been used, which may, in turn, lessen its market acceptance.</w:t>
      </w:r>
    </w:p>
    <w:p>
      <w:pPr>
        <w:spacing w:after="0" w:line="162"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It is impossible to predict the effect of the adoption of SOFR or any other alternative reference rate on the value of LIBOR-based securities and variable rate loans, subordinated debentures, or other securities or financial arrangements, given LIBOR’s role in determining market interest rates globally. Uncertainty as to the nature of alternative reference rates and as to potential changes or other reforms to LIBOR may adversely affect LIBOR rates and the value of LIBOR-based loans and securities in our portfolio, and may impact the availability and cost of hedging instruments and borrowings. If LIBOR rates are no longer available, and we are required to implement alternative reference rates, such as SOFR, for the calculation of interest rates under our loan agreements with our borrowers, we may incur significant expenses in effectuating the transition, and may be subject to disputes or litigation with customers over the appropriateness or comparability of LIBOR to SOFR or another alternative reference rate, which could have a material and adverse effect on our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strong competition from financial services companies and other companies that offer banking services.</w:t>
      </w:r>
    </w:p>
    <w:p>
      <w:pPr>
        <w:spacing w:after="0" w:line="19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We operate in the highly competitive financial services industry and face significant competition for customers from financial institutions located both within and beyond our principal markets. We compete with commercial banks, savings banks, credit unions, nonbank financial services companies and other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4"/>
          <w:szCs w:val="14"/>
          <w:color w:val="auto"/>
        </w:rPr>
        <w:t>financial institutions operating within or near the areas we serve. In addition, many of our non-bank competitors are not subject to the same extensive regulations that govern our activities and may have greater flexibility in competing for business. Our inability to compete successfully in the markets in which we operate could have a material and adverse effect on our business, financial condition or results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Risks Related to the Regulation of Our Industry</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36"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Banking is highly regulated under federal and state law. As such, we are subject to extensive regulation, supervision and legal requirements that govern almost all aspects of our operations. Compliance with laws and regulations can be difficult and costly, and changes to laws and regulations often impose additional operating costs. Our failure to comply with these laws and regulations, even if the failure follows good faith effort or reflects a difference in interpretation, could subject us to restrictions on our business activities, enforcement actions and fines and other penalties, any of which could adversely affect our results of operations, regulatory capital levels and the price of our securities. Further, any new laws, rules and regulations could make compliance more difficult or expensive or otherwise materially and adversely affect our business, financial condition and results of operations.</w:t>
      </w:r>
    </w:p>
    <w:p>
      <w:pPr>
        <w:spacing w:after="0" w:line="31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Legislative and regulatory actions taken now or in the future may increase our costs and impact our business, governance structure, financial condition or results of operations.</w:t>
      </w:r>
    </w:p>
    <w:p>
      <w:pPr>
        <w:spacing w:after="0" w:line="13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Economic conditions that contributed to the financial crisis in 2008, particularly in the financial markets, resulted in government regulatory agencies and political bodies placing increased focus and scrutiny on the financial services industry. The Dodd-Frank Act, which was enacted in 2010 as a response to the financial crisis, significantly changed the regulation of financial institutions and the financial services industry. Compliance with the Dodd-Frank Act and its implementing regulations has and may continue to result in additional operating and compliance costs that could have a material and adverse effect on our business, financial condition, results of operations and growth prospects.</w:t>
      </w:r>
    </w:p>
    <w:p>
      <w:pPr>
        <w:spacing w:after="0" w:line="159"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Federal and state regulatory agencies frequently adopt changes to their regulations or change the manner in which existing regulations are applied.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and adverse effect on our business, financial condition and results of operations.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Federal banking agencies periodically conduct examinations of our business, including compliance with laws and regulations, and our failure to comply with any supervisory actions to which we are or become subject as a result of such examinations could adversely affect us.</w:t>
      </w:r>
    </w:p>
    <w:p>
      <w:pPr>
        <w:spacing w:after="0" w:line="13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As part of the bank regulatory process, the OCC and the Federal Reserve, periodically conduct examinations of our business, including compliance with laws and regulations. If, as a result of an examination, one of these federal banking agencies were to determine that the financial condition, capital resources, asset quality, earnings prospects, management, liquidity, asset sensitivity, risk management or other aspects of any of our operations have become unsatisfactory, or that the Company, the Bank or their respective management were in violation of any law or regulation, it may take a number of different remedial actions as it deems appropriate. These actions include the power to enjoin “unsafe or unsound”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4"/>
          <w:szCs w:val="14"/>
          <w:color w:val="auto"/>
        </w:rPr>
        <w:t>practices, to require affirmative actions to correct any conditions resulting from any violation or practice, to issue an administrative order that can be judicially enforced, to direct an increase in our capital levels, to restrict our growth, to assess civil monetary penalties against us, the Bank or their respective officers or directors, to remove officers and directors and, if it is concluded that such conditions cannot be corrected or there is an imminent risk of loss to depositors, to terminate the Bank’s deposit insurance. If we become subject to such regulatory actions, our business, financial condition, results of operations and reputation would be materially and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Monetary policies and regulations of the Federal Reserve could adversely affect our business, financial condition and results of operations.</w:t>
      </w:r>
    </w:p>
    <w:p>
      <w:pPr>
        <w:spacing w:after="0" w:line="19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 addition to being affected by general economic conditions, our earnings and growth are affected by the policies of the Federal Reserve. An important function of the Federal Reserve is to regulate the U.S. money supply and credit conditions. The monetary policies and regulations of the Federal Reserve have had a significant effect on the operating results of commercial banks in the past and are expected to continue to do so in the future. Although we cannot determine the effects of such policies on us at this time, such policies could materially and adversely affect our business, financial condition and results of operations.</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Regulatory requirements affecting our loans secured by commercial real estate could limit our ability to leverage our capital and adversely affect our growth and profitability.</w:t>
      </w:r>
    </w:p>
    <w:p>
      <w:pPr>
        <w:spacing w:after="0" w:line="136"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The federal bank regulatory agencies have indicated their view that banks with high concentrations of loans secured by commercial real estate are subject to increased risk and should implement robust risk management policies and maintain higher capital than regulatory minimums to maintain an appropriate cushion against loss that is commensurate with the perceived risk. Federal bank regulatory guidelines identify institutions potentially exposed to commercial real estate concentration risk as those that have (i) experienced rapid growth in commercial real estate lending, (ii) notable exposure to a specific type of commercial real estate, (iii) total reported loans for construction, land development and other land loans representing 100% or more of the institution’s capital, or (iv) total non-owner-occupied commercial real estate (including construction) loans representing 300% or more of the institution’s capital if the outstanding balance of the institution’s non-owner-occupied commercial real estate (including construction) loan portfolio has increased 50% or more during the prior 36 months. At December 31, 2022, the Bank’s construction to total capital ratio was 108.6% which exceeded the 100% regulatory guideline threshold set forth in clause (iii) above. As a result, we are deemed to have a concentration in commercial real estate lending under applicable regulatory guidelines. Because a significant portion of our loan portfolio depends on commercial real estate, a change in the regulatory capital requirements applicable to us or a decline in our regulatory capital could limit our ability to leverage our capital as a result of these policies, which could have a material and adverse effect on our business, financial condition and results of operations.</w:t>
      </w:r>
    </w:p>
    <w:p>
      <w:pPr>
        <w:spacing w:after="0" w:line="16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cannot guarantee that any risk management practices we implement will be effective to prevent losses relating to our commercial real estate portfolio. Management has implemented controls to monitor our commercial real estate lending concentrations, but we cannot predict the extent to which regulatory guidelines will impact our operations or capital requirements.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81"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b w:val="1"/>
          <w:bCs w:val="1"/>
          <w:i w:val="1"/>
          <w:iCs w:val="1"/>
          <w:color w:val="auto"/>
        </w:rPr>
        <w:t>The market price of our common stock may be subject to substantial fluctuations, which may make it difficult for you to sell your shares at the volume, prices and times desired.</w:t>
      </w:r>
    </w:p>
    <w:p>
      <w:pPr>
        <w:spacing w:after="0" w:line="136"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The market price of our common stock may be highly volatile, which may make it difficult for you to resell your shares at the volume, prices and times desired. There are many factors that may affect the market price and trading volume of our common stock, most of which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26" w:name="page27"/>
    <w:bookmarkEnd w:id="26"/>
    <w:p>
      <w:pPr>
        <w:jc w:val="both"/>
        <w:ind w:firstLine="255"/>
        <w:spacing w:after="0" w:line="257" w:lineRule="auto"/>
        <w:rPr>
          <w:sz w:val="20"/>
          <w:szCs w:val="20"/>
          <w:color w:val="auto"/>
        </w:rPr>
      </w:pPr>
      <w:r>
        <w:rPr>
          <w:rFonts w:ascii="Arial" w:cs="Arial" w:eastAsia="Arial" w:hAnsi="Arial"/>
          <w:sz w:val="14"/>
          <w:szCs w:val="14"/>
          <w:color w:val="auto"/>
        </w:rPr>
        <w:t>The stock market and the market for financial institution stocks has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Increased market volatility may materially and adversely affect the market price of our common stock, which could make it difficult for you to sell your shares at the volume, prices and times desired.</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The market price of our common stock could decline significantly and you may experience future dilution due to actual or anticipated issuances or sales of our common stock in the future.</w:t>
      </w:r>
    </w:p>
    <w:p>
      <w:pPr>
        <w:spacing w:after="0" w:line="13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Our board of directors may determine from time to time that we need to raise additional capital by issuing additional shares of our common stock or other securities. We cannot predict the size of future issuances of our common stock or the effect, if any, that future issuances and sales of our common stock will have on the market price of our common stock. To the extent we raise additional capital by issuing additional shares of our common stock or other securities convertible into, or exchangeable for, our common stock, you may experience substantial dilution.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and board of directors have significant control over our business.</w:t>
      </w:r>
    </w:p>
    <w:p>
      <w:pPr>
        <w:spacing w:after="0" w:line="19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As of December 31, 2022, our directors, directors of the Bank, our named executive officers and their respective family members and affiliated entities beneficially owned an aggregate of 5,499,792 shares, or approximately 38.9% of our issued and outstanding common stock. Consequently, our management and board of directors may be able to significantly affect the outcome of the election of directors and the potential outcome of other matters submitted to a vote of our shareholders, such as mergers, the sale of substantially all of our assets and other extraordinary corporate matters. The interests of these insiders could conflict with the interests of our other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common stock is subordinate to our existing and future indebtedness and preferred stock.</w:t>
      </w:r>
    </w:p>
    <w:p>
      <w:pPr>
        <w:spacing w:after="0" w:line="19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Our common stock ranks junior to all of our existing and future indebtedness and other non-equity claims with respect to assets available to satisfy claims against us, including claims in the event of our liquidation. As of December 31, 2022 we had outstanding approximately $10.0 million in aggregate principal amount of subordinated notes and $2.1 million in aggregate principal amount of junior subordinated debentures. We may incur additional indebtedness in the future to increase our capital resources or if our total capital ratio or the total capital ratio of the Bank falls below the required minimums. Furthermore, our common stock is subordinate to any series of preferred stock we may issue in the future.</w:t>
      </w:r>
    </w:p>
    <w:p>
      <w:pPr>
        <w:spacing w:after="0" w:line="31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Provisions in our governing documents and Maryland law may have an anti-takeover effect, and there are substantial regulatory limitations on changes of control of bank holding companies.</w:t>
      </w:r>
    </w:p>
    <w:p>
      <w:pPr>
        <w:spacing w:after="0" w:line="136"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of directors or management.</w:t>
      </w:r>
    </w:p>
    <w:p>
      <w:pPr>
        <w:spacing w:after="0" w:line="15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In addition, certain provisions of Maryland law may delay, discourage or prevent an attempted acquisition or change in control. Furthermore, banking laws impose notice, approval, and ongoing regulatory requirements on any shareholder or other party that seeks to acquire direct or indirect “control” of an FDIC-insured depository institution or its holding company. These laws include the BHC Act and the Change in Bank Control Act (“CBCA”). These laws could delay or prevent an acquisition.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i w:val="1"/>
          <w:iCs w:val="1"/>
          <w:color w:val="auto"/>
        </w:rPr>
        <w:t>Our common stock is not insured by any governmental entity.</w:t>
      </w:r>
    </w:p>
    <w:p>
      <w:pPr>
        <w:spacing w:after="0" w:line="195"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Our common stock is not a deposit account or other obligation of any bank and is not insured by the FDIC or any other governmental entity. Investment in our common stock is subject to risk, including possible loss.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auto"/>
        </w:rPr>
        <w:t>ITEM 1B UNRESOLVED STAFF COMMENTS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2. PROPERTIES</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Our headquarters are currently located at 2275 Research Boulevard, Suite 600, Rockville, Maryland 20850. The following table summarizes pertinent details of our commercial bank branch locations, mortgage banking offices, loan production offices, or LPOs, and our credit card operations office. Our mortgage offices typically contain both origination and operations professionals.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0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Owned/Leased</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Lease Expiration</w:t>
            </w:r>
          </w:p>
        </w:tc>
        <w:tc>
          <w:tcPr>
            <w:tcW w:w="100" w:type="dxa"/>
            <w:vAlign w:val="bottom"/>
            <w:tcBorders>
              <w:bottom w:val="single" w:sz="8" w:color="CCEEFF"/>
            </w:tcBorders>
          </w:tcPr>
          <w:p>
            <w:pPr>
              <w:spacing w:after="0"/>
              <w:rPr>
                <w:sz w:val="16"/>
                <w:szCs w:val="16"/>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Type of office</w:t>
            </w:r>
          </w:p>
        </w:tc>
      </w:tr>
      <w:tr>
        <w:trPr>
          <w:trHeight w:val="139"/>
        </w:trPr>
        <w:tc>
          <w:tcPr>
            <w:tcW w:w="36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One Church Street</w:t>
            </w:r>
          </w:p>
        </w:tc>
        <w:tc>
          <w:tcPr>
            <w:tcW w:w="250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rPr>
              <w:t>Leased</w:t>
            </w:r>
          </w:p>
        </w:tc>
        <w:tc>
          <w:tcPr>
            <w:tcW w:w="20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6/30/24</w:t>
            </w: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Commercial Branch</w:t>
            </w:r>
          </w:p>
        </w:tc>
      </w:tr>
      <w:tr>
        <w:trPr>
          <w:trHeight w:val="149"/>
        </w:trPr>
        <w:tc>
          <w:tcPr>
            <w:tcW w:w="36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Suite 100</w:t>
            </w: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r>
      <w:tr>
        <w:trPr>
          <w:trHeight w:val="17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Rockville, MD 20850</w:t>
            </w: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r>
      <w:tr>
        <w:trPr>
          <w:trHeight w:val="148"/>
        </w:trPr>
        <w:tc>
          <w:tcPr>
            <w:tcW w:w="360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2275 Research Blvd.</w:t>
            </w:r>
          </w:p>
        </w:tc>
        <w:tc>
          <w:tcPr>
            <w:tcW w:w="250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rPr>
              <w:t>Sub-Leased</w:t>
            </w:r>
          </w:p>
        </w:tc>
        <w:tc>
          <w:tcPr>
            <w:tcW w:w="2040" w:type="dxa"/>
            <w:vAlign w:val="bottom"/>
          </w:tcPr>
          <w:p>
            <w:pPr>
              <w:jc w:val="center"/>
              <w:spacing w:after="0" w:line="148" w:lineRule="exact"/>
              <w:rPr>
                <w:sz w:val="20"/>
                <w:szCs w:val="20"/>
                <w:color w:val="auto"/>
              </w:rPr>
            </w:pPr>
            <w:r>
              <w:rPr>
                <w:rFonts w:ascii="Arial" w:cs="Arial" w:eastAsia="Arial" w:hAnsi="Arial"/>
                <w:sz w:val="14"/>
                <w:szCs w:val="14"/>
                <w:color w:val="auto"/>
              </w:rPr>
              <w:t>9/30/24</w:t>
            </w:r>
          </w:p>
        </w:tc>
        <w:tc>
          <w:tcPr>
            <w:tcW w:w="100" w:type="dxa"/>
            <w:vAlign w:val="bottom"/>
          </w:tcPr>
          <w:p>
            <w:pPr>
              <w:spacing w:after="0"/>
              <w:rPr>
                <w:sz w:val="12"/>
                <w:szCs w:val="12"/>
                <w:color w:val="auto"/>
              </w:rPr>
            </w:pPr>
          </w:p>
        </w:tc>
        <w:tc>
          <w:tcPr>
            <w:tcW w:w="3020" w:type="dxa"/>
            <w:vAlign w:val="bottom"/>
          </w:tcPr>
          <w:p>
            <w:pPr>
              <w:jc w:val="center"/>
              <w:spacing w:after="0" w:line="148" w:lineRule="exact"/>
              <w:rPr>
                <w:sz w:val="20"/>
                <w:szCs w:val="20"/>
                <w:color w:val="auto"/>
              </w:rPr>
            </w:pPr>
            <w:r>
              <w:rPr>
                <w:rFonts w:ascii="Arial" w:cs="Arial" w:eastAsia="Arial" w:hAnsi="Arial"/>
                <w:sz w:val="14"/>
                <w:szCs w:val="14"/>
                <w:color w:val="auto"/>
                <w:w w:val="99"/>
              </w:rPr>
              <w:t>Corporate</w:t>
            </w:r>
          </w:p>
        </w:tc>
      </w:tr>
      <w:tr>
        <w:trPr>
          <w:trHeight w:val="149"/>
        </w:trPr>
        <w:tc>
          <w:tcPr>
            <w:tcW w:w="3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Suite 600</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7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Rockville, MD 20850</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148"/>
        </w:trPr>
        <w:tc>
          <w:tcPr>
            <w:tcW w:w="3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4"/>
                <w:szCs w:val="14"/>
                <w:color w:val="auto"/>
              </w:rPr>
              <w:t>6711 Columbia Gateway Drive</w:t>
            </w:r>
          </w:p>
        </w:tc>
        <w:tc>
          <w:tcPr>
            <w:tcW w:w="2500" w:type="dxa"/>
            <w:vAlign w:val="bottom"/>
            <w:gridSpan w:val="2"/>
            <w:shd w:val="clear" w:color="auto" w:fill="CCEEFF"/>
          </w:tcPr>
          <w:p>
            <w:pPr>
              <w:jc w:val="center"/>
              <w:ind w:right="100"/>
              <w:spacing w:after="0" w:line="148" w:lineRule="exact"/>
              <w:rPr>
                <w:sz w:val="20"/>
                <w:szCs w:val="20"/>
                <w:color w:val="auto"/>
              </w:rPr>
            </w:pPr>
            <w:r>
              <w:rPr>
                <w:rFonts w:ascii="Arial" w:cs="Arial" w:eastAsia="Arial" w:hAnsi="Arial"/>
                <w:sz w:val="14"/>
                <w:szCs w:val="14"/>
                <w:color w:val="auto"/>
              </w:rPr>
              <w:t>Leased</w:t>
            </w:r>
          </w:p>
        </w:tc>
        <w:tc>
          <w:tcPr>
            <w:tcW w:w="20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rPr>
              <w:t>11/30/27</w:t>
            </w: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rPr>
              <w:t>Commercial Branch/Mortgage Office</w:t>
            </w:r>
          </w:p>
        </w:tc>
      </w:tr>
      <w:tr>
        <w:trPr>
          <w:trHeight w:val="149"/>
        </w:trPr>
        <w:tc>
          <w:tcPr>
            <w:tcW w:w="36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Suite 170</w:t>
            </w: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r>
      <w:tr>
        <w:trPr>
          <w:trHeight w:val="17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Columbia, MD 21046</w:t>
            </w: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r>
      <w:tr>
        <w:trPr>
          <w:trHeight w:val="148"/>
        </w:trPr>
        <w:tc>
          <w:tcPr>
            <w:tcW w:w="360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110 Gibraltar Road</w:t>
            </w:r>
          </w:p>
        </w:tc>
        <w:tc>
          <w:tcPr>
            <w:tcW w:w="250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rPr>
              <w:t>Leased</w:t>
            </w:r>
          </w:p>
        </w:tc>
        <w:tc>
          <w:tcPr>
            <w:tcW w:w="2040" w:type="dxa"/>
            <w:vAlign w:val="bottom"/>
          </w:tcPr>
          <w:p>
            <w:pPr>
              <w:jc w:val="center"/>
              <w:spacing w:after="0" w:line="148" w:lineRule="exact"/>
              <w:rPr>
                <w:sz w:val="20"/>
                <w:szCs w:val="20"/>
                <w:color w:val="auto"/>
              </w:rPr>
            </w:pPr>
            <w:r>
              <w:rPr>
                <w:rFonts w:ascii="Arial" w:cs="Arial" w:eastAsia="Arial" w:hAnsi="Arial"/>
                <w:sz w:val="14"/>
                <w:szCs w:val="14"/>
                <w:color w:val="auto"/>
              </w:rPr>
              <w:t>8/31/25</w:t>
            </w:r>
          </w:p>
        </w:tc>
        <w:tc>
          <w:tcPr>
            <w:tcW w:w="100" w:type="dxa"/>
            <w:vAlign w:val="bottom"/>
          </w:tcPr>
          <w:p>
            <w:pPr>
              <w:spacing w:after="0"/>
              <w:rPr>
                <w:sz w:val="12"/>
                <w:szCs w:val="12"/>
                <w:color w:val="auto"/>
              </w:rPr>
            </w:pPr>
          </w:p>
        </w:tc>
        <w:tc>
          <w:tcPr>
            <w:tcW w:w="3020" w:type="dxa"/>
            <w:vAlign w:val="bottom"/>
          </w:tcPr>
          <w:p>
            <w:pPr>
              <w:jc w:val="center"/>
              <w:spacing w:after="0" w:line="148" w:lineRule="exact"/>
              <w:rPr>
                <w:sz w:val="20"/>
                <w:szCs w:val="20"/>
                <w:color w:val="auto"/>
              </w:rPr>
            </w:pPr>
            <w:r>
              <w:rPr>
                <w:rFonts w:ascii="Arial" w:cs="Arial" w:eastAsia="Arial" w:hAnsi="Arial"/>
                <w:sz w:val="13"/>
                <w:szCs w:val="13"/>
                <w:color w:val="auto"/>
              </w:rPr>
              <w:t>OpenSky</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Operations</w:t>
            </w:r>
          </w:p>
        </w:tc>
      </w:tr>
      <w:tr>
        <w:trPr>
          <w:trHeight w:val="149"/>
        </w:trPr>
        <w:tc>
          <w:tcPr>
            <w:tcW w:w="3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Suite 130</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7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Horsham, PA 19044</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148"/>
        </w:trPr>
        <w:tc>
          <w:tcPr>
            <w:tcW w:w="3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4"/>
                <w:szCs w:val="14"/>
                <w:color w:val="auto"/>
              </w:rPr>
              <w:t>185 Harry S. Truman Parkway</w:t>
            </w:r>
          </w:p>
        </w:tc>
        <w:tc>
          <w:tcPr>
            <w:tcW w:w="2500" w:type="dxa"/>
            <w:vAlign w:val="bottom"/>
            <w:gridSpan w:val="2"/>
            <w:shd w:val="clear" w:color="auto" w:fill="CCEEFF"/>
          </w:tcPr>
          <w:p>
            <w:pPr>
              <w:jc w:val="center"/>
              <w:ind w:right="100"/>
              <w:spacing w:after="0" w:line="148" w:lineRule="exact"/>
              <w:rPr>
                <w:sz w:val="20"/>
                <w:szCs w:val="20"/>
                <w:color w:val="auto"/>
              </w:rPr>
            </w:pPr>
            <w:r>
              <w:rPr>
                <w:rFonts w:ascii="Arial" w:cs="Arial" w:eastAsia="Arial" w:hAnsi="Arial"/>
                <w:sz w:val="14"/>
                <w:szCs w:val="14"/>
                <w:color w:val="auto"/>
              </w:rPr>
              <w:t>Leased</w:t>
            </w:r>
          </w:p>
        </w:tc>
        <w:tc>
          <w:tcPr>
            <w:tcW w:w="20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rPr>
              <w:t>11/30/26</w:t>
            </w: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rPr>
              <w:t>Mortgage Office</w:t>
            </w:r>
          </w:p>
        </w:tc>
      </w:tr>
      <w:tr>
        <w:trPr>
          <w:trHeight w:val="149"/>
        </w:trPr>
        <w:tc>
          <w:tcPr>
            <w:tcW w:w="36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Suite 100</w:t>
            </w: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r>
      <w:tr>
        <w:trPr>
          <w:trHeight w:val="17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Annapolis, MD 21401</w:t>
            </w: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r>
      <w:tr>
        <w:trPr>
          <w:trHeight w:val="148"/>
        </w:trPr>
        <w:tc>
          <w:tcPr>
            <w:tcW w:w="360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818 Connecticut Ave</w:t>
            </w:r>
          </w:p>
        </w:tc>
        <w:tc>
          <w:tcPr>
            <w:tcW w:w="250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rPr>
              <w:t>Sub-Leased</w:t>
            </w:r>
          </w:p>
        </w:tc>
        <w:tc>
          <w:tcPr>
            <w:tcW w:w="214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rPr>
              <w:t>Month-to-month</w:t>
            </w:r>
          </w:p>
        </w:tc>
        <w:tc>
          <w:tcPr>
            <w:tcW w:w="3020" w:type="dxa"/>
            <w:vAlign w:val="bottom"/>
          </w:tcPr>
          <w:p>
            <w:pPr>
              <w:jc w:val="center"/>
              <w:spacing w:after="0" w:line="148" w:lineRule="exact"/>
              <w:rPr>
                <w:sz w:val="20"/>
                <w:szCs w:val="20"/>
                <w:color w:val="auto"/>
              </w:rPr>
            </w:pPr>
            <w:r>
              <w:rPr>
                <w:rFonts w:ascii="Arial" w:cs="Arial" w:eastAsia="Arial" w:hAnsi="Arial"/>
                <w:sz w:val="14"/>
                <w:szCs w:val="14"/>
                <w:color w:val="auto"/>
                <w:w w:val="99"/>
              </w:rPr>
              <w:t>LPO</w:t>
            </w:r>
          </w:p>
        </w:tc>
      </w:tr>
      <w:tr>
        <w:trPr>
          <w:trHeight w:val="149"/>
        </w:trPr>
        <w:tc>
          <w:tcPr>
            <w:tcW w:w="3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Suite 900</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7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Washington, D.C. 20006</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148"/>
        </w:trPr>
        <w:tc>
          <w:tcPr>
            <w:tcW w:w="3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4"/>
                <w:szCs w:val="14"/>
                <w:color w:val="auto"/>
              </w:rPr>
              <w:t>10700 Parkridge Boulevard</w:t>
            </w:r>
          </w:p>
        </w:tc>
        <w:tc>
          <w:tcPr>
            <w:tcW w:w="2500" w:type="dxa"/>
            <w:vAlign w:val="bottom"/>
            <w:gridSpan w:val="2"/>
            <w:shd w:val="clear" w:color="auto" w:fill="CCEEFF"/>
          </w:tcPr>
          <w:p>
            <w:pPr>
              <w:jc w:val="center"/>
              <w:ind w:right="100"/>
              <w:spacing w:after="0" w:line="148" w:lineRule="exact"/>
              <w:rPr>
                <w:sz w:val="20"/>
                <w:szCs w:val="20"/>
                <w:color w:val="auto"/>
              </w:rPr>
            </w:pPr>
            <w:r>
              <w:rPr>
                <w:rFonts w:ascii="Arial" w:cs="Arial" w:eastAsia="Arial" w:hAnsi="Arial"/>
                <w:sz w:val="14"/>
                <w:szCs w:val="14"/>
                <w:color w:val="auto"/>
              </w:rPr>
              <w:t>Leased</w:t>
            </w:r>
          </w:p>
        </w:tc>
        <w:tc>
          <w:tcPr>
            <w:tcW w:w="20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rPr>
              <w:t>11/30/23</w:t>
            </w: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rPr>
              <w:t>Commercial Branch, Mortgage Office, and</w:t>
            </w:r>
          </w:p>
        </w:tc>
      </w:tr>
      <w:tr>
        <w:trPr>
          <w:trHeight w:val="149"/>
        </w:trPr>
        <w:tc>
          <w:tcPr>
            <w:tcW w:w="36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Suite 180</w:t>
            </w: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rPr>
              <w:t>OpenSky</w:t>
            </w:r>
            <w:r>
              <w:rPr>
                <w:rFonts w:ascii="Arial" w:cs="Arial" w:eastAsia="Arial" w:hAnsi="Arial"/>
                <w:sz w:val="17"/>
                <w:szCs w:val="17"/>
                <w:color w:val="auto"/>
                <w:vertAlign w:val="superscript"/>
              </w:rPr>
              <w:t>®</w:t>
            </w:r>
            <w:r>
              <w:rPr>
                <w:rFonts w:ascii="Arial" w:cs="Arial" w:eastAsia="Arial" w:hAnsi="Arial"/>
                <w:sz w:val="13"/>
                <w:szCs w:val="13"/>
                <w:color w:val="auto"/>
              </w:rPr>
              <w:t xml:space="preserve"> Headquarters</w:t>
            </w:r>
          </w:p>
        </w:tc>
      </w:tr>
      <w:tr>
        <w:trPr>
          <w:trHeight w:val="17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 20191</w:t>
            </w: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r>
      <w:tr>
        <w:trPr>
          <w:trHeight w:val="148"/>
        </w:trPr>
        <w:tc>
          <w:tcPr>
            <w:tcW w:w="360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1400 W Street, NW</w:t>
            </w:r>
          </w:p>
        </w:tc>
        <w:tc>
          <w:tcPr>
            <w:tcW w:w="2500" w:type="dxa"/>
            <w:vAlign w:val="bottom"/>
            <w:gridSpan w:val="2"/>
          </w:tcPr>
          <w:p>
            <w:pPr>
              <w:jc w:val="center"/>
              <w:ind w:right="100"/>
              <w:spacing w:after="0" w:line="148" w:lineRule="exact"/>
              <w:rPr>
                <w:sz w:val="20"/>
                <w:szCs w:val="20"/>
                <w:color w:val="auto"/>
              </w:rPr>
            </w:pPr>
            <w:r>
              <w:rPr>
                <w:rFonts w:ascii="Arial" w:cs="Arial" w:eastAsia="Arial" w:hAnsi="Arial"/>
                <w:sz w:val="14"/>
                <w:szCs w:val="14"/>
                <w:color w:val="auto"/>
              </w:rPr>
              <w:t>Leased</w:t>
            </w:r>
          </w:p>
        </w:tc>
        <w:tc>
          <w:tcPr>
            <w:tcW w:w="2040" w:type="dxa"/>
            <w:vAlign w:val="bottom"/>
          </w:tcPr>
          <w:p>
            <w:pPr>
              <w:jc w:val="center"/>
              <w:spacing w:after="0" w:line="148" w:lineRule="exact"/>
              <w:rPr>
                <w:sz w:val="20"/>
                <w:szCs w:val="20"/>
                <w:color w:val="auto"/>
              </w:rPr>
            </w:pPr>
            <w:r>
              <w:rPr>
                <w:rFonts w:ascii="Arial" w:cs="Arial" w:eastAsia="Arial" w:hAnsi="Arial"/>
                <w:sz w:val="14"/>
                <w:szCs w:val="14"/>
                <w:color w:val="auto"/>
              </w:rPr>
              <w:t>2/28/2033</w:t>
            </w:r>
          </w:p>
        </w:tc>
        <w:tc>
          <w:tcPr>
            <w:tcW w:w="100" w:type="dxa"/>
            <w:vAlign w:val="bottom"/>
          </w:tcPr>
          <w:p>
            <w:pPr>
              <w:spacing w:after="0"/>
              <w:rPr>
                <w:sz w:val="12"/>
                <w:szCs w:val="12"/>
                <w:color w:val="auto"/>
              </w:rPr>
            </w:pPr>
          </w:p>
        </w:tc>
        <w:tc>
          <w:tcPr>
            <w:tcW w:w="3020" w:type="dxa"/>
            <w:vAlign w:val="bottom"/>
          </w:tcPr>
          <w:p>
            <w:pPr>
              <w:jc w:val="center"/>
              <w:spacing w:after="0" w:line="148" w:lineRule="exact"/>
              <w:rPr>
                <w:sz w:val="20"/>
                <w:szCs w:val="20"/>
                <w:color w:val="auto"/>
              </w:rPr>
            </w:pPr>
            <w:r>
              <w:rPr>
                <w:rFonts w:ascii="Arial" w:cs="Arial" w:eastAsia="Arial" w:hAnsi="Arial"/>
                <w:sz w:val="14"/>
                <w:szCs w:val="14"/>
                <w:color w:val="auto"/>
              </w:rPr>
              <w:t>Commercial Branch</w:t>
            </w:r>
          </w:p>
        </w:tc>
      </w:tr>
      <w:tr>
        <w:trPr>
          <w:trHeight w:val="17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Suite 170 Washington, DC 20009</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auto"/>
        </w:rPr>
        <w:t>ITEM 3. LEGAL PROCEEDINGS.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From time to time, we are a party to various litigation matters incidental to the ordinary conduct of our business. We are not presently a party to any material legal proceedings.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4. MINE SAFETY DISCLOSURES.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309" w:right="419" w:bottom="1440" w:gutter="0" w:footer="0" w:header="0"/>
        </w:sectPr>
      </w:pPr>
    </w:p>
    <w:bookmarkStart w:id="30" w:name="page31"/>
    <w:bookmarkEnd w:id="30"/>
    <w:p>
      <w:pPr>
        <w:jc w:val="center"/>
        <w:spacing w:after="0"/>
        <w:rPr>
          <w:sz w:val="20"/>
          <w:szCs w:val="20"/>
          <w:color w:val="auto"/>
        </w:rPr>
      </w:pPr>
      <w:r>
        <w:rPr>
          <w:rFonts w:ascii="Arial" w:cs="Arial" w:eastAsia="Arial" w:hAnsi="Arial"/>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5. MARKET FOR THE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 Information</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common stock of the Company has been publicly traded since September 2018 and is currently traded on the Nasdaq Global Select Market under the symbol CBNK. As of March 14, 2023, there were approximately 152 holders of record of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4"/>
          <w:szCs w:val="14"/>
          <w:color w:val="auto"/>
        </w:rPr>
        <w:t>Commencing with the third quarter of 2021, shareholders have received quarterly cash dividends on shares of common stock which totaled $3.1 million in 2022. As a general matter, the payment of dividends is at the discretion of the Company’s board of directors, based on such factors as operating results, financial condition, capital adequacy, regulatory requirements, and stockholder return. Although we have no obligation to pay dividends and we may change our dividend policy at any time without notice to shareholders, the Company anticipates continuing a regular quarterly cash dividend. Any future determination to pay dividends to holders of our common stock will depend on our results of operations, financial condition, capital requirements, banking regulations, contractual restrictions and any other factors that our board of directors may deem relevant.</w:t>
      </w:r>
    </w:p>
    <w:p>
      <w:pPr>
        <w:spacing w:after="0" w:line="6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ability to pay dividends on our common stock is dependent on the Bank’s ability to pay dividends to the Company. Various statutory provisions restrict the amount of dividends that the Bank can pay without regulatory approval.</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table provides information as of December 31, 2022, with respect to options and RSUs outstanding and shares available for future awards under the Company’s active equity incentive plans.</w:t>
      </w:r>
    </w:p>
    <w:p>
      <w:pPr>
        <w:spacing w:after="0" w:line="159" w:lineRule="exact"/>
        <w:rPr>
          <w:sz w:val="20"/>
          <w:szCs w:val="20"/>
          <w:color w:val="auto"/>
        </w:rPr>
      </w:pPr>
    </w:p>
    <w:tbl>
      <w:tblPr>
        <w:tblLayout w:type="fixed"/>
        <w:tblInd w:w="2060" w:type="dxa"/>
        <w:tblCellMar>
          <w:top w:w="0" w:type="dxa"/>
          <w:left w:w="0" w:type="dxa"/>
          <w:bottom w:w="0" w:type="dxa"/>
          <w:right w:w="0" w:type="dxa"/>
        </w:tblCellMar>
      </w:tblPr>
      <w:tr>
        <w:trPr>
          <w:trHeight w:val="115"/>
        </w:trPr>
        <w:tc>
          <w:tcPr>
            <w:tcW w:w="1720" w:type="dxa"/>
            <w:vAlign w:val="bottom"/>
          </w:tcPr>
          <w:p>
            <w:pPr>
              <w:spacing w:after="0"/>
              <w:rPr>
                <w:sz w:val="10"/>
                <w:szCs w:val="10"/>
                <w:color w:val="auto"/>
              </w:rPr>
            </w:pPr>
          </w:p>
        </w:tc>
        <w:tc>
          <w:tcPr>
            <w:tcW w:w="3140" w:type="dxa"/>
            <w:vAlign w:val="bottom"/>
            <w:vMerge w:val="restart"/>
          </w:tcPr>
          <w:p>
            <w:pPr>
              <w:jc w:val="center"/>
              <w:ind w:left="971"/>
              <w:spacing w:after="0"/>
              <w:rPr>
                <w:sz w:val="20"/>
                <w:szCs w:val="20"/>
                <w:color w:val="auto"/>
              </w:rPr>
            </w:pPr>
            <w:r>
              <w:rPr>
                <w:rFonts w:ascii="Arial" w:cs="Arial" w:eastAsia="Arial" w:hAnsi="Arial"/>
                <w:sz w:val="10"/>
                <w:szCs w:val="10"/>
                <w:b w:val="1"/>
                <w:bCs w:val="1"/>
                <w:color w:val="auto"/>
                <w:w w:val="98"/>
              </w:rPr>
              <w:t>Number of Securities to be Issued Upon</w:t>
            </w:r>
          </w:p>
        </w:tc>
        <w:tc>
          <w:tcPr>
            <w:tcW w:w="2100" w:type="dxa"/>
            <w:vAlign w:val="bottom"/>
          </w:tcPr>
          <w:p>
            <w:pPr>
              <w:spacing w:after="0"/>
              <w:rPr>
                <w:sz w:val="10"/>
                <w:szCs w:val="10"/>
                <w:color w:val="auto"/>
              </w:rPr>
            </w:pPr>
          </w:p>
        </w:tc>
        <w:tc>
          <w:tcPr>
            <w:tcW w:w="2240" w:type="dxa"/>
            <w:vAlign w:val="bottom"/>
          </w:tcPr>
          <w:p>
            <w:pPr>
              <w:jc w:val="center"/>
              <w:spacing w:after="0"/>
              <w:rPr>
                <w:sz w:val="20"/>
                <w:szCs w:val="20"/>
                <w:color w:val="auto"/>
              </w:rPr>
            </w:pPr>
            <w:r>
              <w:rPr>
                <w:rFonts w:ascii="Arial" w:cs="Arial" w:eastAsia="Arial" w:hAnsi="Arial"/>
                <w:sz w:val="10"/>
                <w:szCs w:val="10"/>
                <w:b w:val="1"/>
                <w:bCs w:val="1"/>
                <w:color w:val="auto"/>
                <w:w w:val="98"/>
              </w:rPr>
              <w:t>Number of Securities Remaining Available for</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140" w:type="dxa"/>
            <w:vAlign w:val="bottom"/>
            <w:vMerge w:val="continue"/>
          </w:tcPr>
          <w:p>
            <w:pPr>
              <w:spacing w:after="0"/>
              <w:rPr>
                <w:sz w:val="8"/>
                <w:szCs w:val="8"/>
                <w:color w:val="auto"/>
              </w:rPr>
            </w:pPr>
          </w:p>
        </w:tc>
        <w:tc>
          <w:tcPr>
            <w:tcW w:w="21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Weighted-Average Exercise Price of</w:t>
            </w:r>
          </w:p>
        </w:tc>
        <w:tc>
          <w:tcPr>
            <w:tcW w:w="224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w w:val="98"/>
              </w:rPr>
              <w:t>Future Issuance under Equity Compensation</w:t>
            </w:r>
          </w:p>
        </w:tc>
        <w:tc>
          <w:tcPr>
            <w:tcW w:w="0" w:type="dxa"/>
            <w:vAlign w:val="bottom"/>
          </w:tcPr>
          <w:p>
            <w:pPr>
              <w:spacing w:after="0"/>
              <w:rPr>
                <w:sz w:val="1"/>
                <w:szCs w:val="1"/>
                <w:color w:val="auto"/>
              </w:rPr>
            </w:pPr>
          </w:p>
        </w:tc>
      </w:tr>
      <w:tr>
        <w:trPr>
          <w:trHeight w:val="95"/>
        </w:trPr>
        <w:tc>
          <w:tcPr>
            <w:tcW w:w="1720" w:type="dxa"/>
            <w:vAlign w:val="bottom"/>
            <w:vMerge w:val="restart"/>
          </w:tcPr>
          <w:p>
            <w:pPr>
              <w:spacing w:after="0"/>
              <w:rPr>
                <w:sz w:val="20"/>
                <w:szCs w:val="20"/>
                <w:color w:val="auto"/>
              </w:rPr>
            </w:pPr>
            <w:r>
              <w:rPr>
                <w:rFonts w:ascii="Arial" w:cs="Arial" w:eastAsia="Arial" w:hAnsi="Arial"/>
                <w:sz w:val="10"/>
                <w:szCs w:val="10"/>
                <w:b w:val="1"/>
                <w:bCs w:val="1"/>
                <w:color w:val="auto"/>
              </w:rPr>
              <w:t>Plan Category</w:t>
            </w:r>
          </w:p>
        </w:tc>
        <w:tc>
          <w:tcPr>
            <w:tcW w:w="3140" w:type="dxa"/>
            <w:vAlign w:val="bottom"/>
          </w:tcPr>
          <w:p>
            <w:pPr>
              <w:jc w:val="center"/>
              <w:ind w:left="991"/>
              <w:spacing w:after="0" w:line="96" w:lineRule="exact"/>
              <w:rPr>
                <w:sz w:val="20"/>
                <w:szCs w:val="20"/>
                <w:color w:val="auto"/>
              </w:rPr>
            </w:pPr>
            <w:r>
              <w:rPr>
                <w:rFonts w:ascii="Arial" w:cs="Arial" w:eastAsia="Arial" w:hAnsi="Arial"/>
                <w:sz w:val="10"/>
                <w:szCs w:val="10"/>
                <w:b w:val="1"/>
                <w:bCs w:val="1"/>
                <w:color w:val="auto"/>
                <w:w w:val="98"/>
              </w:rPr>
              <w:t>Exercise of Outstanding Options, Warrants</w:t>
            </w:r>
          </w:p>
        </w:tc>
        <w:tc>
          <w:tcPr>
            <w:tcW w:w="2100" w:type="dxa"/>
            <w:vAlign w:val="bottom"/>
            <w:vMerge w:val="continue"/>
          </w:tcPr>
          <w:p>
            <w:pPr>
              <w:spacing w:after="0"/>
              <w:rPr>
                <w:sz w:val="8"/>
                <w:szCs w:val="8"/>
                <w:color w:val="auto"/>
              </w:rPr>
            </w:pPr>
          </w:p>
        </w:tc>
        <w:tc>
          <w:tcPr>
            <w:tcW w:w="22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9"/>
              </w:rPr>
              <w:t>Plans (excluding securities reflected in column</w:t>
            </w:r>
          </w:p>
        </w:tc>
        <w:tc>
          <w:tcPr>
            <w:tcW w:w="0" w:type="dxa"/>
            <w:vAlign w:val="bottom"/>
          </w:tcPr>
          <w:p>
            <w:pPr>
              <w:spacing w:after="0"/>
              <w:rPr>
                <w:sz w:val="1"/>
                <w:szCs w:val="1"/>
                <w:color w:val="auto"/>
              </w:rPr>
            </w:pPr>
          </w:p>
        </w:tc>
      </w:tr>
      <w:tr>
        <w:trPr>
          <w:trHeight w:val="130"/>
        </w:trPr>
        <w:tc>
          <w:tcPr>
            <w:tcW w:w="1720" w:type="dxa"/>
            <w:vAlign w:val="bottom"/>
            <w:vMerge w:val="continue"/>
          </w:tcPr>
          <w:p>
            <w:pPr>
              <w:spacing w:after="0"/>
              <w:rPr>
                <w:sz w:val="11"/>
                <w:szCs w:val="11"/>
                <w:color w:val="auto"/>
              </w:rPr>
            </w:pPr>
          </w:p>
        </w:tc>
        <w:tc>
          <w:tcPr>
            <w:tcW w:w="3140" w:type="dxa"/>
            <w:vAlign w:val="bottom"/>
          </w:tcPr>
          <w:p>
            <w:pPr>
              <w:jc w:val="center"/>
              <w:ind w:left="971"/>
              <w:spacing w:after="0"/>
              <w:rPr>
                <w:sz w:val="20"/>
                <w:szCs w:val="20"/>
                <w:color w:val="auto"/>
              </w:rPr>
            </w:pPr>
            <w:r>
              <w:rPr>
                <w:rFonts w:ascii="Arial" w:cs="Arial" w:eastAsia="Arial" w:hAnsi="Arial"/>
                <w:sz w:val="10"/>
                <w:szCs w:val="10"/>
                <w:b w:val="1"/>
                <w:bCs w:val="1"/>
                <w:color w:val="auto"/>
              </w:rPr>
              <w:t>and Rights</w:t>
            </w:r>
          </w:p>
        </w:tc>
        <w:tc>
          <w:tcPr>
            <w:tcW w:w="2100" w:type="dxa"/>
            <w:vAlign w:val="bottom"/>
          </w:tcPr>
          <w:p>
            <w:pPr>
              <w:jc w:val="center"/>
              <w:spacing w:after="0"/>
              <w:rPr>
                <w:sz w:val="20"/>
                <w:szCs w:val="20"/>
                <w:color w:val="auto"/>
              </w:rPr>
            </w:pPr>
            <w:r>
              <w:rPr>
                <w:rFonts w:ascii="Arial" w:cs="Arial" w:eastAsia="Arial" w:hAnsi="Arial"/>
                <w:sz w:val="10"/>
                <w:szCs w:val="10"/>
                <w:b w:val="1"/>
                <w:bCs w:val="1"/>
                <w:color w:val="auto"/>
                <w:w w:val="98"/>
              </w:rPr>
              <w:t>Outstanding Options, Warrants and Rights</w:t>
            </w:r>
          </w:p>
        </w:tc>
        <w:tc>
          <w:tcPr>
            <w:tcW w:w="2240" w:type="dxa"/>
            <w:vAlign w:val="bottom"/>
          </w:tcPr>
          <w:p>
            <w:pPr>
              <w:jc w:val="center"/>
              <w:spacing w:after="0"/>
              <w:rPr>
                <w:sz w:val="20"/>
                <w:szCs w:val="20"/>
                <w:color w:val="auto"/>
              </w:rPr>
            </w:pPr>
            <w:r>
              <w:rPr>
                <w:rFonts w:ascii="Arial" w:cs="Arial" w:eastAsia="Arial" w:hAnsi="Arial"/>
                <w:sz w:val="10"/>
                <w:szCs w:val="10"/>
                <w:b w:val="1"/>
                <w:bCs w:val="1"/>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Equity compensation plans approved by security holders:</w:t>
      </w:r>
    </w:p>
    <w:p>
      <w:pPr>
        <w:spacing w:after="0" w:line="20" w:lineRule="exact"/>
        <w:rPr>
          <w:sz w:val="20"/>
          <w:szCs w:val="20"/>
          <w:color w:val="auto"/>
        </w:rPr>
      </w:pPr>
    </w:p>
    <w:p>
      <w:pPr>
        <w:ind w:left="20" w:right="160" w:firstLine="85"/>
        <w:spacing w:after="0" w:line="312" w:lineRule="auto"/>
        <w:rPr>
          <w:sz w:val="20"/>
          <w:szCs w:val="20"/>
          <w:color w:val="auto"/>
        </w:rPr>
      </w:pPr>
      <w:r>
        <w:rPr>
          <w:rFonts w:ascii="Arial" w:cs="Arial" w:eastAsia="Arial" w:hAnsi="Arial"/>
          <w:sz w:val="13"/>
          <w:szCs w:val="13"/>
          <w:color w:val="auto"/>
        </w:rPr>
        <w:t>Capital Bancorp, Inc. 2017 Stock and Incentive Compensation Plan Equity compensation plans not approved by security holders</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140" w:type="dxa"/>
            <w:vAlign w:val="bottom"/>
          </w:tcPr>
          <w:p>
            <w:pPr>
              <w:jc w:val="right"/>
              <w:ind w:right="916"/>
              <w:spacing w:after="0"/>
              <w:rPr>
                <w:sz w:val="20"/>
                <w:szCs w:val="20"/>
                <w:color w:val="auto"/>
              </w:rPr>
            </w:pPr>
            <w:r>
              <w:rPr>
                <w:rFonts w:ascii="Arial" w:cs="Arial" w:eastAsia="Arial" w:hAnsi="Arial"/>
                <w:sz w:val="13"/>
                <w:szCs w:val="13"/>
                <w:color w:val="auto"/>
              </w:rPr>
              <w:t>(a)</w:t>
            </w:r>
          </w:p>
        </w:tc>
        <w:tc>
          <w:tcPr>
            <w:tcW w:w="540" w:type="dxa"/>
            <w:vAlign w:val="bottom"/>
          </w:tcPr>
          <w:p>
            <w:pPr>
              <w:spacing w:after="0"/>
              <w:rPr>
                <w:sz w:val="13"/>
                <w:szCs w:val="13"/>
                <w:color w:val="auto"/>
              </w:rPr>
            </w:pPr>
          </w:p>
        </w:tc>
        <w:tc>
          <w:tcPr>
            <w:tcW w:w="2060" w:type="dxa"/>
            <w:vAlign w:val="bottom"/>
          </w:tcPr>
          <w:p>
            <w:pPr>
              <w:jc w:val="right"/>
              <w:ind w:right="1396"/>
              <w:spacing w:after="0"/>
              <w:rPr>
                <w:sz w:val="20"/>
                <w:szCs w:val="20"/>
                <w:color w:val="auto"/>
              </w:rPr>
            </w:pPr>
            <w:r>
              <w:rPr>
                <w:rFonts w:ascii="Arial" w:cs="Arial" w:eastAsia="Arial" w:hAnsi="Arial"/>
                <w:sz w:val="13"/>
                <w:szCs w:val="13"/>
                <w:color w:val="auto"/>
              </w:rPr>
              <w:t>(b)</w:t>
            </w:r>
          </w:p>
        </w:tc>
        <w:tc>
          <w:tcPr>
            <w:tcW w:w="1760" w:type="dxa"/>
            <w:vAlign w:val="bottom"/>
          </w:tcPr>
          <w:p>
            <w:pPr>
              <w:jc w:val="right"/>
              <w:ind w:right="996"/>
              <w:spacing w:after="0"/>
              <w:rPr>
                <w:sz w:val="20"/>
                <w:szCs w:val="20"/>
                <w:color w:val="auto"/>
              </w:rPr>
            </w:pPr>
            <w:r>
              <w:rPr>
                <w:rFonts w:ascii="Arial" w:cs="Arial" w:eastAsia="Arial" w:hAnsi="Arial"/>
                <w:sz w:val="13"/>
                <w:szCs w:val="13"/>
                <w:color w:val="auto"/>
              </w:rPr>
              <w:t>(c)</w:t>
            </w:r>
          </w:p>
        </w:tc>
      </w:tr>
      <w:tr>
        <w:trPr>
          <w:trHeight w:val="361"/>
        </w:trPr>
        <w:tc>
          <w:tcPr>
            <w:tcW w:w="2140" w:type="dxa"/>
            <w:vAlign w:val="bottom"/>
          </w:tcPr>
          <w:p>
            <w:pPr>
              <w:jc w:val="right"/>
              <w:spacing w:after="0"/>
              <w:rPr>
                <w:sz w:val="20"/>
                <w:szCs w:val="20"/>
                <w:color w:val="auto"/>
              </w:rPr>
            </w:pPr>
            <w:r>
              <w:rPr>
                <w:rFonts w:ascii="Arial" w:cs="Arial" w:eastAsia="Arial" w:hAnsi="Arial"/>
                <w:sz w:val="13"/>
                <w:szCs w:val="13"/>
                <w:color w:val="auto"/>
              </w:rPr>
              <w:t>811,160</w:t>
            </w:r>
          </w:p>
        </w:tc>
        <w:tc>
          <w:tcPr>
            <w:tcW w:w="5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2060" w:type="dxa"/>
            <w:vAlign w:val="bottom"/>
          </w:tcPr>
          <w:p>
            <w:pPr>
              <w:jc w:val="right"/>
              <w:ind w:right="496"/>
              <w:spacing w:after="0"/>
              <w:rPr>
                <w:sz w:val="20"/>
                <w:szCs w:val="20"/>
                <w:color w:val="auto"/>
              </w:rPr>
            </w:pPr>
            <w:r>
              <w:rPr>
                <w:rFonts w:ascii="Arial" w:cs="Arial" w:eastAsia="Arial" w:hAnsi="Arial"/>
                <w:sz w:val="13"/>
                <w:szCs w:val="13"/>
                <w:color w:val="auto"/>
              </w:rPr>
              <w:t>15.37</w:t>
            </w:r>
          </w:p>
        </w:tc>
        <w:tc>
          <w:tcPr>
            <w:tcW w:w="1760" w:type="dxa"/>
            <w:vAlign w:val="bottom"/>
          </w:tcPr>
          <w:p>
            <w:pPr>
              <w:jc w:val="right"/>
              <w:spacing w:after="0"/>
              <w:rPr>
                <w:sz w:val="20"/>
                <w:szCs w:val="20"/>
                <w:color w:val="auto"/>
              </w:rPr>
            </w:pPr>
            <w:r>
              <w:rPr>
                <w:rFonts w:ascii="Arial" w:cs="Arial" w:eastAsia="Arial" w:hAnsi="Arial"/>
                <w:sz w:val="13"/>
                <w:szCs w:val="13"/>
                <w:color w:val="auto"/>
              </w:rPr>
              <w:t>896,462</w:t>
            </w:r>
          </w:p>
        </w:tc>
      </w:tr>
      <w:tr>
        <w:trPr>
          <w:trHeight w:val="172"/>
        </w:trPr>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811,160</w:t>
            </w:r>
          </w:p>
        </w:tc>
        <w:tc>
          <w:tcPr>
            <w:tcW w:w="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w:t>
            </w:r>
          </w:p>
        </w:tc>
        <w:tc>
          <w:tcPr>
            <w:tcW w:w="20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14.77</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896,462</w:t>
            </w: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-370205</wp:posOffset>
            </wp:positionV>
            <wp:extent cx="7161530" cy="121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-140970</wp:posOffset>
            </wp:positionV>
            <wp:extent cx="7161530"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720"/>
            <w:col w:w="6500"/>
          </w:cols>
          <w:pgMar w:left="300" w:top="130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Unregistered Sales and Issuer Repurchases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There were no unregistered sales of the Company’s stock during the year ended December 31, 2022.</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July 25, 2022, the Company announced a new stock repurchase program. Under the new program, the Company is authorized to repurchase up to $10.0 million of its outstanding common stock, par value $0.01 per share (“Common Stock”). The program will expire on December 31, 2023. For the year ended December 31, 2022 there were no stock repurchases.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6. [Reserved]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7. MANAGEMENT’S DISCUSSION AND ANALYSIS OF FINANCIAL CONDITION AND RESULTS OF OPERATIONS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discussion and analysis is intended as a review of significant factors affecting the Company’s financial condition and results of operations for the periods indicated.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This discussion and analysis should be read in conjunction with the accompanying consolidated financial statements and the related notes.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Executive Summary</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summary should be read in conjunction with the Management’s Discussion and Analysis of Financial Condition and Results of Operations section in its entirety.</w:t>
      </w:r>
    </w:p>
    <w:p>
      <w:pPr>
        <w:spacing w:after="0" w:line="17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Net income for the year ended December 31, 2022 increased $ 1.8 million, or 4.6% when compared to the prior year, due primarily to an increase in average balances in the loan portfolio, an increase in credit card interest, and a decrease in data processing. These positive factors were offset by an increase in rates for all interest-bearing liabilities, a decrease in mortgage banking revenue, a decrease in credit card fees, an increase in the provision for loan losses, and increases in salaries and employee benefits and advertising. During the year ended December 31, 2022, continued focus on growing the Company’s commercial real estate loan portfolio, specifically owner-occupied properties, led to growth of the Bank’s commercial real estate loan portfolio by $108.2 million, of which $87.6 million was owner-occupied. Our credit card portfolio declined by $ 12.7 million in comparison to December 31, 2021; however, increases in interest rates helped to offset the impact of the declining balance and corresponding credit card fees. The decrease in data processing expenses was primarily due to a contract renegotiation entered into in the first quarter of 2022.</w:t>
      </w:r>
    </w:p>
    <w:p>
      <w:pPr>
        <w:spacing w:after="0" w:line="161"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net interest margin was 6.92% for the year ended December 31, 2022 compared to 5.86% for the prior year. Primarily driving this margin expansion were increases in average portfolio loan balances of $208.7 million and a 73 basis point increase in the loan yield on the portfolio loans, while the average interest rates across all interest-bearing liabilities only increased 35 basis points. Leading the increase in average portfolio balances was commercial real estate with an average balance increase of $156.9 million when comparing the year ended December 31, 2022 to December 31, 2021. Increasing interest rates contributed to sharp increases in the cost of funds associated with our interest-bearing deposit portfolio and resulted in a 22 basis point increase between 2021 and 2022. The increase in rates for money market accounts was the most significant contributor to the over-all increase in our cost of funds.</w:t>
      </w:r>
    </w:p>
    <w:p>
      <w:pPr>
        <w:spacing w:after="0" w:line="16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Total assets grew by $68.4 million while total liabilities grew by $42.2 million when comparing year end 2022 to 2021. Total asset growth was primarily due to an increase in portfolio loans held for investment of $203.4 million and investment securities available for sale of $68.0 million, offset by net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32" w:name="page33"/>
    <w:bookmarkEnd w:id="32"/>
    <w:p>
      <w:pPr>
        <w:jc w:val="both"/>
        <w:spacing w:after="0" w:line="266" w:lineRule="auto"/>
        <w:rPr>
          <w:sz w:val="20"/>
          <w:szCs w:val="20"/>
          <w:color w:val="auto"/>
        </w:rPr>
      </w:pPr>
      <w:r>
        <w:rPr>
          <w:rFonts w:ascii="Arial" w:cs="Arial" w:eastAsia="Arial" w:hAnsi="Arial"/>
          <w:sz w:val="14"/>
          <w:szCs w:val="14"/>
          <w:color w:val="auto"/>
        </w:rPr>
        <w:t>SBA-PPP run off of $106.1 million. Total liability growth was due, in part, to an increase in Federal Home Loan Bank advances of $85.0 million when comparing December 31, 2022 to December 31, 2021.</w:t>
      </w:r>
    </w:p>
    <w:p>
      <w:pPr>
        <w:spacing w:after="0" w:line="144"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The Bank’s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Division continued to exceed management’s expectations during 2022 despite headwinds brought on by significant interest rate increases and economic uncertainty.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had a record year of profitability in 2022, resulting in an increase of $8.4 million in net income for the segment. Average credit card loan balances increased in 2022 compared to 2021, and that increase, coupled with the increase in interest rates, accounted for $15.1 million growth in interest income compared to the year ended December 31, 2021. Normal customer attrition and aggressive marketing and product strategies by fintech and credit card companies offering unsecured subprime credit cards have contributed to the continued decline in the total number of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accounts, particularly in late 2022. Active customer accounts decreased by 127 thousand when comparing the year end balance 2022 to 2021, leading to a decline in revenues earned from interchange and other fees. Ultimately, outstanding year end credit card balances decreased $12.7 million, net of reserves, while the noninterest-bearing deposits associated therewith decreased by $42.1 million to $187.4 million at December 31, 2022 from $229.5 million at December 31, 2021.</w:t>
      </w:r>
    </w:p>
    <w:p>
      <w:pPr>
        <w:spacing w:after="0" w:line="271"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Bank’s Capital Bank Home Loans division saw a decline in mortgage originations during the year ended December 31, 2022 when compared to the prior year. The steepening of the yield curve in 2022 resulted in continued decline in home loan sales and home loan refinances. Gain on sale margins, down slightly from 2.79% for the twelve months ended December 31, 2021, remained strong at 2.34% for the twelve months ended December 31, 2022. Historically-low housing inventory, shortages in new home building materials, and fluctuating interest rates are likely to continue suppressing origination volumes into 2023.</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Critical Accounting Policies</w:t>
      </w:r>
    </w:p>
    <w:p>
      <w:pPr>
        <w:spacing w:after="0" w:line="19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accounting and reporting policies of the Company are in accordance with U.S.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other items.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deemed necessary. Management has discussed the Company’s critical accounting policies and estimates with the Audit Committee of the Board of Directors of the Company.</w:t>
      </w:r>
    </w:p>
    <w:p>
      <w:pPr>
        <w:spacing w:after="0" w:line="16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Company’s accounting policies are fundamental to understanding the Company’s consolidated financial position and consolidated results of operations. Accordingly, the Company’s significant accounting policies are discussed in detail in “Note 1 - Nature of Business and Basis of Presentation” in the “Notes to the Consolidated Financial Statements” contained in Part II, Item 8 "Financial Statements and Supplementary Data".</w:t>
      </w:r>
    </w:p>
    <w:p>
      <w:pPr>
        <w:spacing w:after="0" w:line="15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critical accounting and reporting policies include the Company’s accounting for the allowance for loan losses. The Company provides additional information on its allowance for loan losses in “Note 1 - Nature of Business and Basis of Presentation” in the “Notes to the Consolidated Financial Statements” contained in Part II,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33" w:name="page34"/>
    <w:bookmarkEnd w:id="33"/>
    <w:p>
      <w:pPr>
        <w:ind w:left="260"/>
        <w:spacing w:after="0"/>
        <w:rPr>
          <w:sz w:val="20"/>
          <w:szCs w:val="20"/>
          <w:color w:val="auto"/>
        </w:rPr>
      </w:pPr>
      <w:r>
        <w:rPr>
          <w:rFonts w:ascii="Arial" w:cs="Arial" w:eastAsia="Arial" w:hAnsi="Arial"/>
          <w:sz w:val="14"/>
          <w:szCs w:val="14"/>
          <w:b w:val="1"/>
          <w:bCs w:val="1"/>
          <w:color w:val="auto"/>
        </w:rPr>
        <w:t>Recent Accounting Pronouncements</w:t>
      </w:r>
    </w:p>
    <w:p>
      <w:pPr>
        <w:spacing w:after="0" w:line="197"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For a discussion of Recent Accounting Pronouncements, see “Part II, Item 8. Financial Statements and Supplementary Data - Notes to Financial Statements - Note 1. Summary of Significant Accounting Policies.”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Results of Operations for the Years Ended December 31, 2022 and 2021</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Income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the principal components of net income for the periods indicated.</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1"/>
                <w:szCs w:val="11"/>
                <w:b w:val="1"/>
                <w:bCs w:val="1"/>
                <w:color w:val="auto"/>
              </w:rPr>
              <w:t>Years Ended December 31,</w:t>
            </w: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7"/>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 Change</w:t>
            </w:r>
          </w:p>
        </w:tc>
      </w:tr>
      <w:tr>
        <w:trPr>
          <w:trHeight w:val="165"/>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150,646</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123,243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22.2</w:t>
            </w:r>
          </w:p>
        </w:tc>
      </w:tr>
      <w:tr>
        <w:trPr>
          <w:trHeight w:val="16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expense</w:t>
            </w: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10,039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6,550</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53.3</w:t>
            </w:r>
          </w:p>
        </w:tc>
      </w:tr>
      <w:tr>
        <w:trPr>
          <w:trHeight w:val="163"/>
        </w:trPr>
        <w:tc>
          <w:tcPr>
            <w:tcW w:w="64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Net interest income</w:t>
            </w: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140,607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116,693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20.5</w:t>
            </w:r>
          </w:p>
        </w:tc>
      </w:tr>
      <w:tr>
        <w:trPr>
          <w:trHeight w:val="16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loan losses</w:t>
            </w: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3,359</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97.4</w:t>
            </w:r>
          </w:p>
        </w:tc>
      </w:tr>
      <w:tr>
        <w:trPr>
          <w:trHeight w:val="163"/>
        </w:trPr>
        <w:tc>
          <w:tcPr>
            <w:tcW w:w="64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Net interest income after provision</w:t>
            </w: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133,976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18.2</w:t>
            </w:r>
          </w:p>
        </w:tc>
      </w:tr>
      <w:tr>
        <w:trPr>
          <w:trHeight w:val="168"/>
        </w:trPr>
        <w:tc>
          <w:tcPr>
            <w:tcW w:w="6400" w:type="dxa"/>
            <w:vAlign w:val="bottom"/>
          </w:tcPr>
          <w:p>
            <w:pPr>
              <w:ind w:left="20"/>
              <w:spacing w:after="0"/>
              <w:rPr>
                <w:sz w:val="20"/>
                <w:szCs w:val="20"/>
                <w:color w:val="auto"/>
              </w:rPr>
            </w:pPr>
            <w:r>
              <w:rPr>
                <w:rFonts w:ascii="Arial" w:cs="Arial" w:eastAsia="Arial" w:hAnsi="Arial"/>
                <w:sz w:val="13"/>
                <w:szCs w:val="13"/>
                <w:color w:val="auto"/>
              </w:rPr>
              <w:t>Noninterest income</w:t>
            </w:r>
          </w:p>
        </w:tc>
        <w:tc>
          <w:tcPr>
            <w:tcW w:w="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29,372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50,636</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-42.0</w:t>
            </w:r>
          </w:p>
        </w:tc>
      </w:tr>
      <w:tr>
        <w:trPr>
          <w:trHeight w:val="172"/>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expense</w:t>
            </w:r>
          </w:p>
        </w:tc>
        <w:tc>
          <w:tcPr>
            <w:tcW w:w="4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109,114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110,094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-0.9</w:t>
            </w:r>
          </w:p>
        </w:tc>
      </w:tr>
      <w:tr>
        <w:trPr>
          <w:trHeight w:val="158"/>
        </w:trPr>
        <w:tc>
          <w:tcPr>
            <w:tcW w:w="6400" w:type="dxa"/>
            <w:vAlign w:val="bottom"/>
          </w:tcPr>
          <w:p>
            <w:pPr>
              <w:ind w:left="180"/>
              <w:spacing w:after="0"/>
              <w:rPr>
                <w:sz w:val="20"/>
                <w:szCs w:val="20"/>
                <w:color w:val="auto"/>
              </w:rPr>
            </w:pPr>
            <w:r>
              <w:rPr>
                <w:rFonts w:ascii="Arial" w:cs="Arial" w:eastAsia="Arial" w:hAnsi="Arial"/>
                <w:sz w:val="13"/>
                <w:szCs w:val="13"/>
                <w:b w:val="1"/>
                <w:bCs w:val="1"/>
                <w:color w:val="auto"/>
              </w:rPr>
              <w:t>Net income before income taxes</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54,234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53,876</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0.7</w:t>
            </w:r>
          </w:p>
        </w:tc>
      </w:tr>
      <w:tr>
        <w:trPr>
          <w:trHeight w:val="170"/>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4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12,430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13,898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163"/>
        </w:trPr>
        <w:tc>
          <w:tcPr>
            <w:tcW w:w="6400" w:type="dxa"/>
            <w:vAlign w:val="bottom"/>
          </w:tcPr>
          <w:p>
            <w:pPr>
              <w:ind w:left="180"/>
              <w:spacing w:after="0"/>
              <w:rPr>
                <w:sz w:val="20"/>
                <w:szCs w:val="20"/>
                <w:color w:val="auto"/>
              </w:rPr>
            </w:pPr>
            <w:r>
              <w:rPr>
                <w:rFonts w:ascii="Arial" w:cs="Arial" w:eastAsia="Arial" w:hAnsi="Arial"/>
                <w:sz w:val="13"/>
                <w:szCs w:val="13"/>
                <w:b w:val="1"/>
                <w:bCs w:val="1"/>
                <w:color w:val="auto"/>
              </w:rPr>
              <w:t>Net income</w:t>
            </w: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41,804</w:t>
            </w:r>
          </w:p>
        </w:tc>
        <w:tc>
          <w:tcPr>
            <w:tcW w:w="4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39,978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4.6</w:t>
            </w:r>
          </w:p>
        </w:tc>
      </w:tr>
      <w:tr>
        <w:trPr>
          <w:trHeight w:val="20"/>
        </w:trPr>
        <w:tc>
          <w:tcPr>
            <w:tcW w:w="6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right="80" w:firstLine="255"/>
        <w:spacing w:after="0" w:line="256" w:lineRule="auto"/>
        <w:rPr>
          <w:sz w:val="20"/>
          <w:szCs w:val="20"/>
          <w:color w:val="auto"/>
        </w:rPr>
      </w:pPr>
      <w:r>
        <w:rPr>
          <w:rFonts w:ascii="Arial" w:cs="Arial" w:eastAsia="Arial" w:hAnsi="Arial"/>
          <w:sz w:val="14"/>
          <w:szCs w:val="14"/>
          <w:color w:val="auto"/>
        </w:rPr>
        <w:t>Net income for the year ended December 31, 2022 was $41.8 million, compared to net income for the year ended December 31, 2021 of $40.0 million. The increase in net interest income was primarily due to the increase in average loans outstanding in the loan portfolio year over year, an increase in credit card interest income, and a reduction in data processing expenses. Year over year growth in portfolio loan volumes contributed $ 24.4 million to the increase in net interest income, with $15.1 million attributable to the credit card portfolio, which benefited from increased interest rates and an increase in average credit card balances. Data processing expenses decreased $9.8 million primarily due to contract renegotiations completed in the first quarter of 2022.</w:t>
      </w:r>
    </w:p>
    <w:p>
      <w:pPr>
        <w:spacing w:after="0" w:line="160" w:lineRule="exact"/>
        <w:rPr>
          <w:sz w:val="20"/>
          <w:szCs w:val="20"/>
          <w:color w:val="auto"/>
        </w:rPr>
      </w:pPr>
    </w:p>
    <w:p>
      <w:pPr>
        <w:jc w:val="both"/>
        <w:ind w:right="80" w:firstLine="255"/>
        <w:spacing w:after="0" w:line="255" w:lineRule="auto"/>
        <w:rPr>
          <w:sz w:val="20"/>
          <w:szCs w:val="20"/>
          <w:color w:val="auto"/>
        </w:rPr>
      </w:pPr>
      <w:r>
        <w:rPr>
          <w:rFonts w:ascii="Arial" w:cs="Arial" w:eastAsia="Arial" w:hAnsi="Arial"/>
          <w:sz w:val="14"/>
          <w:szCs w:val="14"/>
          <w:color w:val="auto"/>
        </w:rPr>
        <w:t>Offsetting factors included a decrease in mortgage banking revenue of $ 16.0 million and an increase in the cost of interest-bearing liabilities of $3.5 million when comparing 2022 to 2021. The increased cost of interest-bearing liabilities was the result of the increase in market interest rates. The provision for loan losses increased $3.3 million due to economic uncertainty, particularly in respect of the credit card portfolio. A decrease in overall credit card accounts led to the reduction in credit card fees of $5.9 million for the year ended December 31, 2022 in comparison to 2021. Advertising increased $1.4 million due primarily to increased competition for credit card customers. Salaries and employee benefits increased $5.1 million for the year ended December 31, 2022 in comparison to 2021 as the Company increased its overall headcount by 60, hiring commercial lending teams as well as senior management officials and staff at the Bank. Professional fees increased $4.0 million, primarily in consequence of efforts to enhance the Bank’s regulatory compliance function and its technology infrastructure.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Interest Income and Net Margin Analysis</w:t>
      </w:r>
    </w:p>
    <w:p>
      <w:pPr>
        <w:spacing w:after="0" w:line="193" w:lineRule="exact"/>
        <w:rPr>
          <w:sz w:val="20"/>
          <w:szCs w:val="20"/>
          <w:color w:val="auto"/>
        </w:rPr>
      </w:pPr>
    </w:p>
    <w:p>
      <w:pPr>
        <w:jc w:val="both"/>
        <w:ind w:right="100" w:firstLine="255"/>
        <w:spacing w:after="0" w:line="259" w:lineRule="auto"/>
        <w:rPr>
          <w:sz w:val="20"/>
          <w:szCs w:val="20"/>
          <w:color w:val="auto"/>
        </w:rPr>
      </w:pPr>
      <w:r>
        <w:rPr>
          <w:rFonts w:ascii="Arial" w:cs="Arial" w:eastAsia="Arial" w:hAnsi="Arial"/>
          <w:sz w:val="14"/>
          <w:szCs w:val="14"/>
          <w:color w:val="auto"/>
        </w:rPr>
        <w:t>Net interest income is the difference between interest income on earning assets and the cost of funds supporting those assets. Earning assets are composed primarily of loans, loans held for sale, investment securities, and interest-bearing deposits with banks. The cost of funds represents interest expense on deposits and borrowings, which consist of federal funds purchased, advances from the FHLB, and subordinated notes. Noninterest-bearing deposits and capital also provide sources of funding.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309" w:right="239" w:bottom="1440" w:gutter="0" w:footer="0" w:header="0"/>
        </w:sectPr>
      </w:pPr>
    </w:p>
    <w:bookmarkStart w:id="34" w:name="page35"/>
    <w:bookmarkEnd w:id="34"/>
    <w:p>
      <w:pPr>
        <w:jc w:val="both"/>
        <w:ind w:right="40" w:firstLine="255"/>
        <w:spacing w:after="0" w:line="259" w:lineRule="auto"/>
        <w:rPr>
          <w:sz w:val="20"/>
          <w:szCs w:val="20"/>
          <w:color w:val="auto"/>
        </w:rPr>
      </w:pPr>
      <w:r>
        <w:rPr>
          <w:rFonts w:ascii="Arial" w:cs="Arial" w:eastAsia="Arial" w:hAnsi="Arial"/>
          <w:sz w:val="14"/>
          <w:szCs w:val="14"/>
          <w:color w:val="auto"/>
        </w:rPr>
        <w:t>We analyze our ability to maximize income generated from interest earning assets and control the interest expenses of our liabilities, measured as net interest income, through our net interest margin and net interest spread. Net interest margin is a ratio calculated as net interest income annualized divided by average interest earning assets for the same period. Net interest spread is the difference between average interest rates earned on interest earning assets and average interest rates paid on interest-bearing liabilities.</w:t>
      </w:r>
    </w:p>
    <w:p>
      <w:pPr>
        <w:spacing w:after="0" w:line="15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Changes in market interest rates and the interest rates we earn on interest earning assets or pay on interest-bearing liabilities, as well as in the volume and mix of interest earning assets, interest-bearing and noninterest-bearing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net interest income and net interest margin.</w:t>
      </w:r>
    </w:p>
    <w:p>
      <w:pPr>
        <w:spacing w:after="0" w:line="16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table below presents the average balances and weighted average rates of the major categories of the Company’s assets, liabilities and stockholders’ equity for the years ended December 31, 2022 and 2021. Weighted average yields are derived by dividing annualized income by the average balance of the related assets, and weighted average rates are derived by dividing annualized expense by the average balance of the related liabilities, for the periods shown. Average outstanding balances are derived by utilizing average daily balances for the time periods shown. The weighted average yields and rates include amortization of fees, costs, premiums and discounts, which are considered adjustments to yield/rates. Weighted average yields on tax-exempt securities are not calculated on a fully taxable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35" w:name="page36"/>
    <w:bookmarkEnd w:id="35"/>
    <w:p>
      <w:pPr>
        <w:jc w:val="center"/>
        <w:ind w:right="-259"/>
        <w:spacing w:after="0"/>
        <w:rPr>
          <w:sz w:val="20"/>
          <w:szCs w:val="20"/>
          <w:color w:val="auto"/>
        </w:rPr>
      </w:pPr>
      <w:r>
        <w:rPr>
          <w:rFonts w:ascii="Arial" w:cs="Arial" w:eastAsia="Arial" w:hAnsi="Arial"/>
          <w:sz w:val="14"/>
          <w:szCs w:val="14"/>
          <w:b w:val="1"/>
          <w:bCs w:val="1"/>
          <w:color w:val="auto"/>
        </w:rPr>
        <w:t>AVERAGE BALANCE SHEET AND NET INTEREST ANALYSIS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ind w:left="440"/>
              <w:spacing w:after="0"/>
              <w:rPr>
                <w:sz w:val="20"/>
                <w:szCs w:val="20"/>
                <w:color w:val="auto"/>
              </w:rPr>
            </w:pPr>
            <w:r>
              <w:rPr>
                <w:rFonts w:ascii="Arial" w:cs="Arial" w:eastAsia="Arial" w:hAnsi="Arial"/>
                <w:sz w:val="11"/>
                <w:szCs w:val="11"/>
                <w:b w:val="1"/>
                <w:bCs w:val="1"/>
                <w:color w:val="auto"/>
              </w:rPr>
              <w:t>Years Ended December 31,</w:t>
            </w: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tcPr>
          <w:p>
            <w:pPr>
              <w:jc w:val="center"/>
              <w:ind w:right="340"/>
              <w:spacing w:after="0" w:line="112" w:lineRule="exact"/>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9"/>
                <w:szCs w:val="9"/>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Interest Income/</w:t>
            </w:r>
          </w:p>
        </w:tc>
        <w:tc>
          <w:tcPr>
            <w:tcW w:w="1180" w:type="dxa"/>
            <w:vAlign w:val="bottom"/>
          </w:tcPr>
          <w:p>
            <w:pPr>
              <w:jc w:val="center"/>
              <w:ind w:right="3"/>
              <w:spacing w:after="0" w:line="112" w:lineRule="exact"/>
              <w:rPr>
                <w:sz w:val="20"/>
                <w:szCs w:val="20"/>
                <w:color w:val="auto"/>
              </w:rPr>
            </w:pPr>
            <w:r>
              <w:rPr>
                <w:rFonts w:ascii="Arial" w:cs="Arial" w:eastAsia="Arial" w:hAnsi="Arial"/>
                <w:sz w:val="11"/>
                <w:szCs w:val="11"/>
                <w:b w:val="1"/>
                <w:bCs w:val="1"/>
                <w:color w:val="auto"/>
              </w:rPr>
              <w:t>Average</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340"/>
              <w:spacing w:after="0" w:line="112" w:lineRule="exact"/>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9"/>
                <w:szCs w:val="9"/>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Interest Income/</w:t>
            </w:r>
          </w:p>
        </w:tc>
        <w:tc>
          <w:tcPr>
            <w:tcW w:w="118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16"/>
        </w:trPr>
        <w:tc>
          <w:tcPr>
            <w:tcW w:w="352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 in thousands)</w:t>
            </w:r>
          </w:p>
        </w:tc>
        <w:tc>
          <w:tcPr>
            <w:tcW w:w="220" w:type="dxa"/>
            <w:vAlign w:val="bottom"/>
          </w:tcPr>
          <w:p>
            <w:pPr>
              <w:spacing w:after="0"/>
              <w:rPr>
                <w:sz w:val="10"/>
                <w:szCs w:val="10"/>
                <w:color w:val="auto"/>
              </w:rPr>
            </w:pPr>
          </w:p>
        </w:tc>
        <w:tc>
          <w:tcPr>
            <w:tcW w:w="1300" w:type="dxa"/>
            <w:vAlign w:val="bottom"/>
            <w:gridSpan w:val="2"/>
          </w:tcPr>
          <w:p>
            <w:pPr>
              <w:jc w:val="center"/>
              <w:ind w:right="340"/>
              <w:spacing w:after="0" w:line="116" w:lineRule="exact"/>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Yield/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320"/>
              <w:spacing w:after="0" w:line="116" w:lineRule="exact"/>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8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rPr>
              <w:t>Yield/</w:t>
            </w:r>
          </w:p>
        </w:tc>
        <w:tc>
          <w:tcPr>
            <w:tcW w:w="0" w:type="dxa"/>
            <w:vAlign w:val="bottom"/>
          </w:tcPr>
          <w:p>
            <w:pPr>
              <w:spacing w:after="0"/>
              <w:rPr>
                <w:sz w:val="1"/>
                <w:szCs w:val="1"/>
                <w:color w:val="auto"/>
              </w:rPr>
            </w:pPr>
          </w:p>
        </w:tc>
      </w:tr>
      <w:tr>
        <w:trPr>
          <w:trHeight w:val="149"/>
        </w:trPr>
        <w:tc>
          <w:tcPr>
            <w:tcW w:w="3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9"/>
              </w:rPr>
              <w:t>Balance</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Expense</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Rate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Balance</w:t>
            </w:r>
          </w:p>
        </w:tc>
        <w:tc>
          <w:tcPr>
            <w:tcW w:w="8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Expense</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3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20" w:type="dxa"/>
            <w:vAlign w:val="bottom"/>
          </w:tcPr>
          <w:p>
            <w:pPr>
              <w:ind w:left="20"/>
              <w:spacing w:after="0"/>
              <w:rPr>
                <w:sz w:val="20"/>
                <w:szCs w:val="20"/>
                <w:color w:val="auto"/>
              </w:rPr>
            </w:pPr>
            <w:r>
              <w:rPr>
                <w:rFonts w:ascii="Arial" w:cs="Arial" w:eastAsia="Arial" w:hAnsi="Arial"/>
                <w:sz w:val="11"/>
                <w:szCs w:val="11"/>
                <w:color w:val="auto"/>
              </w:rPr>
              <w:t>Interest earning assets:</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Interest-bearing deposits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156,751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2,007</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1.28 %</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228,420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283</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ind w:left="820"/>
              <w:spacing w:after="0"/>
              <w:rPr>
                <w:sz w:val="20"/>
                <w:szCs w:val="20"/>
                <w:color w:val="auto"/>
              </w:rPr>
            </w:pPr>
            <w:r>
              <w:rPr>
                <w:rFonts w:ascii="Arial" w:cs="Arial" w:eastAsia="Arial" w:hAnsi="Arial"/>
                <w:sz w:val="11"/>
                <w:szCs w:val="11"/>
                <w:color w:val="auto"/>
                <w:w w:val="99"/>
              </w:rPr>
              <w:t>0.12 %</w:t>
            </w:r>
          </w:p>
        </w:tc>
        <w:tc>
          <w:tcPr>
            <w:tcW w:w="0" w:type="dxa"/>
            <w:vAlign w:val="bottom"/>
          </w:tcPr>
          <w:p>
            <w:pPr>
              <w:spacing w:after="0"/>
              <w:rPr>
                <w:sz w:val="1"/>
                <w:szCs w:val="1"/>
                <w:color w:val="auto"/>
              </w:rPr>
            </w:pPr>
          </w:p>
        </w:tc>
      </w:tr>
      <w:tr>
        <w:trPr>
          <w:trHeight w:val="180"/>
        </w:trPr>
        <w:tc>
          <w:tcPr>
            <w:tcW w:w="3520" w:type="dxa"/>
            <w:vAlign w:val="bottom"/>
          </w:tcPr>
          <w:p>
            <w:pPr>
              <w:ind w:left="280"/>
              <w:spacing w:after="0"/>
              <w:rPr>
                <w:sz w:val="20"/>
                <w:szCs w:val="20"/>
                <w:color w:val="auto"/>
              </w:rPr>
            </w:pPr>
            <w:r>
              <w:rPr>
                <w:rFonts w:ascii="Arial" w:cs="Arial" w:eastAsia="Arial" w:hAnsi="Arial"/>
                <w:sz w:val="11"/>
                <w:szCs w:val="11"/>
                <w:color w:val="auto"/>
              </w:rPr>
              <w:t>Federal funds sold</w:t>
            </w:r>
          </w:p>
        </w:tc>
        <w:tc>
          <w:tcPr>
            <w:tcW w:w="220" w:type="dxa"/>
            <w:vAlign w:val="bottom"/>
          </w:tcPr>
          <w:p>
            <w:pPr>
              <w:spacing w:after="0"/>
              <w:rPr>
                <w:sz w:val="15"/>
                <w:szCs w:val="15"/>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2,959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5"/>
                <w:szCs w:val="15"/>
                <w:color w:val="auto"/>
              </w:rPr>
            </w:pPr>
          </w:p>
        </w:tc>
        <w:tc>
          <w:tcPr>
            <w:tcW w:w="1180" w:type="dxa"/>
            <w:vAlign w:val="bottom"/>
          </w:tcPr>
          <w:p>
            <w:pPr>
              <w:jc w:val="right"/>
              <w:ind w:right="103"/>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2,850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18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Investment securities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248,869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3,912</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1.57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150,750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2,010</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ind w:left="820"/>
              <w:spacing w:after="0"/>
              <w:rPr>
                <w:sz w:val="20"/>
                <w:szCs w:val="20"/>
                <w:color w:val="auto"/>
              </w:rPr>
            </w:pPr>
            <w:r>
              <w:rPr>
                <w:rFonts w:ascii="Arial" w:cs="Arial" w:eastAsia="Arial" w:hAnsi="Arial"/>
                <w:sz w:val="11"/>
                <w:szCs w:val="11"/>
                <w:color w:val="auto"/>
              </w:rPr>
              <w:t>1.33</w:t>
            </w:r>
          </w:p>
        </w:tc>
        <w:tc>
          <w:tcPr>
            <w:tcW w:w="0" w:type="dxa"/>
            <w:vAlign w:val="bottom"/>
          </w:tcPr>
          <w:p>
            <w:pPr>
              <w:spacing w:after="0"/>
              <w:rPr>
                <w:sz w:val="1"/>
                <w:szCs w:val="1"/>
                <w:color w:val="auto"/>
              </w:rPr>
            </w:pPr>
          </w:p>
        </w:tc>
      </w:tr>
      <w:tr>
        <w:trPr>
          <w:trHeight w:val="155"/>
        </w:trPr>
        <w:tc>
          <w:tcPr>
            <w:tcW w:w="3520" w:type="dxa"/>
            <w:vAlign w:val="bottom"/>
          </w:tcPr>
          <w:p>
            <w:pPr>
              <w:ind w:left="280"/>
              <w:spacing w:after="0"/>
              <w:rPr>
                <w:sz w:val="20"/>
                <w:szCs w:val="20"/>
                <w:color w:val="auto"/>
              </w:rPr>
            </w:pPr>
            <w:r>
              <w:rPr>
                <w:rFonts w:ascii="Arial" w:cs="Arial" w:eastAsia="Arial" w:hAnsi="Arial"/>
                <w:sz w:val="11"/>
                <w:szCs w:val="11"/>
                <w:color w:val="auto"/>
              </w:rPr>
              <w:t>Restricted investments</w:t>
            </w:r>
          </w:p>
        </w:tc>
        <w:tc>
          <w:tcPr>
            <w:tcW w:w="2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5,475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275</w:t>
            </w:r>
          </w:p>
        </w:tc>
        <w:tc>
          <w:tcPr>
            <w:tcW w:w="120" w:type="dxa"/>
            <w:vAlign w:val="bottom"/>
          </w:tcPr>
          <w:p>
            <w:pPr>
              <w:spacing w:after="0"/>
              <w:rPr>
                <w:sz w:val="13"/>
                <w:szCs w:val="13"/>
                <w:color w:val="auto"/>
              </w:rPr>
            </w:pPr>
          </w:p>
        </w:tc>
        <w:tc>
          <w:tcPr>
            <w:tcW w:w="1180" w:type="dxa"/>
            <w:vAlign w:val="bottom"/>
          </w:tcPr>
          <w:p>
            <w:pPr>
              <w:jc w:val="right"/>
              <w:ind w:right="103"/>
              <w:spacing w:after="0"/>
              <w:rPr>
                <w:sz w:val="20"/>
                <w:szCs w:val="20"/>
                <w:color w:val="auto"/>
              </w:rPr>
            </w:pPr>
            <w:r>
              <w:rPr>
                <w:rFonts w:ascii="Arial" w:cs="Arial" w:eastAsia="Arial" w:hAnsi="Arial"/>
                <w:sz w:val="11"/>
                <w:szCs w:val="11"/>
                <w:color w:val="auto"/>
              </w:rPr>
              <w:t>5.02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3,774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166</w:t>
            </w:r>
          </w:p>
        </w:tc>
        <w:tc>
          <w:tcPr>
            <w:tcW w:w="100" w:type="dxa"/>
            <w:vAlign w:val="bottom"/>
          </w:tcPr>
          <w:p>
            <w:pPr>
              <w:spacing w:after="0"/>
              <w:rPr>
                <w:sz w:val="13"/>
                <w:szCs w:val="13"/>
                <w:color w:val="auto"/>
              </w:rPr>
            </w:pPr>
          </w:p>
        </w:tc>
        <w:tc>
          <w:tcPr>
            <w:tcW w:w="1180" w:type="dxa"/>
            <w:vAlign w:val="bottom"/>
          </w:tcPr>
          <w:p>
            <w:pPr>
              <w:ind w:left="820"/>
              <w:spacing w:after="0"/>
              <w:rPr>
                <w:sz w:val="20"/>
                <w:szCs w:val="20"/>
                <w:color w:val="auto"/>
              </w:rPr>
            </w:pPr>
            <w:r>
              <w:rPr>
                <w:rFonts w:ascii="Arial" w:cs="Arial" w:eastAsia="Arial" w:hAnsi="Arial"/>
                <w:sz w:val="11"/>
                <w:szCs w:val="11"/>
                <w:color w:val="auto"/>
              </w:rPr>
              <w:t>4.40</w:t>
            </w: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Loans held for sale</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9,696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43,126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1,224</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ind w:left="820"/>
              <w:spacing w:after="0"/>
              <w:rPr>
                <w:sz w:val="20"/>
                <w:szCs w:val="20"/>
                <w:color w:val="auto"/>
              </w:rPr>
            </w:pPr>
            <w:r>
              <w:rPr>
                <w:rFonts w:ascii="Arial" w:cs="Arial" w:eastAsia="Arial" w:hAnsi="Arial"/>
                <w:sz w:val="11"/>
                <w:szCs w:val="11"/>
                <w:color w:val="auto"/>
              </w:rPr>
              <w:t>2.84</w:t>
            </w:r>
          </w:p>
        </w:tc>
        <w:tc>
          <w:tcPr>
            <w:tcW w:w="0" w:type="dxa"/>
            <w:vAlign w:val="bottom"/>
          </w:tcPr>
          <w:p>
            <w:pPr>
              <w:spacing w:after="0"/>
              <w:rPr>
                <w:sz w:val="1"/>
                <w:szCs w:val="1"/>
                <w:color w:val="auto"/>
              </w:rPr>
            </w:pPr>
          </w:p>
        </w:tc>
      </w:tr>
      <w:tr>
        <w:trPr>
          <w:trHeight w:val="155"/>
        </w:trPr>
        <w:tc>
          <w:tcPr>
            <w:tcW w:w="3520" w:type="dxa"/>
            <w:vAlign w:val="bottom"/>
          </w:tcPr>
          <w:p>
            <w:pPr>
              <w:ind w:left="280"/>
              <w:spacing w:after="0"/>
              <w:rPr>
                <w:sz w:val="20"/>
                <w:szCs w:val="20"/>
                <w:color w:val="auto"/>
              </w:rPr>
            </w:pPr>
            <w:r>
              <w:rPr>
                <w:rFonts w:ascii="Arial" w:cs="Arial" w:eastAsia="Arial" w:hAnsi="Arial"/>
                <w:sz w:val="11"/>
                <w:szCs w:val="11"/>
                <w:color w:val="auto"/>
              </w:rPr>
              <w:t>SBA-PPP loans receivable</w:t>
            </w:r>
          </w:p>
        </w:tc>
        <w:tc>
          <w:tcPr>
            <w:tcW w:w="2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29,831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3,477</w:t>
            </w:r>
          </w:p>
        </w:tc>
        <w:tc>
          <w:tcPr>
            <w:tcW w:w="120" w:type="dxa"/>
            <w:vAlign w:val="bottom"/>
          </w:tcPr>
          <w:p>
            <w:pPr>
              <w:spacing w:after="0"/>
              <w:rPr>
                <w:sz w:val="13"/>
                <w:szCs w:val="13"/>
                <w:color w:val="auto"/>
              </w:rPr>
            </w:pPr>
          </w:p>
        </w:tc>
        <w:tc>
          <w:tcPr>
            <w:tcW w:w="1180" w:type="dxa"/>
            <w:vAlign w:val="bottom"/>
          </w:tcPr>
          <w:p>
            <w:pPr>
              <w:jc w:val="right"/>
              <w:ind w:right="103"/>
              <w:spacing w:after="0"/>
              <w:rPr>
                <w:sz w:val="20"/>
                <w:szCs w:val="20"/>
                <w:color w:val="auto"/>
              </w:rPr>
            </w:pPr>
            <w:r>
              <w:rPr>
                <w:rFonts w:ascii="Arial" w:cs="Arial" w:eastAsia="Arial" w:hAnsi="Arial"/>
                <w:sz w:val="11"/>
                <w:szCs w:val="11"/>
                <w:color w:val="auto"/>
              </w:rPr>
              <w:t>11.66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190,588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7,613</w:t>
            </w:r>
          </w:p>
        </w:tc>
        <w:tc>
          <w:tcPr>
            <w:tcW w:w="100" w:type="dxa"/>
            <w:vAlign w:val="bottom"/>
          </w:tcPr>
          <w:p>
            <w:pPr>
              <w:spacing w:after="0"/>
              <w:rPr>
                <w:sz w:val="13"/>
                <w:szCs w:val="13"/>
                <w:color w:val="auto"/>
              </w:rPr>
            </w:pPr>
          </w:p>
        </w:tc>
        <w:tc>
          <w:tcPr>
            <w:tcW w:w="1180" w:type="dxa"/>
            <w:vAlign w:val="bottom"/>
          </w:tcPr>
          <w:p>
            <w:pPr>
              <w:ind w:left="820"/>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Portfolio loans</w:t>
            </w:r>
            <w:r>
              <w:rPr>
                <w:rFonts w:ascii="Arial" w:cs="Arial" w:eastAsia="Arial" w:hAnsi="Arial"/>
                <w:sz w:val="14"/>
                <w:szCs w:val="14"/>
                <w:color w:val="auto"/>
                <w:vertAlign w:val="superscript"/>
              </w:rPr>
              <w:t>(1)(2)</w:t>
            </w: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1,579,661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140,496</w:t>
            </w:r>
          </w:p>
        </w:tc>
        <w:tc>
          <w:tcPr>
            <w:tcW w:w="12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8.89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1,370,988</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111,947</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1"/>
                <w:szCs w:val="11"/>
                <w:color w:val="auto"/>
              </w:rPr>
              <w:t>8.17</w:t>
            </w:r>
          </w:p>
        </w:tc>
        <w:tc>
          <w:tcPr>
            <w:tcW w:w="0" w:type="dxa"/>
            <w:vAlign w:val="bottom"/>
          </w:tcPr>
          <w:p>
            <w:pPr>
              <w:spacing w:after="0"/>
              <w:rPr>
                <w:sz w:val="1"/>
                <w:szCs w:val="1"/>
                <w:color w:val="auto"/>
              </w:rPr>
            </w:pPr>
          </w:p>
        </w:tc>
      </w:tr>
      <w:tr>
        <w:trPr>
          <w:trHeight w:val="146"/>
        </w:trPr>
        <w:tc>
          <w:tcPr>
            <w:tcW w:w="35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Total interest earning assets</w:t>
            </w:r>
          </w:p>
        </w:tc>
        <w:tc>
          <w:tcPr>
            <w:tcW w:w="2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2,033,242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150,646</w:t>
            </w:r>
          </w:p>
        </w:tc>
        <w:tc>
          <w:tcPr>
            <w:tcW w:w="12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jc w:val="right"/>
              <w:ind w:right="103"/>
              <w:spacing w:after="0"/>
              <w:rPr>
                <w:sz w:val="20"/>
                <w:szCs w:val="20"/>
                <w:color w:val="auto"/>
              </w:rPr>
            </w:pPr>
            <w:r>
              <w:rPr>
                <w:rFonts w:ascii="Arial" w:cs="Arial" w:eastAsia="Arial" w:hAnsi="Arial"/>
                <w:sz w:val="11"/>
                <w:szCs w:val="11"/>
                <w:color w:val="auto"/>
              </w:rPr>
              <w:t>7.41</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1,990,496</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123,243</w:t>
            </w:r>
          </w:p>
        </w:tc>
        <w:tc>
          <w:tcPr>
            <w:tcW w:w="10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ind w:left="820"/>
              <w:spacing w:after="0"/>
              <w:rPr>
                <w:sz w:val="20"/>
                <w:szCs w:val="20"/>
                <w:color w:val="auto"/>
              </w:rPr>
            </w:pPr>
            <w:r>
              <w:rPr>
                <w:rFonts w:ascii="Arial" w:cs="Arial" w:eastAsia="Arial" w:hAnsi="Arial"/>
                <w:sz w:val="11"/>
                <w:szCs w:val="11"/>
                <w:color w:val="auto"/>
              </w:rPr>
              <w:t>6.19</w:t>
            </w:r>
          </w:p>
        </w:tc>
        <w:tc>
          <w:tcPr>
            <w:tcW w:w="0" w:type="dxa"/>
            <w:vAlign w:val="bottom"/>
          </w:tcPr>
          <w:p>
            <w:pPr>
              <w:spacing w:after="0"/>
              <w:rPr>
                <w:sz w:val="1"/>
                <w:szCs w:val="1"/>
                <w:color w:val="auto"/>
              </w:rPr>
            </w:pPr>
          </w:p>
        </w:tc>
      </w:tr>
      <w:tr>
        <w:trPr>
          <w:trHeight w:val="139"/>
        </w:trPr>
        <w:tc>
          <w:tcPr>
            <w:tcW w:w="3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Noninterest earning assets</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44,559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45,348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280"/>
              <w:spacing w:after="0"/>
              <w:rPr>
                <w:sz w:val="20"/>
                <w:szCs w:val="20"/>
                <w:color w:val="auto"/>
              </w:rPr>
            </w:pPr>
            <w:r>
              <w:rPr>
                <w:rFonts w:ascii="Arial" w:cs="Arial" w:eastAsia="Arial" w:hAnsi="Arial"/>
                <w:sz w:val="11"/>
                <w:szCs w:val="11"/>
                <w:color w:val="auto"/>
              </w:rPr>
              <w:t>Total assets</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2,077,801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2,035,844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520" w:type="dxa"/>
            <w:vAlign w:val="bottom"/>
          </w:tcPr>
          <w:p>
            <w:pPr>
              <w:ind w:left="20"/>
              <w:spacing w:after="0"/>
              <w:rPr>
                <w:sz w:val="20"/>
                <w:szCs w:val="20"/>
                <w:color w:val="auto"/>
              </w:rPr>
            </w:pPr>
            <w:r>
              <w:rPr>
                <w:rFonts w:ascii="Arial" w:cs="Arial" w:eastAsia="Arial" w:hAnsi="Arial"/>
                <w:sz w:val="11"/>
                <w:szCs w:val="11"/>
                <w:b w:val="1"/>
                <w:bCs w:val="1"/>
                <w:color w:val="auto"/>
              </w:rPr>
              <w:t>Liabilities and Stockholders’ Equity</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Interest-bearing liabilities: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Pr>
          <w:p>
            <w:pPr>
              <w:ind w:left="280"/>
              <w:spacing w:after="0"/>
              <w:rPr>
                <w:sz w:val="20"/>
                <w:szCs w:val="20"/>
                <w:color w:val="auto"/>
              </w:rPr>
            </w:pPr>
            <w:r>
              <w:rPr>
                <w:rFonts w:ascii="Arial" w:cs="Arial" w:eastAsia="Arial" w:hAnsi="Arial"/>
                <w:sz w:val="11"/>
                <w:szCs w:val="11"/>
                <w:color w:val="auto"/>
              </w:rPr>
              <w:t>Interest-bearing demand accounts</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253,923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174</w:t>
            </w: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0.07 %</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289,285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202</w:t>
            </w:r>
          </w:p>
        </w:tc>
        <w:tc>
          <w:tcPr>
            <w:tcW w:w="100" w:type="dxa"/>
            <w:vAlign w:val="bottom"/>
          </w:tcPr>
          <w:p>
            <w:pPr>
              <w:spacing w:after="0"/>
              <w:rPr>
                <w:sz w:val="13"/>
                <w:szCs w:val="13"/>
                <w:color w:val="auto"/>
              </w:rPr>
            </w:pPr>
          </w:p>
        </w:tc>
        <w:tc>
          <w:tcPr>
            <w:tcW w:w="1180" w:type="dxa"/>
            <w:vAlign w:val="bottom"/>
          </w:tcPr>
          <w:p>
            <w:pPr>
              <w:ind w:left="820"/>
              <w:spacing w:after="0"/>
              <w:rPr>
                <w:sz w:val="20"/>
                <w:szCs w:val="20"/>
                <w:color w:val="auto"/>
              </w:rPr>
            </w:pPr>
            <w:r>
              <w:rPr>
                <w:rFonts w:ascii="Arial" w:cs="Arial" w:eastAsia="Arial" w:hAnsi="Arial"/>
                <w:sz w:val="11"/>
                <w:szCs w:val="11"/>
                <w:color w:val="auto"/>
                <w:w w:val="99"/>
              </w:rPr>
              <w:t>0.07 %</w:t>
            </w: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Savings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0.06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ind w:left="820"/>
              <w:spacing w:after="0"/>
              <w:rPr>
                <w:sz w:val="20"/>
                <w:szCs w:val="20"/>
                <w:color w:val="auto"/>
              </w:rPr>
            </w:pPr>
            <w:r>
              <w:rPr>
                <w:rFonts w:ascii="Arial" w:cs="Arial" w:eastAsia="Arial" w:hAnsi="Arial"/>
                <w:sz w:val="11"/>
                <w:szCs w:val="11"/>
                <w:color w:val="auto"/>
              </w:rPr>
              <w:t>0.05</w:t>
            </w:r>
          </w:p>
        </w:tc>
        <w:tc>
          <w:tcPr>
            <w:tcW w:w="0" w:type="dxa"/>
            <w:vAlign w:val="bottom"/>
          </w:tcPr>
          <w:p>
            <w:pPr>
              <w:spacing w:after="0"/>
              <w:rPr>
                <w:sz w:val="1"/>
                <w:szCs w:val="1"/>
                <w:color w:val="auto"/>
              </w:rPr>
            </w:pPr>
          </w:p>
        </w:tc>
      </w:tr>
      <w:tr>
        <w:trPr>
          <w:trHeight w:val="155"/>
        </w:trPr>
        <w:tc>
          <w:tcPr>
            <w:tcW w:w="3520" w:type="dxa"/>
            <w:vAlign w:val="bottom"/>
          </w:tcPr>
          <w:p>
            <w:pPr>
              <w:ind w:left="280"/>
              <w:spacing w:after="0"/>
              <w:rPr>
                <w:sz w:val="20"/>
                <w:szCs w:val="20"/>
                <w:color w:val="auto"/>
              </w:rPr>
            </w:pPr>
            <w:r>
              <w:rPr>
                <w:rFonts w:ascii="Arial" w:cs="Arial" w:eastAsia="Arial" w:hAnsi="Arial"/>
                <w:sz w:val="11"/>
                <w:szCs w:val="11"/>
                <w:color w:val="auto"/>
              </w:rPr>
              <w:t>Money market accounts</w:t>
            </w:r>
          </w:p>
        </w:tc>
        <w:tc>
          <w:tcPr>
            <w:tcW w:w="2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553,388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4,529</w:t>
            </w:r>
          </w:p>
        </w:tc>
        <w:tc>
          <w:tcPr>
            <w:tcW w:w="120" w:type="dxa"/>
            <w:vAlign w:val="bottom"/>
          </w:tcPr>
          <w:p>
            <w:pPr>
              <w:spacing w:after="0"/>
              <w:rPr>
                <w:sz w:val="13"/>
                <w:szCs w:val="13"/>
                <w:color w:val="auto"/>
              </w:rPr>
            </w:pPr>
          </w:p>
        </w:tc>
        <w:tc>
          <w:tcPr>
            <w:tcW w:w="1180" w:type="dxa"/>
            <w:vAlign w:val="bottom"/>
          </w:tcPr>
          <w:p>
            <w:pPr>
              <w:jc w:val="right"/>
              <w:ind w:right="103"/>
              <w:spacing w:after="0"/>
              <w:rPr>
                <w:sz w:val="20"/>
                <w:szCs w:val="20"/>
                <w:color w:val="auto"/>
              </w:rPr>
            </w:pPr>
            <w:r>
              <w:rPr>
                <w:rFonts w:ascii="Arial" w:cs="Arial" w:eastAsia="Arial" w:hAnsi="Arial"/>
                <w:sz w:val="11"/>
                <w:szCs w:val="11"/>
                <w:color w:val="auto"/>
              </w:rPr>
              <w:t>0.82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482,225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1,484</w:t>
            </w:r>
          </w:p>
        </w:tc>
        <w:tc>
          <w:tcPr>
            <w:tcW w:w="100" w:type="dxa"/>
            <w:vAlign w:val="bottom"/>
          </w:tcPr>
          <w:p>
            <w:pPr>
              <w:spacing w:after="0"/>
              <w:rPr>
                <w:sz w:val="13"/>
                <w:szCs w:val="13"/>
                <w:color w:val="auto"/>
              </w:rPr>
            </w:pPr>
          </w:p>
        </w:tc>
        <w:tc>
          <w:tcPr>
            <w:tcW w:w="1180" w:type="dxa"/>
            <w:vAlign w:val="bottom"/>
          </w:tcPr>
          <w:p>
            <w:pPr>
              <w:ind w:left="820"/>
              <w:spacing w:after="0"/>
              <w:rPr>
                <w:sz w:val="20"/>
                <w:szCs w:val="20"/>
                <w:color w:val="auto"/>
              </w:rPr>
            </w:pPr>
            <w:r>
              <w:rPr>
                <w:rFonts w:ascii="Arial" w:cs="Arial" w:eastAsia="Arial" w:hAnsi="Arial"/>
                <w:sz w:val="11"/>
                <w:szCs w:val="11"/>
                <w:color w:val="auto"/>
              </w:rPr>
              <w:t>0.31</w:t>
            </w: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Time deposits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165,854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2,903</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269,262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4,119</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ind w:left="820"/>
              <w:spacing w:after="0"/>
              <w:rPr>
                <w:sz w:val="20"/>
                <w:szCs w:val="20"/>
                <w:color w:val="auto"/>
              </w:rPr>
            </w:pPr>
            <w:r>
              <w:rPr>
                <w:rFonts w:ascii="Arial" w:cs="Arial" w:eastAsia="Arial" w:hAnsi="Arial"/>
                <w:sz w:val="11"/>
                <w:szCs w:val="11"/>
                <w:color w:val="auto"/>
              </w:rPr>
              <w:t>1.53</w:t>
            </w:r>
          </w:p>
        </w:tc>
        <w:tc>
          <w:tcPr>
            <w:tcW w:w="0" w:type="dxa"/>
            <w:vAlign w:val="bottom"/>
          </w:tcPr>
          <w:p>
            <w:pPr>
              <w:spacing w:after="0"/>
              <w:rPr>
                <w:sz w:val="1"/>
                <w:szCs w:val="1"/>
                <w:color w:val="auto"/>
              </w:rPr>
            </w:pPr>
          </w:p>
        </w:tc>
      </w:tr>
      <w:tr>
        <w:trPr>
          <w:trHeight w:val="155"/>
        </w:trPr>
        <w:tc>
          <w:tcPr>
            <w:tcW w:w="35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Borrowed funds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77,556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2,428</w:t>
            </w:r>
          </w:p>
        </w:tc>
        <w:tc>
          <w:tcPr>
            <w:tcW w:w="1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3.13</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34,214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742</w:t>
            </w: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1"/>
                <w:szCs w:val="11"/>
                <w:color w:val="auto"/>
              </w:rPr>
              <w:t>2.17</w:t>
            </w:r>
          </w:p>
        </w:tc>
        <w:tc>
          <w:tcPr>
            <w:tcW w:w="0" w:type="dxa"/>
            <w:vAlign w:val="bottom"/>
          </w:tcPr>
          <w:p>
            <w:pPr>
              <w:spacing w:after="0"/>
              <w:rPr>
                <w:sz w:val="1"/>
                <w:szCs w:val="1"/>
                <w:color w:val="auto"/>
              </w:rPr>
            </w:pPr>
          </w:p>
        </w:tc>
      </w:tr>
      <w:tr>
        <w:trPr>
          <w:trHeight w:val="154"/>
        </w:trPr>
        <w:tc>
          <w:tcPr>
            <w:tcW w:w="35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interest-bearing liabilities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1,059,638</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10,039</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0.95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1,081,456</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6,550</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ind w:left="820"/>
              <w:spacing w:after="0"/>
              <w:rPr>
                <w:sz w:val="20"/>
                <w:szCs w:val="20"/>
                <w:color w:val="auto"/>
              </w:rPr>
            </w:pPr>
            <w:r>
              <w:rPr>
                <w:rFonts w:ascii="Arial" w:cs="Arial" w:eastAsia="Arial" w:hAnsi="Arial"/>
                <w:sz w:val="11"/>
                <w:szCs w:val="11"/>
                <w:color w:val="auto"/>
              </w:rPr>
              <w:t>0.61</w:t>
            </w:r>
          </w:p>
        </w:tc>
        <w:tc>
          <w:tcPr>
            <w:tcW w:w="0" w:type="dxa"/>
            <w:vAlign w:val="bottom"/>
          </w:tcPr>
          <w:p>
            <w:pPr>
              <w:spacing w:after="0"/>
              <w:rPr>
                <w:sz w:val="1"/>
                <w:szCs w:val="1"/>
                <w:color w:val="auto"/>
              </w:rPr>
            </w:pPr>
          </w:p>
        </w:tc>
      </w:tr>
      <w:tr>
        <w:trPr>
          <w:trHeight w:val="135"/>
        </w:trPr>
        <w:tc>
          <w:tcPr>
            <w:tcW w:w="3520" w:type="dxa"/>
            <w:vAlign w:val="bottom"/>
          </w:tcPr>
          <w:p>
            <w:pPr>
              <w:ind w:left="140"/>
              <w:spacing w:after="0"/>
              <w:rPr>
                <w:sz w:val="20"/>
                <w:szCs w:val="20"/>
                <w:color w:val="auto"/>
              </w:rPr>
            </w:pPr>
            <w:r>
              <w:rPr>
                <w:rFonts w:ascii="Arial" w:cs="Arial" w:eastAsia="Arial" w:hAnsi="Arial"/>
                <w:sz w:val="11"/>
                <w:szCs w:val="11"/>
                <w:color w:val="auto"/>
              </w:rPr>
              <w:t>Noninterest-bearing liabilities:</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Noninterest-bearing liabilities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23,797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24,128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Pr>
          <w:p>
            <w:pPr>
              <w:ind w:left="280"/>
              <w:spacing w:after="0"/>
              <w:rPr>
                <w:sz w:val="20"/>
                <w:szCs w:val="20"/>
                <w:color w:val="auto"/>
              </w:rPr>
            </w:pPr>
            <w:r>
              <w:rPr>
                <w:rFonts w:ascii="Arial" w:cs="Arial" w:eastAsia="Arial" w:hAnsi="Arial"/>
                <w:sz w:val="11"/>
                <w:szCs w:val="11"/>
                <w:color w:val="auto"/>
              </w:rPr>
              <w:t>Noninterest-bearing deposits</w:t>
            </w:r>
          </w:p>
        </w:tc>
        <w:tc>
          <w:tcPr>
            <w:tcW w:w="22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781,971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750,760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Stockholders’ equity</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212,395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179,500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280"/>
              <w:spacing w:after="0"/>
              <w:rPr>
                <w:sz w:val="20"/>
                <w:szCs w:val="20"/>
                <w:color w:val="auto"/>
              </w:rPr>
            </w:pPr>
            <w:r>
              <w:rPr>
                <w:rFonts w:ascii="Arial" w:cs="Arial" w:eastAsia="Arial" w:hAnsi="Arial"/>
                <w:sz w:val="11"/>
                <w:szCs w:val="11"/>
                <w:color w:val="auto"/>
              </w:rPr>
              <w:t>Total liabilities and stockholders’ equity</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2,077,801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2,035,844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520" w:type="dxa"/>
            <w:vAlign w:val="bottom"/>
          </w:tcPr>
          <w:p>
            <w:pPr>
              <w:ind w:left="20"/>
              <w:spacing w:after="0"/>
              <w:rPr>
                <w:sz w:val="20"/>
                <w:szCs w:val="20"/>
                <w:color w:val="auto"/>
              </w:rPr>
            </w:pPr>
            <w:r>
              <w:rPr>
                <w:rFonts w:ascii="Arial" w:cs="Arial" w:eastAsia="Arial" w:hAnsi="Arial"/>
                <w:sz w:val="11"/>
                <w:szCs w:val="11"/>
                <w:color w:val="auto"/>
              </w:rPr>
              <w:t>Net interest spread</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6.46 %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1"/>
                <w:szCs w:val="11"/>
                <w:color w:val="auto"/>
                <w:w w:val="99"/>
              </w:rPr>
              <w:t>5.58 %</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520" w:type="dxa"/>
            <w:vAlign w:val="bottom"/>
            <w:tcBorders>
              <w:bottom w:val="single" w:sz="8" w:color="CCEEFF"/>
            </w:tcBorders>
            <w:shd w:val="clear" w:color="auto" w:fill="CCEEFF"/>
          </w:tcPr>
          <w:p>
            <w:pPr>
              <w:ind w:left="20"/>
              <w:spacing w:after="0" w:line="121" w:lineRule="exact"/>
              <w:rPr>
                <w:sz w:val="20"/>
                <w:szCs w:val="20"/>
                <w:color w:val="auto"/>
              </w:rPr>
            </w:pPr>
            <w:r>
              <w:rPr>
                <w:rFonts w:ascii="Arial" w:cs="Arial" w:eastAsia="Arial" w:hAnsi="Arial"/>
                <w:sz w:val="11"/>
                <w:szCs w:val="11"/>
                <w:color w:val="auto"/>
              </w:rPr>
              <w:t>Net interest income</w:t>
            </w:r>
          </w:p>
        </w:tc>
        <w:tc>
          <w:tcPr>
            <w:tcW w:w="2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140,607</w:t>
            </w:r>
          </w:p>
        </w:tc>
        <w:tc>
          <w:tcPr>
            <w:tcW w:w="1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3"/>
              <w:spacing w:after="0" w:line="116" w:lineRule="exact"/>
              <w:rPr>
                <w:sz w:val="20"/>
                <w:szCs w:val="20"/>
                <w:color w:val="auto"/>
              </w:rPr>
            </w:pPr>
            <w:r>
              <w:rPr>
                <w:rFonts w:ascii="Arial" w:cs="Arial" w:eastAsia="Arial" w:hAnsi="Arial"/>
                <w:sz w:val="11"/>
                <w:szCs w:val="11"/>
                <w:color w:val="auto"/>
              </w:rPr>
              <w:t>116,693</w:t>
            </w:r>
          </w:p>
        </w:tc>
        <w:tc>
          <w:tcPr>
            <w:tcW w:w="1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line="141"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(3)</w:t>
            </w: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1"/>
                <w:szCs w:val="11"/>
                <w:color w:val="auto"/>
              </w:rPr>
              <w:t>6.92 %</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ind w:left="820"/>
              <w:spacing w:after="0"/>
              <w:rPr>
                <w:sz w:val="20"/>
                <w:szCs w:val="20"/>
                <w:color w:val="auto"/>
              </w:rPr>
            </w:pPr>
            <w:r>
              <w:rPr>
                <w:rFonts w:ascii="Arial" w:cs="Arial" w:eastAsia="Arial" w:hAnsi="Arial"/>
                <w:sz w:val="11"/>
                <w:szCs w:val="11"/>
                <w:color w:val="auto"/>
                <w:w w:val="99"/>
              </w:rPr>
              <w:t>5.86 %</w:t>
            </w:r>
          </w:p>
        </w:tc>
        <w:tc>
          <w:tcPr>
            <w:tcW w:w="0" w:type="dxa"/>
            <w:vAlign w:val="bottom"/>
          </w:tcPr>
          <w:p>
            <w:pPr>
              <w:spacing w:after="0" w:line="20" w:lineRule="exact"/>
              <w:rPr>
                <w:sz w:val="1"/>
                <w:szCs w:val="1"/>
                <w:color w:val="auto"/>
              </w:rPr>
            </w:pPr>
          </w:p>
        </w:tc>
      </w:tr>
      <w:tr>
        <w:trPr>
          <w:trHeight w:val="100"/>
        </w:trPr>
        <w:tc>
          <w:tcPr>
            <w:tcW w:w="35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260" w:hanging="255"/>
        <w:spacing w:after="0" w:line="195" w:lineRule="auto"/>
        <w:tabs>
          <w:tab w:leader="none" w:pos="260" w:val="left"/>
        </w:tabs>
        <w:numPr>
          <w:ilvl w:val="0"/>
          <w:numId w:val="13"/>
        </w:numPr>
        <w:rPr>
          <w:rFonts w:ascii="Arial" w:cs="Arial" w:eastAsia="Arial" w:hAnsi="Arial"/>
          <w:sz w:val="15"/>
          <w:szCs w:val="15"/>
          <w:color w:val="auto"/>
          <w:vertAlign w:val="superscript"/>
        </w:rPr>
      </w:pPr>
      <w:r>
        <w:rPr>
          <w:rFonts w:ascii="Arial" w:cs="Arial" w:eastAsia="Arial" w:hAnsi="Arial"/>
          <w:sz w:val="11"/>
          <w:szCs w:val="11"/>
          <w:color w:val="auto"/>
        </w:rPr>
        <w:t>Includes nonaccrual loans.</w:t>
      </w:r>
    </w:p>
    <w:p>
      <w:pPr>
        <w:ind w:left="260" w:hanging="255"/>
        <w:spacing w:after="0"/>
        <w:tabs>
          <w:tab w:leader="none" w:pos="260" w:val="left"/>
        </w:tabs>
        <w:numPr>
          <w:ilvl w:val="0"/>
          <w:numId w:val="13"/>
        </w:numPr>
        <w:rPr>
          <w:rFonts w:ascii="Arial" w:cs="Arial" w:eastAsia="Arial" w:hAnsi="Arial"/>
          <w:sz w:val="7"/>
          <w:szCs w:val="7"/>
          <w:color w:val="auto"/>
        </w:rPr>
      </w:pPr>
      <w:r>
        <w:rPr>
          <w:rFonts w:ascii="Arial" w:cs="Arial" w:eastAsia="Arial" w:hAnsi="Arial"/>
          <w:sz w:val="11"/>
          <w:szCs w:val="11"/>
          <w:color w:val="auto"/>
        </w:rPr>
        <w:t>Interest income includes amortization of deferred loan fees, net of deferred loan costs.</w:t>
      </w:r>
    </w:p>
    <w:p>
      <w:pPr>
        <w:spacing w:after="0" w:line="11" w:lineRule="exact"/>
        <w:rPr>
          <w:rFonts w:ascii="Arial" w:cs="Arial" w:eastAsia="Arial" w:hAnsi="Arial"/>
          <w:sz w:val="7"/>
          <w:szCs w:val="7"/>
          <w:color w:val="auto"/>
        </w:rPr>
      </w:pPr>
    </w:p>
    <w:p>
      <w:pPr>
        <w:ind w:left="260" w:hanging="255"/>
        <w:spacing w:after="0"/>
        <w:tabs>
          <w:tab w:leader="none" w:pos="260" w:val="left"/>
        </w:tabs>
        <w:numPr>
          <w:ilvl w:val="0"/>
          <w:numId w:val="13"/>
        </w:numPr>
        <w:rPr>
          <w:rFonts w:ascii="Arial" w:cs="Arial" w:eastAsia="Arial" w:hAnsi="Arial"/>
          <w:sz w:val="7"/>
          <w:szCs w:val="7"/>
          <w:color w:val="auto"/>
        </w:rPr>
      </w:pPr>
      <w:r>
        <w:rPr>
          <w:rFonts w:ascii="Arial" w:cs="Arial" w:eastAsia="Arial" w:hAnsi="Arial"/>
          <w:sz w:val="11"/>
          <w:szCs w:val="11"/>
          <w:color w:val="auto"/>
        </w:rPr>
        <w:t>For the twelve months ended December 31, 2022 and 2021, SBA-PPP loans and credit card loans accounted for 299 and 226 basis points of the reported net interest margin,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36" w:name="page37"/>
    <w:bookmarkEnd w:id="36"/>
    <w:p>
      <w:pPr>
        <w:ind w:left="260"/>
        <w:spacing w:after="0"/>
        <w:rPr>
          <w:sz w:val="20"/>
          <w:szCs w:val="20"/>
          <w:color w:val="auto"/>
        </w:rPr>
      </w:pPr>
      <w:r>
        <w:rPr>
          <w:rFonts w:ascii="Arial" w:cs="Arial" w:eastAsia="Arial" w:hAnsi="Arial"/>
          <w:sz w:val="14"/>
          <w:szCs w:val="14"/>
          <w:b w:val="1"/>
          <w:bCs w:val="1"/>
          <w:color w:val="auto"/>
        </w:rPr>
        <w:t>Rate/Volume Analysis of Net Interest Income</w:t>
      </w:r>
    </w:p>
    <w:p>
      <w:pPr>
        <w:spacing w:after="0" w:line="19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rate/volume table below presents the composition of the change in net interest income for the periods indicated, as allocated between the change in net interest income due to changes in the volume of average earning assets and interest-bearing liabilities, and the changes in net interest income due to changes in interest rates.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6"/>
          </w:tcPr>
          <w:p>
            <w:pPr>
              <w:jc w:val="center"/>
              <w:ind w:left="396"/>
              <w:spacing w:after="0"/>
              <w:rPr>
                <w:sz w:val="20"/>
                <w:szCs w:val="20"/>
                <w:color w:val="auto"/>
              </w:rPr>
            </w:pPr>
            <w:r>
              <w:rPr>
                <w:rFonts w:ascii="Arial" w:cs="Arial" w:eastAsia="Arial" w:hAnsi="Arial"/>
                <w:sz w:val="13"/>
                <w:szCs w:val="13"/>
                <w:b w:val="1"/>
                <w:bCs w:val="1"/>
                <w:color w:val="auto"/>
                <w:w w:val="96"/>
              </w:rPr>
              <w:t>Year Ended December 31, 2022</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center"/>
              <w:ind w:left="376"/>
              <w:spacing w:after="0"/>
              <w:rPr>
                <w:sz w:val="20"/>
                <w:szCs w:val="20"/>
                <w:color w:val="auto"/>
              </w:rPr>
            </w:pPr>
            <w:r>
              <w:rPr>
                <w:rFonts w:ascii="Arial" w:cs="Arial" w:eastAsia="Arial" w:hAnsi="Arial"/>
                <w:sz w:val="13"/>
                <w:szCs w:val="13"/>
                <w:b w:val="1"/>
                <w:bCs w:val="1"/>
                <w:color w:val="auto"/>
                <w:w w:val="96"/>
              </w:rPr>
              <w:t>Year Ended December 31, 2021</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Compared to</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Compared to</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7"/>
              </w:rPr>
              <w:t>December 31, 2021</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7"/>
              </w:rPr>
              <w:t>December 31, 2020</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ind w:left="520"/>
              <w:spacing w:after="0"/>
              <w:rPr>
                <w:sz w:val="20"/>
                <w:szCs w:val="20"/>
                <w:color w:val="auto"/>
              </w:rPr>
            </w:pPr>
            <w:r>
              <w:rPr>
                <w:rFonts w:ascii="Arial" w:cs="Arial" w:eastAsia="Arial" w:hAnsi="Arial"/>
                <w:sz w:val="13"/>
                <w:szCs w:val="13"/>
                <w:b w:val="1"/>
                <w:bCs w:val="1"/>
                <w:color w:val="auto"/>
              </w:rPr>
              <w:t>Change Due To</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ind w:left="520"/>
              <w:spacing w:after="0"/>
              <w:rPr>
                <w:sz w:val="20"/>
                <w:szCs w:val="20"/>
                <w:color w:val="auto"/>
              </w:rPr>
            </w:pPr>
            <w:r>
              <w:rPr>
                <w:rFonts w:ascii="Arial" w:cs="Arial" w:eastAsia="Arial" w:hAnsi="Arial"/>
                <w:sz w:val="13"/>
                <w:szCs w:val="13"/>
                <w:b w:val="1"/>
                <w:bCs w:val="1"/>
                <w:color w:val="auto"/>
              </w:rPr>
              <w:t>Change Due To</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3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Interest Variance</w:t>
            </w:r>
          </w:p>
        </w:tc>
        <w:tc>
          <w:tcPr>
            <w:tcW w:w="2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180" w:type="dxa"/>
            <w:vAlign w:val="bottom"/>
            <w:gridSpan w:val="2"/>
            <w:vMerge w:val="restart"/>
          </w:tcPr>
          <w:p>
            <w:pPr>
              <w:jc w:val="right"/>
              <w:ind w:right="16"/>
              <w:spacing w:after="0"/>
              <w:rPr>
                <w:sz w:val="20"/>
                <w:szCs w:val="20"/>
                <w:color w:val="auto"/>
              </w:rPr>
            </w:pPr>
            <w:r>
              <w:rPr>
                <w:rFonts w:ascii="Arial" w:cs="Arial" w:eastAsia="Arial" w:hAnsi="Arial"/>
                <w:sz w:val="13"/>
                <w:szCs w:val="13"/>
                <w:b w:val="1"/>
                <w:bCs w:val="1"/>
                <w:color w:val="auto"/>
              </w:rPr>
              <w:t>Interest Variance</w:t>
            </w:r>
          </w:p>
        </w:tc>
        <w:tc>
          <w:tcPr>
            <w:tcW w:w="0" w:type="dxa"/>
            <w:vAlign w:val="bottom"/>
          </w:tcPr>
          <w:p>
            <w:pPr>
              <w:spacing w:after="0"/>
              <w:rPr>
                <w:sz w:val="1"/>
                <w:szCs w:val="1"/>
                <w:color w:val="auto"/>
              </w:rPr>
            </w:pPr>
          </w:p>
        </w:tc>
      </w:tr>
      <w:tr>
        <w:trPr>
          <w:trHeight w:val="160"/>
        </w:trPr>
        <w:tc>
          <w:tcPr>
            <w:tcW w:w="3740" w:type="dxa"/>
            <w:vAlign w:val="bottom"/>
            <w:vMerge w:val="restart"/>
          </w:tcPr>
          <w:p>
            <w:pPr>
              <w:ind w:left="20"/>
              <w:spacing w:after="0"/>
              <w:rPr>
                <w:sz w:val="20"/>
                <w:szCs w:val="20"/>
                <w:color w:val="auto"/>
              </w:rPr>
            </w:pPr>
            <w:r>
              <w:rPr>
                <w:rFonts w:ascii="Arial" w:cs="Arial" w:eastAsia="Arial" w:hAnsi="Arial"/>
                <w:sz w:val="8"/>
                <w:szCs w:val="8"/>
                <w:i w:val="1"/>
                <w:iCs w:val="1"/>
                <w:color w:val="auto"/>
              </w:rPr>
              <w:t>(In thousands)</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Volume</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Volume</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9"/>
              </w:rPr>
              <w:t>Rate</w:t>
            </w: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740" w:type="dxa"/>
            <w:vAlign w:val="bottom"/>
            <w:tcBorders>
              <w:bottom w:val="single" w:sz="8" w:color="CCEEFF"/>
            </w:tcBorders>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Interest Income:</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40" w:type="dxa"/>
            <w:vAlign w:val="bottom"/>
          </w:tcPr>
          <w:p>
            <w:pPr>
              <w:ind w:left="100"/>
              <w:spacing w:after="0"/>
              <w:rPr>
                <w:sz w:val="20"/>
                <w:szCs w:val="20"/>
                <w:color w:val="auto"/>
              </w:rPr>
            </w:pPr>
            <w:r>
              <w:rPr>
                <w:rFonts w:ascii="Arial" w:cs="Arial" w:eastAsia="Arial" w:hAnsi="Arial"/>
                <w:sz w:val="13"/>
                <w:szCs w:val="13"/>
                <w:color w:val="auto"/>
              </w:rPr>
              <w:t>Interest-bearing deposits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(918)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2,642</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1,724</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144</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500" w:type="dxa"/>
            <w:vAlign w:val="bottom"/>
          </w:tcPr>
          <w:p>
            <w:pPr>
              <w:jc w:val="right"/>
              <w:ind w:right="3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Federal funds sold</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8"/>
        </w:trPr>
        <w:tc>
          <w:tcPr>
            <w:tcW w:w="3740" w:type="dxa"/>
            <w:vAlign w:val="bottom"/>
          </w:tcPr>
          <w:p>
            <w:pPr>
              <w:ind w:left="100"/>
              <w:spacing w:after="0"/>
              <w:rPr>
                <w:sz w:val="20"/>
                <w:szCs w:val="20"/>
                <w:color w:val="auto"/>
              </w:rPr>
            </w:pPr>
            <w:r>
              <w:rPr>
                <w:rFonts w:ascii="Arial" w:cs="Arial" w:eastAsia="Arial" w:hAnsi="Arial"/>
                <w:sz w:val="13"/>
                <w:szCs w:val="13"/>
                <w:color w:val="auto"/>
              </w:rPr>
              <w:t>Investment securities</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718</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Restricted investments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8"/>
        </w:trPr>
        <w:tc>
          <w:tcPr>
            <w:tcW w:w="3740" w:type="dxa"/>
            <w:vAlign w:val="bottom"/>
          </w:tcPr>
          <w:p>
            <w:pPr>
              <w:ind w:left="100"/>
              <w:spacing w:after="0"/>
              <w:rPr>
                <w:sz w:val="20"/>
                <w:szCs w:val="20"/>
                <w:color w:val="auto"/>
              </w:rPr>
            </w:pPr>
            <w:r>
              <w:rPr>
                <w:rFonts w:ascii="Arial" w:cs="Arial" w:eastAsia="Arial" w:hAnsi="Arial"/>
                <w:sz w:val="13"/>
                <w:szCs w:val="13"/>
                <w:color w:val="auto"/>
              </w:rPr>
              <w:t>Loans held for sale</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711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(789)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(1,386)</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SBA-PPP loans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3,134</w:t>
            </w:r>
          </w:p>
        </w:tc>
        <w:tc>
          <w:tcPr>
            <w:tcW w:w="0" w:type="dxa"/>
            <w:vAlign w:val="bottom"/>
          </w:tcPr>
          <w:p>
            <w:pPr>
              <w:spacing w:after="0"/>
              <w:rPr>
                <w:sz w:val="1"/>
                <w:szCs w:val="1"/>
                <w:color w:val="auto"/>
              </w:rPr>
            </w:pPr>
          </w:p>
        </w:tc>
      </w:tr>
      <w:tr>
        <w:trPr>
          <w:trHeight w:val="168"/>
        </w:trPr>
        <w:tc>
          <w:tcPr>
            <w:tcW w:w="3740" w:type="dxa"/>
            <w:vAlign w:val="bottom"/>
          </w:tcPr>
          <w:p>
            <w:pPr>
              <w:ind w:left="100"/>
              <w:spacing w:after="0"/>
              <w:rPr>
                <w:sz w:val="20"/>
                <w:szCs w:val="20"/>
                <w:color w:val="auto"/>
              </w:rPr>
            </w:pPr>
            <w:r>
              <w:rPr>
                <w:rFonts w:ascii="Arial" w:cs="Arial" w:eastAsia="Arial" w:hAnsi="Arial"/>
                <w:sz w:val="13"/>
                <w:szCs w:val="13"/>
                <w:color w:val="auto"/>
              </w:rPr>
              <w:t>Portfolio loans excluding credit card loans</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10,326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3,127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13,453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4,752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(4,806)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Credit card loans</w:t>
            </w: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8,003</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15,096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22,064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1,659</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23,723</w:t>
            </w:r>
          </w:p>
        </w:tc>
        <w:tc>
          <w:tcPr>
            <w:tcW w:w="0" w:type="dxa"/>
            <w:vAlign w:val="bottom"/>
          </w:tcPr>
          <w:p>
            <w:pPr>
              <w:spacing w:after="0"/>
              <w:rPr>
                <w:sz w:val="1"/>
                <w:szCs w:val="1"/>
                <w:color w:val="auto"/>
              </w:rPr>
            </w:pPr>
          </w:p>
        </w:tc>
      </w:tr>
      <w:tr>
        <w:trPr>
          <w:trHeight w:val="158"/>
        </w:trPr>
        <w:tc>
          <w:tcPr>
            <w:tcW w:w="3740" w:type="dxa"/>
            <w:vAlign w:val="bottom"/>
          </w:tcPr>
          <w:p>
            <w:pPr>
              <w:ind w:left="180"/>
              <w:spacing w:after="0"/>
              <w:rPr>
                <w:sz w:val="20"/>
                <w:szCs w:val="20"/>
                <w:color w:val="auto"/>
              </w:rPr>
            </w:pPr>
            <w:r>
              <w:rPr>
                <w:rFonts w:ascii="Arial" w:cs="Arial" w:eastAsia="Arial" w:hAnsi="Arial"/>
                <w:sz w:val="13"/>
                <w:szCs w:val="13"/>
                <w:b w:val="1"/>
                <w:bCs w:val="1"/>
                <w:color w:val="auto"/>
              </w:rPr>
              <w:t>Total interest income</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(2,108)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29,511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27,403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28,318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(2,326)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25,992</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rPr>
                <w:sz w:val="20"/>
                <w:szCs w:val="20"/>
                <w:color w:val="auto"/>
              </w:rPr>
            </w:pPr>
            <w:r>
              <w:rPr>
                <w:rFonts w:ascii="Arial" w:cs="Arial" w:eastAsia="Arial" w:hAnsi="Arial"/>
                <w:sz w:val="13"/>
                <w:szCs w:val="13"/>
                <w:b w:val="1"/>
                <w:bCs w:val="1"/>
                <w:color w:val="auto"/>
              </w:rPr>
              <w:t>Interest Expense: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demand accounts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68"/>
        </w:trPr>
        <w:tc>
          <w:tcPr>
            <w:tcW w:w="3740" w:type="dxa"/>
            <w:vAlign w:val="bottom"/>
          </w:tcPr>
          <w:p>
            <w:pPr>
              <w:ind w:left="100"/>
              <w:spacing w:after="0"/>
              <w:rPr>
                <w:sz w:val="20"/>
                <w:szCs w:val="20"/>
                <w:color w:val="auto"/>
              </w:rPr>
            </w:pPr>
            <w:r>
              <w:rPr>
                <w:rFonts w:ascii="Arial" w:cs="Arial" w:eastAsia="Arial" w:hAnsi="Arial"/>
                <w:sz w:val="13"/>
                <w:szCs w:val="13"/>
                <w:color w:val="auto"/>
              </w:rPr>
              <w:t>Savings</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accounts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(3,302)</w:t>
            </w:r>
          </w:p>
        </w:tc>
        <w:tc>
          <w:tcPr>
            <w:tcW w:w="0" w:type="dxa"/>
            <w:vAlign w:val="bottom"/>
          </w:tcPr>
          <w:p>
            <w:pPr>
              <w:spacing w:after="0"/>
              <w:rPr>
                <w:sz w:val="1"/>
                <w:szCs w:val="1"/>
                <w:color w:val="auto"/>
              </w:rPr>
            </w:pPr>
          </w:p>
        </w:tc>
      </w:tr>
      <w:tr>
        <w:trPr>
          <w:trHeight w:val="168"/>
        </w:trPr>
        <w:tc>
          <w:tcPr>
            <w:tcW w:w="37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(1,518)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(1,958)</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Borrowed funds</w:t>
            </w: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1,686</w:t>
            </w:r>
          </w:p>
        </w:tc>
        <w:tc>
          <w:tcPr>
            <w:tcW w:w="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0" w:type="dxa"/>
            <w:vAlign w:val="bottom"/>
          </w:tcPr>
          <w:p>
            <w:pPr>
              <w:spacing w:after="0"/>
              <w:rPr>
                <w:sz w:val="1"/>
                <w:szCs w:val="1"/>
                <w:color w:val="auto"/>
              </w:rPr>
            </w:pPr>
          </w:p>
        </w:tc>
      </w:tr>
      <w:tr>
        <w:trPr>
          <w:trHeight w:val="158"/>
        </w:trPr>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b w:val="1"/>
                <w:bCs w:val="1"/>
                <w:color w:val="auto"/>
              </w:rPr>
              <w:t>Total interest expense</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3,382</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(6,085)</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(6,632)</w:t>
            </w:r>
          </w:p>
        </w:tc>
        <w:tc>
          <w:tcPr>
            <w:tcW w:w="0" w:type="dxa"/>
            <w:vAlign w:val="bottom"/>
          </w:tcPr>
          <w:p>
            <w:pPr>
              <w:spacing w:after="0"/>
              <w:rPr>
                <w:sz w:val="1"/>
                <w:szCs w:val="1"/>
                <w:color w:val="auto"/>
              </w:rPr>
            </w:pPr>
          </w:p>
        </w:tc>
      </w:tr>
      <w:tr>
        <w:trPr>
          <w:trHeight w:val="18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interest income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26,129</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23,914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28,865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3,759</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32,624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When comparing the years ended December 31, 2022 to 2021, the greatest positive impact to total interest income was the increased market interest rate affecting all interest earning assets. On a stand-alone basis, the credit card portfolio contributed an increase of $15.1 million due to market interest rate increases and increased average credit card balances when comparing the year over year 2022 to 2021 figures. While credit card balances declined as of December 31, 2022 compared to 2021, average credit card loan balances maintained a consistent balance until late 2022, when credit card balances declined, likely due to the lapse of certain government stimulus programs. SBA-PPP loans continued to be forgiven in 2022 resulting in reduced interest income of $4.1 million when compared to 2021. Volume increases in portfolio loans excluding credit cards accounted for an increase of $10.3 million in interest income for the year ended December 31, 2022, while interest rates accounted for an increase of $3.1 million for the same period. The increase in rates paid on the deposit portfolio increased interest expense by $3.1 million due to the increase in market interest rates between the years ended December 31, 2022 and 2021.</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Provision for Loan Losses</w:t>
      </w:r>
    </w:p>
    <w:p>
      <w:pPr>
        <w:spacing w:after="0" w:line="19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provision for loan losses represents the amount of expense charged to current earnings to fund the allowance for loan losses. The amount of the allowance for loan losses is based on many factors which reflect management’s assessment of the risk in the loan portfolio. Those factors include historical losses, economic conditions and trends, the value and adequacy of collateral, volume and mix of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37" w:name="page38"/>
    <w:bookmarkEnd w:id="37"/>
    <w:p>
      <w:pPr>
        <w:jc w:val="both"/>
        <w:spacing w:after="0" w:line="266" w:lineRule="auto"/>
        <w:rPr>
          <w:sz w:val="20"/>
          <w:szCs w:val="20"/>
          <w:color w:val="auto"/>
        </w:rPr>
      </w:pPr>
      <w:r>
        <w:rPr>
          <w:rFonts w:ascii="Arial" w:cs="Arial" w:eastAsia="Arial" w:hAnsi="Arial"/>
          <w:sz w:val="14"/>
          <w:szCs w:val="14"/>
          <w:color w:val="auto"/>
        </w:rPr>
        <w:t>portfolio, performance of the portfolio, and internal loan processes of the Company and Bank. For a detailed description of the factors taken into account by our management in determining the allowance for loan losses see “Financial Condition— Allowance for Loan Losses.”</w:t>
      </w:r>
    </w:p>
    <w:p>
      <w:pPr>
        <w:spacing w:after="0" w:line="15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For the year ended December 31, 2022, the Company recorded a provision for loan losses of $6.6 million, compared to $3.4 million for the previous year. The increase in the provision for 2022 compared to 2021 was primarily associated with the credit card portfolio. See additional discussion regarding the Company’s allowance for loan losses and reserve for off-balance sheet credit exposures at December 31, 2022 in “Financial Condition— Allowance for Loan Losses.”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maintenance of a high-quality loan portfolio, with an adequate allowance for possible credit losses, will continue to be a primary management objective for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Noninterest Income</w:t>
      </w:r>
    </w:p>
    <w:p>
      <w:pPr>
        <w:spacing w:after="0" w:line="19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Our primary sources of recurring noninterest income are credit card fees, such as interchange fees and statement fees, and mortgage banking revenue. Noninterest income does not include (i) loan origination fees to the extent they exceed the direct loan origination costs and annual renewal fees, which are generally recognized over the life of the related loan as an adjustment to yield using the interest method or (ii) late fees assessed on delinquent accounts.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for the periods indicated, the major categories of noninterest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Years Ended December 31,</w:t>
            </w:r>
          </w:p>
        </w:tc>
        <w:tc>
          <w:tcPr>
            <w:tcW w:w="1520" w:type="dxa"/>
            <w:vAlign w:val="bottom"/>
            <w:tcBorders>
              <w:bottom w:val="single" w:sz="8" w:color="auto"/>
            </w:tcBorders>
          </w:tcPr>
          <w:p>
            <w:pPr>
              <w:spacing w:after="0"/>
              <w:rPr>
                <w:sz w:val="13"/>
                <w:szCs w:val="13"/>
                <w:color w:val="auto"/>
              </w:rPr>
            </w:pPr>
          </w:p>
        </w:tc>
      </w:tr>
      <w:tr>
        <w:trPr>
          <w:trHeight w:val="15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 Change</w:t>
            </w:r>
          </w:p>
        </w:tc>
      </w:tr>
      <w:tr>
        <w:trPr>
          <w:trHeight w:val="154"/>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income:</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68"/>
        </w:trPr>
        <w:tc>
          <w:tcPr>
            <w:tcW w:w="6740" w:type="dxa"/>
            <w:vAlign w:val="bottom"/>
          </w:tcPr>
          <w:p>
            <w:pPr>
              <w:ind w:left="140"/>
              <w:spacing w:after="0"/>
              <w:rPr>
                <w:sz w:val="20"/>
                <w:szCs w:val="20"/>
                <w:color w:val="auto"/>
              </w:rPr>
            </w:pPr>
            <w:r>
              <w:rPr>
                <w:rFonts w:ascii="Arial" w:cs="Arial" w:eastAsia="Arial" w:hAnsi="Arial"/>
                <w:sz w:val="13"/>
                <w:szCs w:val="13"/>
                <w:color w:val="auto"/>
              </w:rPr>
              <w:t>Service charges on deposit accounts</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767</w:t>
            </w:r>
          </w:p>
        </w:tc>
        <w:tc>
          <w:tcPr>
            <w:tcW w:w="100" w:type="dxa"/>
            <w:vAlign w:val="bottom"/>
          </w:tcPr>
          <w:p>
            <w:pPr>
              <w:spacing w:after="0"/>
              <w:rPr>
                <w:sz w:val="14"/>
                <w:szCs w:val="14"/>
                <w:color w:val="auto"/>
              </w:rPr>
            </w:pPr>
          </w:p>
        </w:tc>
        <w:tc>
          <w:tcPr>
            <w:tcW w:w="34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609</w:t>
            </w:r>
          </w:p>
        </w:tc>
        <w:tc>
          <w:tcPr>
            <w:tcW w:w="100" w:type="dxa"/>
            <w:vAlign w:val="bottom"/>
          </w:tcPr>
          <w:p>
            <w:pPr>
              <w:spacing w:after="0"/>
              <w:rPr>
                <w:sz w:val="14"/>
                <w:szCs w:val="14"/>
                <w:color w:val="auto"/>
              </w:rPr>
            </w:pPr>
          </w:p>
        </w:tc>
        <w:tc>
          <w:tcPr>
            <w:tcW w:w="1520" w:type="dxa"/>
            <w:vAlign w:val="bottom"/>
          </w:tcPr>
          <w:p>
            <w:pPr>
              <w:ind w:left="1120"/>
              <w:spacing w:after="0"/>
              <w:rPr>
                <w:sz w:val="20"/>
                <w:szCs w:val="20"/>
                <w:color w:val="auto"/>
              </w:rPr>
            </w:pPr>
            <w:r>
              <w:rPr>
                <w:rFonts w:ascii="Arial" w:cs="Arial" w:eastAsia="Arial" w:hAnsi="Arial"/>
                <w:sz w:val="13"/>
                <w:szCs w:val="13"/>
                <w:color w:val="auto"/>
                <w:w w:val="93"/>
              </w:rPr>
              <w:t>25.9 %</w:t>
            </w:r>
          </w:p>
        </w:tc>
      </w:tr>
      <w:tr>
        <w:trPr>
          <w:trHeight w:val="172"/>
        </w:trPr>
        <w:tc>
          <w:tcPr>
            <w:tcW w:w="6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Credit card fees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27,884</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w:t>
            </w:r>
          </w:p>
        </w:tc>
      </w:tr>
      <w:tr>
        <w:trPr>
          <w:trHeight w:val="168"/>
        </w:trPr>
        <w:tc>
          <w:tcPr>
            <w:tcW w:w="6740" w:type="dxa"/>
            <w:vAlign w:val="bottom"/>
          </w:tcPr>
          <w:p>
            <w:pPr>
              <w:ind w:left="140"/>
              <w:spacing w:after="0"/>
              <w:rPr>
                <w:sz w:val="20"/>
                <w:szCs w:val="20"/>
                <w:color w:val="auto"/>
              </w:rPr>
            </w:pPr>
            <w:r>
              <w:rPr>
                <w:rFonts w:ascii="Arial" w:cs="Arial" w:eastAsia="Arial" w:hAnsi="Arial"/>
                <w:sz w:val="13"/>
                <w:szCs w:val="13"/>
                <w:color w:val="auto"/>
              </w:rPr>
              <w:t>Mortgage banking revenue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4,866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20,843</w:t>
            </w:r>
          </w:p>
        </w:tc>
        <w:tc>
          <w:tcPr>
            <w:tcW w:w="100" w:type="dxa"/>
            <w:vAlign w:val="bottom"/>
          </w:tcPr>
          <w:p>
            <w:pPr>
              <w:spacing w:after="0"/>
              <w:rPr>
                <w:sz w:val="14"/>
                <w:szCs w:val="14"/>
                <w:color w:val="auto"/>
              </w:rPr>
            </w:pPr>
          </w:p>
        </w:tc>
        <w:tc>
          <w:tcPr>
            <w:tcW w:w="1520" w:type="dxa"/>
            <w:vAlign w:val="bottom"/>
          </w:tcPr>
          <w:p>
            <w:pPr>
              <w:jc w:val="right"/>
              <w:ind w:right="57"/>
              <w:spacing w:after="0"/>
              <w:rPr>
                <w:sz w:val="20"/>
                <w:szCs w:val="20"/>
                <w:color w:val="auto"/>
              </w:rPr>
            </w:pPr>
            <w:r>
              <w:rPr>
                <w:rFonts w:ascii="Arial" w:cs="Arial" w:eastAsia="Arial" w:hAnsi="Arial"/>
                <w:sz w:val="13"/>
                <w:szCs w:val="13"/>
                <w:color w:val="auto"/>
              </w:rPr>
              <w:t>(76.7)</w:t>
            </w:r>
          </w:p>
        </w:tc>
      </w:tr>
      <w:tr>
        <w:trPr>
          <w:trHeight w:val="172"/>
        </w:trPr>
        <w:tc>
          <w:tcPr>
            <w:tcW w:w="6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sale of investment securities available for sale, net</w:t>
            </w: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(100.0)</w:t>
            </w:r>
          </w:p>
        </w:tc>
      </w:tr>
      <w:tr>
        <w:trPr>
          <w:trHeight w:val="168"/>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income</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1,147</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ind w:left="1120"/>
              <w:spacing w:after="0"/>
              <w:rPr>
                <w:sz w:val="20"/>
                <w:szCs w:val="20"/>
                <w:color w:val="auto"/>
              </w:rPr>
            </w:pPr>
            <w:r>
              <w:rPr>
                <w:rFonts w:ascii="Arial" w:cs="Arial" w:eastAsia="Arial" w:hAnsi="Arial"/>
                <w:sz w:val="13"/>
                <w:szCs w:val="13"/>
                <w:color w:val="auto"/>
              </w:rPr>
              <w:t>54.1</w:t>
            </w:r>
          </w:p>
        </w:tc>
      </w:tr>
      <w:tr>
        <w:trPr>
          <w:trHeight w:val="188"/>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noninterest income</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29,372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50,636</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255"/>
        <w:spacing w:after="0" w:line="234" w:lineRule="auto"/>
        <w:rPr>
          <w:sz w:val="20"/>
          <w:szCs w:val="20"/>
          <w:color w:val="auto"/>
        </w:rPr>
      </w:pPr>
      <w:r>
        <w:rPr>
          <w:rFonts w:ascii="Arial" w:cs="Arial" w:eastAsia="Arial" w:hAnsi="Arial"/>
          <w:sz w:val="14"/>
          <w:szCs w:val="14"/>
          <w:color w:val="auto"/>
        </w:rPr>
        <w:t>The Bank’s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Division active customer accounts decreased by 127 thousand when comparing the 2022 year end levels to 2021 year end levels. The decrease in accounts was due to waning COVID-19 consumer patterns, a return to more normalized seasonal trends in 2022 and aggressive marketing by competitors. These headwinds led to decreased fees of $5.9 million during 2022.</w:t>
      </w:r>
    </w:p>
    <w:p>
      <w:pPr>
        <w:spacing w:after="0" w:line="171"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Bank’s Capital Bank Home Loans division saw a decline in mortgage originations during the year ended December 31, 2022 when compared to the prior year. A rising interest rate environment dampened home loan sales and home loan refinances. Gain on sale margins, down slightly from 2.79% for the twelve months ended December 31, 2021, remained strong at 2.34% for the twelve months ended December 31, 2022. Historically-low housing inventory, shortages in new home building materials, and fluctuating interest rates are likely to continue suppressing origination volumes into 2023.</w:t>
      </w:r>
    </w:p>
    <w:p>
      <w:pPr>
        <w:spacing w:after="0" w:line="15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Mortgage loans sold are subject to repurchase in circumstances where documentation is deficient or the underlying loan becomes delinquent or pays off within a specified period following loan funding and sale. The Bank considers these potential recourse provisions to be a risk and has established a reserve under generally accepted accounting principles for possible repurchases. The reserve was $1.2 million at December 31, 2022 and 2021. The Bank repurchased one loan in December 2022 for $463 thousand and one loan for $205 thousand during 2021. The Bank does not originate “sub-prime” mortgage loans and has no exposure to this market segment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color w:val="auto"/>
        </w:rPr>
        <w:t>Noninterest Expense</w:t>
      </w:r>
    </w:p>
    <w:p>
      <w:pPr>
        <w:spacing w:after="0" w:line="193"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for the periods indicated, the major categories of noninterest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Years Ended December 31,</w:t>
            </w:r>
          </w:p>
        </w:tc>
        <w:tc>
          <w:tcPr>
            <w:tcW w:w="1640" w:type="dxa"/>
            <w:vAlign w:val="bottom"/>
            <w:tcBorders>
              <w:bottom w:val="single" w:sz="8" w:color="auto"/>
            </w:tcBorders>
          </w:tcPr>
          <w:p>
            <w:pPr>
              <w:spacing w:after="0"/>
              <w:rPr>
                <w:sz w:val="13"/>
                <w:szCs w:val="13"/>
                <w:color w:val="auto"/>
              </w:rPr>
            </w:pPr>
          </w:p>
        </w:tc>
      </w:tr>
      <w:tr>
        <w:trPr>
          <w:trHeight w:val="15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 Change</w:t>
            </w:r>
          </w:p>
        </w:tc>
      </w:tr>
      <w:tr>
        <w:trPr>
          <w:trHeight w:val="154"/>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expense:</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68"/>
        </w:trPr>
        <w:tc>
          <w:tcPr>
            <w:tcW w:w="6380" w:type="dxa"/>
            <w:vAlign w:val="bottom"/>
          </w:tcPr>
          <w:p>
            <w:pPr>
              <w:ind w:left="140"/>
              <w:spacing w:after="0"/>
              <w:rPr>
                <w:sz w:val="20"/>
                <w:szCs w:val="20"/>
                <w:color w:val="auto"/>
              </w:rPr>
            </w:pPr>
            <w:r>
              <w:rPr>
                <w:rFonts w:ascii="Arial" w:cs="Arial" w:eastAsia="Arial" w:hAnsi="Arial"/>
                <w:sz w:val="13"/>
                <w:szCs w:val="13"/>
                <w:color w:val="auto"/>
              </w:rPr>
              <w:t>Salaries and employee benefits</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42,898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37,843</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13.4 %</w:t>
            </w:r>
          </w:p>
        </w:tc>
      </w:tr>
      <w:tr>
        <w:trPr>
          <w:trHeight w:val="172"/>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Occupancy and equipment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12.4</w:t>
            </w:r>
          </w:p>
        </w:tc>
      </w:tr>
      <w:tr>
        <w:trPr>
          <w:trHeight w:val="168"/>
        </w:trPr>
        <w:tc>
          <w:tcPr>
            <w:tcW w:w="6380" w:type="dxa"/>
            <w:vAlign w:val="bottom"/>
          </w:tcPr>
          <w:p>
            <w:pPr>
              <w:ind w:left="140"/>
              <w:spacing w:after="0"/>
              <w:rPr>
                <w:sz w:val="20"/>
                <w:szCs w:val="20"/>
                <w:color w:val="auto"/>
              </w:rPr>
            </w:pPr>
            <w:r>
              <w:rPr>
                <w:rFonts w:ascii="Arial" w:cs="Arial" w:eastAsia="Arial" w:hAnsi="Arial"/>
                <w:sz w:val="13"/>
                <w:szCs w:val="13"/>
                <w:color w:val="auto"/>
              </w:rPr>
              <w:t>Professional services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11,012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6,996</w:t>
            </w:r>
          </w:p>
        </w:tc>
        <w:tc>
          <w:tcPr>
            <w:tcW w:w="100" w:type="dxa"/>
            <w:vAlign w:val="bottom"/>
          </w:tcPr>
          <w:p>
            <w:pPr>
              <w:spacing w:after="0"/>
              <w:rPr>
                <w:sz w:val="14"/>
                <w:szCs w:val="14"/>
                <w:color w:val="auto"/>
              </w:rPr>
            </w:pPr>
          </w:p>
        </w:tc>
        <w:tc>
          <w:tcPr>
            <w:tcW w:w="1640" w:type="dxa"/>
            <w:vAlign w:val="bottom"/>
          </w:tcPr>
          <w:p>
            <w:pPr>
              <w:jc w:val="right"/>
              <w:ind w:right="97"/>
              <w:spacing w:after="0"/>
              <w:rPr>
                <w:sz w:val="20"/>
                <w:szCs w:val="20"/>
                <w:color w:val="auto"/>
              </w:rPr>
            </w:pPr>
            <w:r>
              <w:rPr>
                <w:rFonts w:ascii="Arial" w:cs="Arial" w:eastAsia="Arial" w:hAnsi="Arial"/>
                <w:sz w:val="13"/>
                <w:szCs w:val="13"/>
                <w:color w:val="auto"/>
              </w:rPr>
              <w:t>57.4</w:t>
            </w:r>
          </w:p>
        </w:tc>
      </w:tr>
      <w:tr>
        <w:trPr>
          <w:trHeight w:val="172"/>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Data processing</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39,237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(25.0)</w:t>
            </w:r>
          </w:p>
        </w:tc>
      </w:tr>
      <w:tr>
        <w:trPr>
          <w:trHeight w:val="168"/>
        </w:trPr>
        <w:tc>
          <w:tcPr>
            <w:tcW w:w="6380" w:type="dxa"/>
            <w:vAlign w:val="bottom"/>
          </w:tcPr>
          <w:p>
            <w:pPr>
              <w:ind w:left="140"/>
              <w:spacing w:after="0"/>
              <w:rPr>
                <w:sz w:val="20"/>
                <w:szCs w:val="20"/>
                <w:color w:val="auto"/>
              </w:rPr>
            </w:pPr>
            <w:r>
              <w:rPr>
                <w:rFonts w:ascii="Arial" w:cs="Arial" w:eastAsia="Arial" w:hAnsi="Arial"/>
                <w:sz w:val="13"/>
                <w:szCs w:val="13"/>
                <w:color w:val="auto"/>
              </w:rPr>
              <w:t>Advertising</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6,220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4,803</w:t>
            </w:r>
          </w:p>
        </w:tc>
        <w:tc>
          <w:tcPr>
            <w:tcW w:w="100" w:type="dxa"/>
            <w:vAlign w:val="bottom"/>
          </w:tcPr>
          <w:p>
            <w:pPr>
              <w:spacing w:after="0"/>
              <w:rPr>
                <w:sz w:val="14"/>
                <w:szCs w:val="14"/>
                <w:color w:val="auto"/>
              </w:rPr>
            </w:pPr>
          </w:p>
        </w:tc>
        <w:tc>
          <w:tcPr>
            <w:tcW w:w="1640" w:type="dxa"/>
            <w:vAlign w:val="bottom"/>
          </w:tcPr>
          <w:p>
            <w:pPr>
              <w:jc w:val="right"/>
              <w:ind w:right="97"/>
              <w:spacing w:after="0"/>
              <w:rPr>
                <w:sz w:val="20"/>
                <w:szCs w:val="20"/>
                <w:color w:val="auto"/>
              </w:rPr>
            </w:pPr>
            <w:r>
              <w:rPr>
                <w:rFonts w:ascii="Arial" w:cs="Arial" w:eastAsia="Arial" w:hAnsi="Arial"/>
                <w:sz w:val="13"/>
                <w:szCs w:val="13"/>
                <w:color w:val="auto"/>
              </w:rPr>
              <w:t>29.5</w:t>
            </w:r>
          </w:p>
        </w:tc>
      </w:tr>
      <w:tr>
        <w:trPr>
          <w:trHeight w:val="172"/>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 processing</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(51.7)</w:t>
            </w:r>
          </w:p>
        </w:tc>
      </w:tr>
      <w:tr>
        <w:trPr>
          <w:trHeight w:val="168"/>
        </w:trPr>
        <w:tc>
          <w:tcPr>
            <w:tcW w:w="6380" w:type="dxa"/>
            <w:vAlign w:val="bottom"/>
          </w:tcPr>
          <w:p>
            <w:pPr>
              <w:ind w:left="140"/>
              <w:spacing w:after="0"/>
              <w:rPr>
                <w:sz w:val="20"/>
                <w:szCs w:val="20"/>
                <w:color w:val="auto"/>
              </w:rPr>
            </w:pPr>
            <w:r>
              <w:rPr>
                <w:rFonts w:ascii="Arial" w:cs="Arial" w:eastAsia="Arial" w:hAnsi="Arial"/>
                <w:sz w:val="13"/>
                <w:szCs w:val="13"/>
                <w:color w:val="auto"/>
              </w:rPr>
              <w:t>Other real estate expense, net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14"/>
                <w:szCs w:val="14"/>
                <w:color w:val="auto"/>
              </w:rPr>
            </w:pPr>
          </w:p>
        </w:tc>
        <w:tc>
          <w:tcPr>
            <w:tcW w:w="1640" w:type="dxa"/>
            <w:vAlign w:val="bottom"/>
          </w:tcPr>
          <w:p>
            <w:pPr>
              <w:jc w:val="right"/>
              <w:ind w:right="57"/>
              <w:spacing w:after="0"/>
              <w:rPr>
                <w:sz w:val="20"/>
                <w:szCs w:val="20"/>
                <w:color w:val="auto"/>
              </w:rPr>
            </w:pPr>
            <w:r>
              <w:rPr>
                <w:rFonts w:ascii="Arial" w:cs="Arial" w:eastAsia="Arial" w:hAnsi="Arial"/>
                <w:sz w:val="13"/>
                <w:szCs w:val="13"/>
                <w:color w:val="auto"/>
              </w:rPr>
              <w:t>(149.7)</w:t>
            </w:r>
          </w:p>
        </w:tc>
      </w:tr>
      <w:tr>
        <w:trPr>
          <w:trHeight w:val="170"/>
        </w:trPr>
        <w:tc>
          <w:tcPr>
            <w:tcW w:w="6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operating</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13,182</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12,993</w:t>
            </w:r>
          </w:p>
        </w:tc>
        <w:tc>
          <w:tcPr>
            <w:tcW w:w="10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1.5</w:t>
            </w:r>
          </w:p>
        </w:tc>
      </w:tr>
      <w:tr>
        <w:trPr>
          <w:trHeight w:val="163"/>
        </w:trPr>
        <w:tc>
          <w:tcPr>
            <w:tcW w:w="6380" w:type="dxa"/>
            <w:vAlign w:val="bottom"/>
          </w:tcPr>
          <w:p>
            <w:pPr>
              <w:ind w:left="280"/>
              <w:spacing w:after="0"/>
              <w:rPr>
                <w:sz w:val="20"/>
                <w:szCs w:val="20"/>
                <w:color w:val="auto"/>
              </w:rPr>
            </w:pPr>
            <w:r>
              <w:rPr>
                <w:rFonts w:ascii="Arial" w:cs="Arial" w:eastAsia="Arial" w:hAnsi="Arial"/>
                <w:sz w:val="13"/>
                <w:szCs w:val="13"/>
                <w:color w:val="auto"/>
              </w:rPr>
              <w:t>Total noninterest expense</w:t>
            </w: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109,114</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110,094</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firstLine="255"/>
        <w:spacing w:after="0" w:line="241" w:lineRule="auto"/>
        <w:rPr>
          <w:sz w:val="20"/>
          <w:szCs w:val="20"/>
          <w:color w:val="auto"/>
        </w:rPr>
      </w:pPr>
      <w:r>
        <w:rPr>
          <w:rFonts w:ascii="Arial" w:cs="Arial" w:eastAsia="Arial" w:hAnsi="Arial"/>
          <w:sz w:val="14"/>
          <w:szCs w:val="14"/>
          <w:color w:val="auto"/>
        </w:rPr>
        <w:t>During 2022, data processing expenses decreased $9.8 million primarily due to a contract renegotiation entered into in the first quarter of 2022. When compared to the year ended December 31, 2021, salaries and employee benefits increased due to the addition of new employees in our commercial and commercial real estate lending groups as well as additional positions in executive management as the Company continues to put in place the requisite human capital for its continued growth. An increase in advertising expense was attributable to enhanced marketing for the commercial bank segment as well as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during 2022 as the Company focused on retaining high-quality customers and faced increasing competition in the credit card market. Professional fees associated with the commercial bank segment increased as the Company continued to build out its regulatory compliance function and its technology infrastructure.</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Expense</w:t>
      </w:r>
    </w:p>
    <w:p>
      <w:pPr>
        <w:spacing w:after="0" w:line="19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amount of income tax expense we incur is influenced by our pre-tax income and our nondeductible expenses. Deferred tax assets and liabilities are reflected at current income tax rates in effect for the period in which the deferred tax assets and liabilities are expected to be realized or settled. A valuation allowance is established when necessary to reduce deferred tax assets to the amount expected to be realized.</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Income tax expense was $12.4 million for 2022 compared to $13.9 million for 2021. Our effective tax rates for those periods were 22.9% and 25.8%,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39" w:name="page40"/>
    <w:bookmarkEnd w:id="39"/>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Company’s financial condition at the dates indicated.</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55"/>
        </w:trPr>
        <w:tc>
          <w:tcPr>
            <w:tcW w:w="45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1"/>
                <w:szCs w:val="11"/>
                <w:b w:val="1"/>
                <w:bCs w:val="1"/>
                <w:color w:val="auto"/>
              </w:rPr>
              <w:t>December 31,</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720"/>
              <w:spacing w:after="0"/>
              <w:rPr>
                <w:sz w:val="20"/>
                <w:szCs w:val="20"/>
                <w:color w:val="auto"/>
              </w:rPr>
            </w:pPr>
            <w:r>
              <w:rPr>
                <w:rFonts w:ascii="Arial" w:cs="Arial" w:eastAsia="Arial" w:hAnsi="Arial"/>
                <w:sz w:val="11"/>
                <w:szCs w:val="11"/>
                <w:b w:val="1"/>
                <w:bCs w:val="1"/>
                <w:color w:val="auto"/>
              </w:rPr>
              <w:t>Change expressed in:</w:t>
            </w:r>
          </w:p>
        </w:tc>
        <w:tc>
          <w:tcPr>
            <w:tcW w:w="860" w:type="dxa"/>
            <w:vAlign w:val="bottom"/>
            <w:tcBorders>
              <w:bottom w:val="single" w:sz="8" w:color="auto"/>
            </w:tcBorders>
          </w:tcPr>
          <w:p>
            <w:pPr>
              <w:spacing w:after="0"/>
              <w:rPr>
                <w:sz w:val="13"/>
                <w:szCs w:val="13"/>
                <w:color w:val="auto"/>
              </w:rPr>
            </w:pPr>
          </w:p>
        </w:tc>
      </w:tr>
      <w:tr>
        <w:trPr>
          <w:trHeight w:val="150"/>
        </w:trPr>
        <w:tc>
          <w:tcPr>
            <w:tcW w:w="450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400" w:type="dxa"/>
            <w:vAlign w:val="bottom"/>
          </w:tcPr>
          <w:p>
            <w:pPr>
              <w:spacing w:after="0"/>
              <w:rPr>
                <w:sz w:val="13"/>
                <w:szCs w:val="13"/>
                <w:color w:val="auto"/>
              </w:rPr>
            </w:pPr>
          </w:p>
        </w:tc>
        <w:tc>
          <w:tcPr>
            <w:tcW w:w="1260" w:type="dxa"/>
            <w:vAlign w:val="bottom"/>
          </w:tcPr>
          <w:p>
            <w:pPr>
              <w:jc w:val="right"/>
              <w:ind w:right="638"/>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jc w:val="right"/>
              <w:ind w:right="637"/>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3"/>
          </w:tcPr>
          <w:p>
            <w:pPr>
              <w:ind w:left="240"/>
              <w:spacing w:after="0"/>
              <w:rPr>
                <w:sz w:val="20"/>
                <w:szCs w:val="20"/>
                <w:color w:val="auto"/>
              </w:rPr>
            </w:pPr>
            <w:r>
              <w:rPr>
                <w:rFonts w:ascii="Arial" w:cs="Arial" w:eastAsia="Arial" w:hAnsi="Arial"/>
                <w:sz w:val="11"/>
                <w:szCs w:val="11"/>
                <w:b w:val="1"/>
                <w:bCs w:val="1"/>
                <w:color w:val="auto"/>
              </w:rPr>
              <w:t>Dollars</w:t>
            </w:r>
          </w:p>
        </w:tc>
        <w:tc>
          <w:tcPr>
            <w:tcW w:w="860" w:type="dxa"/>
            <w:vAlign w:val="bottom"/>
          </w:tcPr>
          <w:p>
            <w:pPr>
              <w:jc w:val="right"/>
              <w:ind w:right="377"/>
              <w:spacing w:after="0"/>
              <w:rPr>
                <w:sz w:val="20"/>
                <w:szCs w:val="20"/>
                <w:color w:val="auto"/>
              </w:rPr>
            </w:pPr>
            <w:r>
              <w:rPr>
                <w:rFonts w:ascii="Arial" w:cs="Arial" w:eastAsia="Arial" w:hAnsi="Arial"/>
                <w:sz w:val="11"/>
                <w:szCs w:val="11"/>
                <w:b w:val="1"/>
                <w:bCs w:val="1"/>
                <w:color w:val="auto"/>
                <w:w w:val="99"/>
              </w:rPr>
              <w:t>Percent</w:t>
            </w:r>
          </w:p>
        </w:tc>
      </w:tr>
      <w:tr>
        <w:trPr>
          <w:trHeight w:val="165"/>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2,123,655</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2,055,300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68,355</w:t>
            </w: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Investment securities available for sale</w:t>
            </w:r>
          </w:p>
        </w:tc>
        <w:tc>
          <w:tcPr>
            <w:tcW w:w="400" w:type="dxa"/>
            <w:vAlign w:val="bottom"/>
          </w:tcPr>
          <w:p>
            <w:pPr>
              <w:spacing w:after="0"/>
              <w:rPr>
                <w:sz w:val="14"/>
                <w:szCs w:val="14"/>
                <w:color w:val="auto"/>
              </w:rPr>
            </w:pPr>
          </w:p>
        </w:tc>
        <w:tc>
          <w:tcPr>
            <w:tcW w:w="1260" w:type="dxa"/>
            <w:vAlign w:val="bottom"/>
          </w:tcPr>
          <w:p>
            <w:pPr>
              <w:jc w:val="right"/>
              <w:ind w:right="98"/>
              <w:spacing w:after="0"/>
              <w:rPr>
                <w:sz w:val="20"/>
                <w:szCs w:val="20"/>
                <w:color w:val="auto"/>
              </w:rPr>
            </w:pPr>
            <w:r>
              <w:rPr>
                <w:rFonts w:ascii="Arial" w:cs="Arial" w:eastAsia="Arial" w:hAnsi="Arial"/>
                <w:sz w:val="13"/>
                <w:szCs w:val="13"/>
                <w:color w:val="auto"/>
              </w:rPr>
              <w:t>252,481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184,455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68,026</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36.9</w:t>
            </w:r>
          </w:p>
        </w:tc>
      </w:tr>
      <w:tr>
        <w:trPr>
          <w:trHeight w:val="17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Portfolio loans receivable, net of deferred fees and costs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1,728,592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1,523,982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204,610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Total deposits</w:t>
            </w:r>
          </w:p>
        </w:tc>
        <w:tc>
          <w:tcPr>
            <w:tcW w:w="400" w:type="dxa"/>
            <w:vAlign w:val="bottom"/>
          </w:tcPr>
          <w:p>
            <w:pPr>
              <w:spacing w:after="0"/>
              <w:rPr>
                <w:sz w:val="14"/>
                <w:szCs w:val="14"/>
                <w:color w:val="auto"/>
              </w:rPr>
            </w:pPr>
          </w:p>
        </w:tc>
        <w:tc>
          <w:tcPr>
            <w:tcW w:w="1260" w:type="dxa"/>
            <w:vAlign w:val="bottom"/>
          </w:tcPr>
          <w:p>
            <w:pPr>
              <w:jc w:val="right"/>
              <w:ind w:right="98"/>
              <w:spacing w:after="0"/>
              <w:rPr>
                <w:sz w:val="20"/>
                <w:szCs w:val="20"/>
                <w:color w:val="auto"/>
              </w:rPr>
            </w:pPr>
            <w:r>
              <w:rPr>
                <w:rFonts w:ascii="Arial" w:cs="Arial" w:eastAsia="Arial" w:hAnsi="Arial"/>
                <w:sz w:val="13"/>
                <w:szCs w:val="13"/>
                <w:color w:val="auto"/>
              </w:rPr>
              <w:t>1,758,072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1,797,137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(39,065)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7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119,062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34,062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85,000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249.5</w:t>
            </w: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Total stockholders’ equity</w:t>
            </w:r>
          </w:p>
        </w:tc>
        <w:tc>
          <w:tcPr>
            <w:tcW w:w="400" w:type="dxa"/>
            <w:vAlign w:val="bottom"/>
          </w:tcPr>
          <w:p>
            <w:pPr>
              <w:spacing w:after="0"/>
              <w:rPr>
                <w:sz w:val="14"/>
                <w:szCs w:val="14"/>
                <w:color w:val="auto"/>
              </w:rPr>
            </w:pPr>
          </w:p>
        </w:tc>
        <w:tc>
          <w:tcPr>
            <w:tcW w:w="1260" w:type="dxa"/>
            <w:vAlign w:val="bottom"/>
          </w:tcPr>
          <w:p>
            <w:pPr>
              <w:jc w:val="right"/>
              <w:ind w:right="98"/>
              <w:spacing w:after="0"/>
              <w:rPr>
                <w:sz w:val="20"/>
                <w:szCs w:val="20"/>
                <w:color w:val="auto"/>
              </w:rPr>
            </w:pPr>
            <w:r>
              <w:rPr>
                <w:rFonts w:ascii="Arial" w:cs="Arial" w:eastAsia="Arial" w:hAnsi="Arial"/>
                <w:sz w:val="13"/>
                <w:szCs w:val="13"/>
                <w:color w:val="auto"/>
              </w:rPr>
              <w:t>224,015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197,903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26,112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17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to total assets at end of period</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10.5 %</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Average number of basic shares outstanding</w:t>
            </w:r>
          </w:p>
        </w:tc>
        <w:tc>
          <w:tcPr>
            <w:tcW w:w="400" w:type="dxa"/>
            <w:vAlign w:val="bottom"/>
          </w:tcPr>
          <w:p>
            <w:pPr>
              <w:spacing w:after="0"/>
              <w:rPr>
                <w:sz w:val="14"/>
                <w:szCs w:val="14"/>
                <w:color w:val="auto"/>
              </w:rPr>
            </w:pPr>
          </w:p>
        </w:tc>
        <w:tc>
          <w:tcPr>
            <w:tcW w:w="1260" w:type="dxa"/>
            <w:vAlign w:val="bottom"/>
          </w:tcPr>
          <w:p>
            <w:pPr>
              <w:jc w:val="right"/>
              <w:ind w:right="98"/>
              <w:spacing w:after="0"/>
              <w:rPr>
                <w:sz w:val="20"/>
                <w:szCs w:val="20"/>
                <w:color w:val="auto"/>
              </w:rPr>
            </w:pPr>
            <w:r>
              <w:rPr>
                <w:rFonts w:ascii="Arial" w:cs="Arial" w:eastAsia="Arial" w:hAnsi="Arial"/>
                <w:sz w:val="13"/>
                <w:szCs w:val="13"/>
                <w:color w:val="auto"/>
              </w:rPr>
              <w:t>14,025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13,799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Average number of diluted shares outstanding</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14,362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14,081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bl>
    <w:p>
      <w:pPr>
        <w:spacing w:after="0" w:line="243" w:lineRule="exact"/>
        <w:rPr>
          <w:sz w:val="20"/>
          <w:szCs w:val="20"/>
          <w:color w:val="auto"/>
        </w:rPr>
      </w:pPr>
    </w:p>
    <w:p>
      <w:pPr>
        <w:jc w:val="both"/>
        <w:ind w:right="120" w:firstLine="255"/>
        <w:spacing w:after="0" w:line="259" w:lineRule="auto"/>
        <w:rPr>
          <w:sz w:val="20"/>
          <w:szCs w:val="20"/>
          <w:color w:val="auto"/>
        </w:rPr>
      </w:pPr>
      <w:r>
        <w:rPr>
          <w:rFonts w:ascii="Arial" w:cs="Arial" w:eastAsia="Arial" w:hAnsi="Arial"/>
          <w:sz w:val="14"/>
          <w:szCs w:val="14"/>
          <w:color w:val="auto"/>
        </w:rPr>
        <w:t>Total assets at December 31, 2022 reflected an increase from the December 31, 2021 balance due primarily to growth in the commercial real estate loan portfolio, which was accompanied by decreases in the credit card portfolio, increases in borrowings, and decreases in deposits during 2022 when compared to 2021, as well as a reduction in SBA-PPP loans as a result of payoffs during 2022.</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Securities</w:t>
      </w:r>
    </w:p>
    <w:p>
      <w:pPr>
        <w:spacing w:after="0" w:line="193" w:lineRule="exact"/>
        <w:rPr>
          <w:sz w:val="20"/>
          <w:szCs w:val="20"/>
          <w:color w:val="auto"/>
        </w:rPr>
      </w:pPr>
    </w:p>
    <w:p>
      <w:pPr>
        <w:ind w:right="140" w:firstLine="255"/>
        <w:spacing w:after="0" w:line="266" w:lineRule="auto"/>
        <w:rPr>
          <w:sz w:val="20"/>
          <w:szCs w:val="20"/>
          <w:color w:val="auto"/>
        </w:rPr>
      </w:pPr>
      <w:r>
        <w:rPr>
          <w:rFonts w:ascii="Arial" w:cs="Arial" w:eastAsia="Arial" w:hAnsi="Arial"/>
          <w:sz w:val="14"/>
          <w:szCs w:val="14"/>
          <w:color w:val="auto"/>
        </w:rPr>
        <w:t>The Company uses its securities portfolio to provide a source of liquidity, provide an appropriate return on funds invested, manage interest rate risk, meet collateral requirements and meet regulatory capital requirements.</w:t>
      </w:r>
    </w:p>
    <w:p>
      <w:pPr>
        <w:spacing w:after="0" w:line="152" w:lineRule="exact"/>
        <w:rPr>
          <w:sz w:val="20"/>
          <w:szCs w:val="20"/>
          <w:color w:val="auto"/>
        </w:rPr>
      </w:pPr>
    </w:p>
    <w:p>
      <w:pPr>
        <w:jc w:val="both"/>
        <w:ind w:right="80" w:firstLine="255"/>
        <w:spacing w:after="0" w:line="257" w:lineRule="auto"/>
        <w:rPr>
          <w:sz w:val="20"/>
          <w:szCs w:val="20"/>
          <w:color w:val="auto"/>
        </w:rPr>
      </w:pPr>
      <w:r>
        <w:rPr>
          <w:rFonts w:ascii="Arial" w:cs="Arial" w:eastAsia="Arial" w:hAnsi="Arial"/>
          <w:sz w:val="14"/>
          <w:szCs w:val="14"/>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159" w:lineRule="exact"/>
        <w:rPr>
          <w:sz w:val="20"/>
          <w:szCs w:val="20"/>
          <w:color w:val="auto"/>
        </w:rPr>
      </w:pPr>
    </w:p>
    <w:p>
      <w:pPr>
        <w:jc w:val="both"/>
        <w:ind w:right="80" w:firstLine="255"/>
        <w:spacing w:after="0" w:line="259" w:lineRule="auto"/>
        <w:rPr>
          <w:sz w:val="20"/>
          <w:szCs w:val="20"/>
          <w:color w:val="auto"/>
        </w:rPr>
      </w:pPr>
      <w:r>
        <w:rPr>
          <w:rFonts w:ascii="Arial" w:cs="Arial" w:eastAsia="Arial" w:hAnsi="Arial"/>
          <w:sz w:val="14"/>
          <w:szCs w:val="14"/>
          <w:color w:val="auto"/>
        </w:rPr>
        <w:t>To supplement interest income earned on our loan portfolio, the Company invests in high-quality mortgage-backed securities, government agency bonds, asset-backed securities and high-quality municipal and corporate bonds. During early 2022, management invested a portion of its excess liquidity into U.S. Treasuries as the spread between treasuries and other investment portfolios continued to contract.</w:t>
      </w:r>
    </w:p>
    <w:p>
      <w:pPr>
        <w:spacing w:after="0" w:line="158" w:lineRule="exact"/>
        <w:rPr>
          <w:sz w:val="20"/>
          <w:szCs w:val="20"/>
          <w:color w:val="auto"/>
        </w:rPr>
      </w:pPr>
    </w:p>
    <w:p>
      <w:pPr>
        <w:jc w:val="both"/>
        <w:ind w:right="140" w:firstLine="255"/>
        <w:spacing w:after="0" w:line="257" w:lineRule="auto"/>
        <w:rPr>
          <w:sz w:val="20"/>
          <w:szCs w:val="20"/>
          <w:color w:val="auto"/>
        </w:rPr>
      </w:pPr>
      <w:r>
        <w:rPr>
          <w:rFonts w:ascii="Arial" w:cs="Arial" w:eastAsia="Arial" w:hAnsi="Arial"/>
          <w:sz w:val="14"/>
          <w:szCs w:val="14"/>
          <w:color w:val="auto"/>
        </w:rPr>
        <w:t>The following tables summarize the contractual maturities, without consideration of call features or pre-refunding dates, and weighted-average yields of investment securities at December 31, 2022 and the amortized cost and carrying value of those securities as of the indicated dates. The weighted average yields were calculated by multiplying the book value of each individual security by its yield, dividing that figure by the portfolio total, and then summing the value of these results to arrive at the weighted average yield. Yields on tax-exempt investments are not calculated on a fully tax equivalent basis.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440" w:right="239" w:bottom="1440" w:gutter="0" w:footer="0" w:header="0"/>
        </w:sectPr>
      </w:pPr>
    </w:p>
    <w:bookmarkStart w:id="40" w:name="page41"/>
    <w:bookmarkEnd w:id="40"/>
    <w:tbl>
      <w:tblPr>
        <w:tblLayout w:type="fixed"/>
        <w:tblInd w:w="20" w:type="dxa"/>
        <w:tblCellMar>
          <w:top w:w="0" w:type="dxa"/>
          <w:left w:w="0" w:type="dxa"/>
          <w:bottom w:w="0" w:type="dxa"/>
          <w:right w:w="0" w:type="dxa"/>
        </w:tblCellMar>
      </w:tblPr>
      <w:tr>
        <w:trPr>
          <w:trHeight w:val="92"/>
        </w:trPr>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gridSpan w:val="3"/>
            <w:vMerge w:val="restart"/>
          </w:tcPr>
          <w:p>
            <w:pPr>
              <w:jc w:val="right"/>
              <w:ind w:right="432"/>
              <w:spacing w:after="0"/>
              <w:rPr>
                <w:sz w:val="20"/>
                <w:szCs w:val="20"/>
                <w:color w:val="auto"/>
              </w:rPr>
            </w:pPr>
            <w:r>
              <w:rPr>
                <w:rFonts w:ascii="Arial" w:cs="Arial" w:eastAsia="Arial" w:hAnsi="Arial"/>
                <w:sz w:val="8"/>
                <w:szCs w:val="8"/>
                <w:b w:val="1"/>
                <w:bCs w:val="1"/>
                <w:color w:val="auto"/>
              </w:rPr>
              <w:t>One Year or Less</w:t>
            </w:r>
          </w:p>
        </w:tc>
        <w:tc>
          <w:tcPr>
            <w:tcW w:w="10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gridSpan w:val="5"/>
          </w:tcPr>
          <w:p>
            <w:pPr>
              <w:ind w:left="40"/>
              <w:spacing w:after="0"/>
              <w:rPr>
                <w:sz w:val="20"/>
                <w:szCs w:val="20"/>
                <w:color w:val="auto"/>
              </w:rPr>
            </w:pPr>
            <w:r>
              <w:rPr>
                <w:rFonts w:ascii="Arial" w:cs="Arial" w:eastAsia="Arial" w:hAnsi="Arial"/>
                <w:sz w:val="8"/>
                <w:szCs w:val="8"/>
                <w:b w:val="1"/>
                <w:bCs w:val="1"/>
                <w:color w:val="auto"/>
              </w:rPr>
              <w:t>More Than One Year Through Five</w:t>
            </w:r>
          </w:p>
        </w:tc>
        <w:tc>
          <w:tcPr>
            <w:tcW w:w="100" w:type="dxa"/>
            <w:vAlign w:val="bottom"/>
          </w:tcPr>
          <w:p>
            <w:pPr>
              <w:spacing w:after="0"/>
              <w:rPr>
                <w:sz w:val="7"/>
                <w:szCs w:val="7"/>
                <w:color w:val="auto"/>
              </w:rPr>
            </w:pPr>
          </w:p>
        </w:tc>
        <w:tc>
          <w:tcPr>
            <w:tcW w:w="1680" w:type="dxa"/>
            <w:vAlign w:val="bottom"/>
            <w:gridSpan w:val="5"/>
          </w:tcPr>
          <w:p>
            <w:pPr>
              <w:ind w:left="40"/>
              <w:spacing w:after="0"/>
              <w:rPr>
                <w:sz w:val="20"/>
                <w:szCs w:val="20"/>
                <w:color w:val="auto"/>
              </w:rPr>
            </w:pPr>
            <w:r>
              <w:rPr>
                <w:rFonts w:ascii="Arial" w:cs="Arial" w:eastAsia="Arial" w:hAnsi="Arial"/>
                <w:sz w:val="8"/>
                <w:szCs w:val="8"/>
                <w:b w:val="1"/>
                <w:bCs w:val="1"/>
                <w:color w:val="auto"/>
              </w:rPr>
              <w:t>More Than Five Years Through Ten</w:t>
            </w:r>
          </w:p>
        </w:tc>
        <w:tc>
          <w:tcPr>
            <w:tcW w:w="100" w:type="dxa"/>
            <w:vAlign w:val="bottom"/>
          </w:tcPr>
          <w:p>
            <w:pPr>
              <w:spacing w:after="0"/>
              <w:rPr>
                <w:sz w:val="7"/>
                <w:szCs w:val="7"/>
                <w:color w:val="auto"/>
              </w:rPr>
            </w:pPr>
          </w:p>
        </w:tc>
        <w:tc>
          <w:tcPr>
            <w:tcW w:w="1580" w:type="dxa"/>
            <w:vAlign w:val="bottom"/>
            <w:gridSpan w:val="3"/>
            <w:vMerge w:val="restart"/>
          </w:tcPr>
          <w:p>
            <w:pPr>
              <w:jc w:val="right"/>
              <w:ind w:right="372"/>
              <w:spacing w:after="0"/>
              <w:rPr>
                <w:sz w:val="20"/>
                <w:szCs w:val="20"/>
                <w:color w:val="auto"/>
              </w:rPr>
            </w:pPr>
            <w:r>
              <w:rPr>
                <w:rFonts w:ascii="Arial" w:cs="Arial" w:eastAsia="Arial" w:hAnsi="Arial"/>
                <w:sz w:val="8"/>
                <w:szCs w:val="8"/>
                <w:b w:val="1"/>
                <w:bCs w:val="1"/>
                <w:color w:val="auto"/>
              </w:rPr>
              <w:t>More Than Ten Years</w:t>
            </w:r>
          </w:p>
        </w:tc>
        <w:tc>
          <w:tcPr>
            <w:tcW w:w="10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gridSpan w:val="3"/>
            <w:vMerge w:val="restart"/>
          </w:tcPr>
          <w:p>
            <w:pPr>
              <w:jc w:val="right"/>
              <w:ind w:right="60"/>
              <w:spacing w:after="0"/>
              <w:rPr>
                <w:sz w:val="20"/>
                <w:szCs w:val="20"/>
                <w:color w:val="auto"/>
              </w:rPr>
            </w:pPr>
            <w:r>
              <w:rPr>
                <w:rFonts w:ascii="Arial" w:cs="Arial" w:eastAsia="Arial" w:hAnsi="Arial"/>
                <w:sz w:val="8"/>
                <w:szCs w:val="8"/>
                <w:b w:val="1"/>
                <w:bCs w:val="1"/>
                <w:color w:val="auto"/>
                <w:w w:val="93"/>
              </w:rPr>
              <w:t>Total</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8"/>
                <w:szCs w:val="8"/>
                <w:b w:val="1"/>
                <w:bCs w:val="1"/>
                <w:color w:val="auto"/>
              </w:rPr>
              <w:t>Years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8"/>
                <w:szCs w:val="8"/>
                <w:b w:val="1"/>
                <w:bCs w:val="1"/>
                <w:color w:val="auto"/>
              </w:rPr>
              <w:t>Years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gridSpan w:val="3"/>
            <w:vMerge w:val="continue"/>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620" w:type="dxa"/>
            <w:vAlign w:val="bottom"/>
            <w:vMerge w:val="restart"/>
          </w:tcPr>
          <w:p>
            <w:pPr>
              <w:spacing w:after="0"/>
              <w:rPr>
                <w:sz w:val="20"/>
                <w:szCs w:val="20"/>
                <w:color w:val="auto"/>
              </w:rPr>
            </w:pPr>
            <w:r>
              <w:rPr>
                <w:rFonts w:ascii="Arial" w:cs="Arial" w:eastAsia="Arial" w:hAnsi="Arial"/>
                <w:sz w:val="10"/>
                <w:szCs w:val="10"/>
                <w:b w:val="1"/>
                <w:bCs w:val="1"/>
                <w:color w:val="auto"/>
              </w:rPr>
              <w:t>At December 31, 2022</w:t>
            </w:r>
          </w:p>
        </w:tc>
        <w:tc>
          <w:tcPr>
            <w:tcW w:w="100" w:type="dxa"/>
            <w:vAlign w:val="bottom"/>
          </w:tcPr>
          <w:p>
            <w:pPr>
              <w:spacing w:after="0"/>
              <w:rPr>
                <w:sz w:val="7"/>
                <w:szCs w:val="7"/>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Book Value</w:t>
            </w:r>
          </w:p>
        </w:tc>
        <w:tc>
          <w:tcPr>
            <w:tcW w:w="820" w:type="dxa"/>
            <w:vAlign w:val="bottom"/>
          </w:tcPr>
          <w:p>
            <w:pPr>
              <w:jc w:val="center"/>
              <w:spacing w:after="0" w:line="85" w:lineRule="exact"/>
              <w:rPr>
                <w:sz w:val="20"/>
                <w:szCs w:val="20"/>
                <w:color w:val="auto"/>
              </w:rPr>
            </w:pPr>
            <w:r>
              <w:rPr>
                <w:rFonts w:ascii="Arial" w:cs="Arial" w:eastAsia="Arial" w:hAnsi="Arial"/>
                <w:sz w:val="8"/>
                <w:szCs w:val="8"/>
                <w:b w:val="1"/>
                <w:bCs w:val="1"/>
                <w:color w:val="auto"/>
              </w:rPr>
              <w:t>Weighted Average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ind w:left="40"/>
              <w:spacing w:after="0"/>
              <w:rPr>
                <w:sz w:val="20"/>
                <w:szCs w:val="20"/>
                <w:color w:val="auto"/>
              </w:rPr>
            </w:pPr>
            <w:r>
              <w:rPr>
                <w:rFonts w:ascii="Arial" w:cs="Arial" w:eastAsia="Arial" w:hAnsi="Arial"/>
                <w:sz w:val="8"/>
                <w:szCs w:val="8"/>
                <w:b w:val="1"/>
                <w:bCs w:val="1"/>
                <w:color w:val="auto"/>
              </w:rPr>
              <w:t>Book Value</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jc w:val="center"/>
              <w:spacing w:after="0" w:line="85" w:lineRule="exact"/>
              <w:rPr>
                <w:sz w:val="20"/>
                <w:szCs w:val="20"/>
                <w:color w:val="auto"/>
              </w:rPr>
            </w:pPr>
            <w:r>
              <w:rPr>
                <w:rFonts w:ascii="Arial" w:cs="Arial" w:eastAsia="Arial" w:hAnsi="Arial"/>
                <w:sz w:val="8"/>
                <w:szCs w:val="8"/>
                <w:b w:val="1"/>
                <w:bCs w:val="1"/>
                <w:color w:val="auto"/>
              </w:rPr>
              <w:t>Weighted Average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jc w:val="right"/>
              <w:ind w:right="72"/>
              <w:spacing w:after="0"/>
              <w:rPr>
                <w:sz w:val="20"/>
                <w:szCs w:val="20"/>
                <w:color w:val="auto"/>
              </w:rPr>
            </w:pPr>
            <w:r>
              <w:rPr>
                <w:rFonts w:ascii="Arial" w:cs="Arial" w:eastAsia="Arial" w:hAnsi="Arial"/>
                <w:sz w:val="8"/>
                <w:szCs w:val="8"/>
                <w:b w:val="1"/>
                <w:bCs w:val="1"/>
                <w:color w:val="auto"/>
              </w:rPr>
              <w:t>Book Value</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jc w:val="center"/>
              <w:spacing w:after="0" w:line="85" w:lineRule="exact"/>
              <w:rPr>
                <w:sz w:val="20"/>
                <w:szCs w:val="20"/>
                <w:color w:val="auto"/>
              </w:rPr>
            </w:pPr>
            <w:r>
              <w:rPr>
                <w:rFonts w:ascii="Arial" w:cs="Arial" w:eastAsia="Arial" w:hAnsi="Arial"/>
                <w:sz w:val="8"/>
                <w:szCs w:val="8"/>
                <w:b w:val="1"/>
                <w:bCs w:val="1"/>
                <w:color w:val="auto"/>
              </w:rPr>
              <w:t>Weighted Average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Book Value</w:t>
            </w:r>
          </w:p>
        </w:tc>
        <w:tc>
          <w:tcPr>
            <w:tcW w:w="820" w:type="dxa"/>
            <w:vAlign w:val="bottom"/>
          </w:tcPr>
          <w:p>
            <w:pPr>
              <w:jc w:val="center"/>
              <w:spacing w:after="0" w:line="85" w:lineRule="exact"/>
              <w:rPr>
                <w:sz w:val="20"/>
                <w:szCs w:val="20"/>
                <w:color w:val="auto"/>
              </w:rPr>
            </w:pPr>
            <w:r>
              <w:rPr>
                <w:rFonts w:ascii="Arial" w:cs="Arial" w:eastAsia="Arial" w:hAnsi="Arial"/>
                <w:sz w:val="8"/>
                <w:szCs w:val="8"/>
                <w:b w:val="1"/>
                <w:bCs w:val="1"/>
                <w:color w:val="auto"/>
              </w:rPr>
              <w:t>Weighted Average</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8"/>
                <w:szCs w:val="8"/>
                <w:b w:val="1"/>
                <w:bCs w:val="1"/>
                <w:color w:val="auto"/>
              </w:rPr>
              <w:t>Book Value</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Fair Value</w:t>
            </w:r>
          </w:p>
        </w:tc>
        <w:tc>
          <w:tcPr>
            <w:tcW w:w="840" w:type="dxa"/>
            <w:vAlign w:val="bottom"/>
          </w:tcPr>
          <w:p>
            <w:pPr>
              <w:ind w:left="60"/>
              <w:spacing w:after="0" w:line="85" w:lineRule="exact"/>
              <w:rPr>
                <w:sz w:val="20"/>
                <w:szCs w:val="20"/>
                <w:color w:val="auto"/>
              </w:rPr>
            </w:pPr>
            <w:r>
              <w:rPr>
                <w:rFonts w:ascii="Arial" w:cs="Arial" w:eastAsia="Arial" w:hAnsi="Arial"/>
                <w:sz w:val="8"/>
                <w:szCs w:val="8"/>
                <w:b w:val="1"/>
                <w:bCs w:val="1"/>
                <w:color w:val="auto"/>
              </w:rPr>
              <w:t>Weighted Average</w:t>
            </w:r>
          </w:p>
        </w:tc>
        <w:tc>
          <w:tcPr>
            <w:tcW w:w="0" w:type="dxa"/>
            <w:vAlign w:val="bottom"/>
          </w:tcPr>
          <w:p>
            <w:pPr>
              <w:spacing w:after="0"/>
              <w:rPr>
                <w:sz w:val="1"/>
                <w:szCs w:val="1"/>
                <w:color w:val="auto"/>
              </w:rPr>
            </w:pPr>
          </w:p>
        </w:tc>
      </w:tr>
      <w:tr>
        <w:trPr>
          <w:trHeight w:val="118"/>
        </w:trPr>
        <w:tc>
          <w:tcPr>
            <w:tcW w:w="1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rPr>
              <w:t>Yield</w:t>
            </w: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rPr>
              <w:t>Yield</w:t>
            </w: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rPr>
              <w:t>Yield</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rPr>
              <w:t>Yield</w:t>
            </w: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tcPr>
          <w:p>
            <w:pPr>
              <w:ind w:left="320"/>
              <w:spacing w:after="0"/>
              <w:rPr>
                <w:sz w:val="20"/>
                <w:szCs w:val="20"/>
                <w:color w:val="auto"/>
              </w:rPr>
            </w:pPr>
            <w:r>
              <w:rPr>
                <w:rFonts w:ascii="Arial" w:cs="Arial" w:eastAsia="Arial" w:hAnsi="Arial"/>
                <w:sz w:val="8"/>
                <w:szCs w:val="8"/>
                <w:b w:val="1"/>
                <w:bCs w:val="1"/>
                <w:color w:val="auto"/>
              </w:rPr>
              <w:t>Yield</w:t>
            </w:r>
          </w:p>
        </w:tc>
        <w:tc>
          <w:tcPr>
            <w:tcW w:w="0" w:type="dxa"/>
            <w:vAlign w:val="bottom"/>
          </w:tcPr>
          <w:p>
            <w:pPr>
              <w:spacing w:after="0"/>
              <w:rPr>
                <w:sz w:val="1"/>
                <w:szCs w:val="1"/>
                <w:color w:val="auto"/>
              </w:rPr>
            </w:pPr>
          </w:p>
        </w:tc>
      </w:tr>
      <w:tr>
        <w:trPr>
          <w:trHeight w:val="107"/>
        </w:trPr>
        <w:tc>
          <w:tcPr>
            <w:tcW w:w="1620" w:type="dxa"/>
            <w:vAlign w:val="bottom"/>
          </w:tcPr>
          <w:p>
            <w:pPr>
              <w:ind w:left="40"/>
              <w:spacing w:after="0"/>
              <w:rPr>
                <w:sz w:val="20"/>
                <w:szCs w:val="20"/>
                <w:color w:val="auto"/>
              </w:rPr>
            </w:pPr>
            <w:r>
              <w:rPr>
                <w:rFonts w:ascii="Arial" w:cs="Arial" w:eastAsia="Arial" w:hAnsi="Arial"/>
                <w:sz w:val="8"/>
                <w:szCs w:val="8"/>
                <w:i w:val="1"/>
                <w:iCs w:val="1"/>
                <w:color w:val="auto"/>
              </w:rPr>
              <w:t>(in thousands)</w:t>
            </w: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6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Securities Available for Sale: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20"/>
                <w:szCs w:val="20"/>
                <w:color w:val="auto"/>
              </w:rPr>
            </w:pPr>
            <w:r>
              <w:rPr>
                <w:rFonts w:ascii="Arial" w:cs="Arial" w:eastAsia="Arial" w:hAnsi="Arial"/>
                <w:sz w:val="10"/>
                <w:szCs w:val="10"/>
                <w:color w:val="auto"/>
              </w:rPr>
              <w:t>U.S Treasuries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53,739</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2.60 %</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88,165</w:t>
            </w:r>
          </w:p>
        </w:tc>
        <w:tc>
          <w:tcPr>
            <w:tcW w:w="960" w:type="dxa"/>
            <w:vAlign w:val="bottom"/>
            <w:gridSpan w:val="3"/>
          </w:tcPr>
          <w:p>
            <w:pPr>
              <w:jc w:val="right"/>
              <w:spacing w:after="0"/>
              <w:rPr>
                <w:sz w:val="20"/>
                <w:szCs w:val="20"/>
                <w:color w:val="auto"/>
              </w:rPr>
            </w:pPr>
            <w:r>
              <w:rPr>
                <w:rFonts w:ascii="Arial" w:cs="Arial" w:eastAsia="Arial" w:hAnsi="Arial"/>
                <w:sz w:val="10"/>
                <w:szCs w:val="10"/>
                <w:color w:val="auto"/>
              </w:rPr>
              <w:t>1.25 %</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73,582</w:t>
            </w:r>
          </w:p>
        </w:tc>
        <w:tc>
          <w:tcPr>
            <w:tcW w:w="960" w:type="dxa"/>
            <w:vAlign w:val="bottom"/>
            <w:gridSpan w:val="3"/>
          </w:tcPr>
          <w:p>
            <w:pPr>
              <w:jc w:val="right"/>
              <w:spacing w:after="0"/>
              <w:rPr>
                <w:sz w:val="20"/>
                <w:szCs w:val="20"/>
                <w:color w:val="auto"/>
              </w:rPr>
            </w:pPr>
            <w:r>
              <w:rPr>
                <w:rFonts w:ascii="Arial" w:cs="Arial" w:eastAsia="Arial" w:hAnsi="Arial"/>
                <w:sz w:val="10"/>
                <w:szCs w:val="10"/>
                <w:color w:val="auto"/>
              </w:rPr>
              <w:t>1.27 %</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20" w:type="dxa"/>
            <w:vAlign w:val="bottom"/>
            <w:gridSpan w:val="2"/>
          </w:tcPr>
          <w:p>
            <w:pPr>
              <w:ind w:left="580"/>
              <w:spacing w:after="0"/>
              <w:rPr>
                <w:sz w:val="20"/>
                <w:szCs w:val="20"/>
                <w:color w:val="auto"/>
              </w:rPr>
            </w:pPr>
            <w:r>
              <w:rPr>
                <w:rFonts w:ascii="Arial" w:cs="Arial" w:eastAsia="Arial" w:hAnsi="Arial"/>
                <w:sz w:val="10"/>
                <w:szCs w:val="10"/>
                <w:color w:val="auto"/>
              </w:rPr>
              <w:t>— %</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215,486</w:t>
            </w:r>
          </w:p>
        </w:tc>
        <w:tc>
          <w:tcPr>
            <w:tcW w:w="26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199,449</w:t>
            </w:r>
          </w:p>
        </w:tc>
        <w:tc>
          <w:tcPr>
            <w:tcW w:w="100" w:type="dxa"/>
            <w:vAlign w:val="bottom"/>
          </w:tcPr>
          <w:p>
            <w:pPr>
              <w:spacing w:after="0"/>
              <w:rPr>
                <w:sz w:val="11"/>
                <w:szCs w:val="11"/>
                <w:color w:val="auto"/>
              </w:rPr>
            </w:pPr>
          </w:p>
        </w:tc>
        <w:tc>
          <w:tcPr>
            <w:tcW w:w="840" w:type="dxa"/>
            <w:vAlign w:val="bottom"/>
          </w:tcPr>
          <w:p>
            <w:pPr>
              <w:ind w:left="500"/>
              <w:spacing w:after="0"/>
              <w:rPr>
                <w:sz w:val="20"/>
                <w:szCs w:val="20"/>
                <w:color w:val="auto"/>
              </w:rPr>
            </w:pPr>
            <w:r>
              <w:rPr>
                <w:rFonts w:ascii="Arial" w:cs="Arial" w:eastAsia="Arial" w:hAnsi="Arial"/>
                <w:sz w:val="10"/>
                <w:szCs w:val="10"/>
                <w:color w:val="auto"/>
              </w:rPr>
              <w:t>1.59 %</w:t>
            </w:r>
          </w:p>
        </w:tc>
        <w:tc>
          <w:tcPr>
            <w:tcW w:w="0" w:type="dxa"/>
            <w:vAlign w:val="bottom"/>
          </w:tcPr>
          <w:p>
            <w:pPr>
              <w:spacing w:after="0"/>
              <w:rPr>
                <w:sz w:val="1"/>
                <w:szCs w:val="1"/>
                <w:color w:val="auto"/>
              </w:rPr>
            </w:pPr>
          </w:p>
        </w:tc>
      </w:tr>
      <w:tr>
        <w:trPr>
          <w:trHeight w:val="145"/>
        </w:trPr>
        <w:tc>
          <w:tcPr>
            <w:tcW w:w="1620" w:type="dxa"/>
            <w:vAlign w:val="bottom"/>
            <w:shd w:val="clear" w:color="auto" w:fill="CCEEFF"/>
          </w:tcPr>
          <w:p>
            <w:pPr>
              <w:spacing w:after="0"/>
              <w:rPr>
                <w:sz w:val="20"/>
                <w:szCs w:val="20"/>
                <w:color w:val="auto"/>
              </w:rPr>
            </w:pPr>
            <w:r>
              <w:rPr>
                <w:rFonts w:ascii="Arial" w:cs="Arial" w:eastAsia="Arial" w:hAnsi="Arial"/>
                <w:sz w:val="10"/>
                <w:szCs w:val="10"/>
                <w:color w:val="auto"/>
              </w:rPr>
              <w:t>Municipal</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508</w:t>
            </w:r>
          </w:p>
        </w:tc>
        <w:tc>
          <w:tcPr>
            <w:tcW w:w="960" w:type="dxa"/>
            <w:vAlign w:val="bottom"/>
            <w:gridSpan w:val="3"/>
            <w:shd w:val="clear" w:color="auto" w:fill="CCEEFF"/>
          </w:tcPr>
          <w:p>
            <w:pPr>
              <w:jc w:val="right"/>
              <w:ind w:right="94"/>
              <w:spacing w:after="0"/>
              <w:rPr>
                <w:sz w:val="20"/>
                <w:szCs w:val="20"/>
                <w:color w:val="auto"/>
              </w:rPr>
            </w:pPr>
            <w:r>
              <w:rPr>
                <w:rFonts w:ascii="Arial" w:cs="Arial" w:eastAsia="Arial" w:hAnsi="Arial"/>
                <w:sz w:val="10"/>
                <w:szCs w:val="10"/>
                <w:color w:val="auto"/>
              </w:rPr>
              <w:t>2.53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10,307</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10,815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8,012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ind w:left="500"/>
              <w:spacing w:after="0"/>
              <w:rPr>
                <w:sz w:val="20"/>
                <w:szCs w:val="20"/>
                <w:color w:val="auto"/>
              </w:rPr>
            </w:pPr>
            <w:r>
              <w:rPr>
                <w:rFonts w:ascii="Arial" w:cs="Arial" w:eastAsia="Arial" w:hAnsi="Arial"/>
                <w:sz w:val="10"/>
                <w:szCs w:val="10"/>
                <w:color w:val="auto"/>
              </w:rPr>
              <w:t>1.94</w:t>
            </w:r>
          </w:p>
        </w:tc>
        <w:tc>
          <w:tcPr>
            <w:tcW w:w="0" w:type="dxa"/>
            <w:vAlign w:val="bottom"/>
          </w:tcPr>
          <w:p>
            <w:pPr>
              <w:spacing w:after="0"/>
              <w:rPr>
                <w:sz w:val="1"/>
                <w:szCs w:val="1"/>
                <w:color w:val="auto"/>
              </w:rPr>
            </w:pPr>
          </w:p>
        </w:tc>
      </w:tr>
      <w:tr>
        <w:trPr>
          <w:trHeight w:val="131"/>
        </w:trPr>
        <w:tc>
          <w:tcPr>
            <w:tcW w:w="1620" w:type="dxa"/>
            <w:vAlign w:val="bottom"/>
          </w:tcPr>
          <w:p>
            <w:pPr>
              <w:spacing w:after="0"/>
              <w:rPr>
                <w:sz w:val="20"/>
                <w:szCs w:val="20"/>
                <w:color w:val="auto"/>
              </w:rPr>
            </w:pPr>
            <w:r>
              <w:rPr>
                <w:rFonts w:ascii="Arial" w:cs="Arial" w:eastAsia="Arial" w:hAnsi="Arial"/>
                <w:sz w:val="10"/>
                <w:szCs w:val="10"/>
                <w:color w:val="auto"/>
              </w:rPr>
              <w:t>Corporate bonds</w:t>
            </w:r>
          </w:p>
        </w:tc>
        <w:tc>
          <w:tcPr>
            <w:tcW w:w="10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5,000</w:t>
            </w:r>
          </w:p>
        </w:tc>
        <w:tc>
          <w:tcPr>
            <w:tcW w:w="960" w:type="dxa"/>
            <w:vAlign w:val="bottom"/>
            <w:gridSpan w:val="3"/>
          </w:tcPr>
          <w:p>
            <w:pPr>
              <w:jc w:val="right"/>
              <w:ind w:right="94"/>
              <w:spacing w:after="0"/>
              <w:rPr>
                <w:sz w:val="20"/>
                <w:szCs w:val="20"/>
                <w:color w:val="auto"/>
              </w:rPr>
            </w:pPr>
            <w:r>
              <w:rPr>
                <w:rFonts w:ascii="Arial" w:cs="Arial" w:eastAsia="Arial" w:hAnsi="Arial"/>
                <w:sz w:val="10"/>
                <w:szCs w:val="10"/>
                <w:color w:val="auto"/>
              </w:rPr>
              <w:t>4.31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4,600</w:t>
            </w:r>
          </w:p>
        </w:tc>
        <w:tc>
          <w:tcPr>
            <w:tcW w:w="100" w:type="dxa"/>
            <w:vAlign w:val="bottom"/>
          </w:tcPr>
          <w:p>
            <w:pPr>
              <w:spacing w:after="0"/>
              <w:rPr>
                <w:sz w:val="11"/>
                <w:szCs w:val="11"/>
                <w:color w:val="auto"/>
              </w:rPr>
            </w:pPr>
          </w:p>
        </w:tc>
        <w:tc>
          <w:tcPr>
            <w:tcW w:w="840" w:type="dxa"/>
            <w:vAlign w:val="bottom"/>
          </w:tcPr>
          <w:p>
            <w:pPr>
              <w:ind w:left="500"/>
              <w:spacing w:after="0"/>
              <w:rPr>
                <w:sz w:val="20"/>
                <w:szCs w:val="20"/>
                <w:color w:val="auto"/>
              </w:rPr>
            </w:pPr>
            <w:r>
              <w:rPr>
                <w:rFonts w:ascii="Arial" w:cs="Arial" w:eastAsia="Arial" w:hAnsi="Arial"/>
                <w:sz w:val="10"/>
                <w:szCs w:val="10"/>
                <w:color w:val="auto"/>
              </w:rPr>
              <w:t>4.31</w:t>
            </w:r>
          </w:p>
        </w:tc>
        <w:tc>
          <w:tcPr>
            <w:tcW w:w="0" w:type="dxa"/>
            <w:vAlign w:val="bottom"/>
          </w:tcPr>
          <w:p>
            <w:pPr>
              <w:spacing w:after="0"/>
              <w:rPr>
                <w:sz w:val="1"/>
                <w:szCs w:val="1"/>
                <w:color w:val="auto"/>
              </w:rPr>
            </w:pPr>
          </w:p>
        </w:tc>
      </w:tr>
      <w:tr>
        <w:trPr>
          <w:trHeight w:val="145"/>
        </w:trPr>
        <w:tc>
          <w:tcPr>
            <w:tcW w:w="1620" w:type="dxa"/>
            <w:vAlign w:val="bottom"/>
            <w:shd w:val="clear" w:color="auto" w:fill="CCEEFF"/>
          </w:tcPr>
          <w:p>
            <w:pPr>
              <w:spacing w:after="0"/>
              <w:rPr>
                <w:sz w:val="20"/>
                <w:szCs w:val="20"/>
                <w:color w:val="auto"/>
              </w:rPr>
            </w:pPr>
            <w:r>
              <w:rPr>
                <w:rFonts w:ascii="Arial" w:cs="Arial" w:eastAsia="Arial" w:hAnsi="Arial"/>
                <w:sz w:val="10"/>
                <w:szCs w:val="10"/>
                <w:color w:val="auto"/>
              </w:rPr>
              <w:t>Asset-backed securities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7,970</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2.89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7,970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7,711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ind w:left="500"/>
              <w:spacing w:after="0"/>
              <w:rPr>
                <w:sz w:val="20"/>
                <w:szCs w:val="20"/>
                <w:color w:val="auto"/>
              </w:rPr>
            </w:pPr>
            <w:r>
              <w:rPr>
                <w:rFonts w:ascii="Arial" w:cs="Arial" w:eastAsia="Arial" w:hAnsi="Arial"/>
                <w:sz w:val="10"/>
                <w:szCs w:val="10"/>
                <w:color w:val="auto"/>
              </w:rPr>
              <w:t>2.89</w:t>
            </w:r>
          </w:p>
        </w:tc>
        <w:tc>
          <w:tcPr>
            <w:tcW w:w="0" w:type="dxa"/>
            <w:vAlign w:val="bottom"/>
          </w:tcPr>
          <w:p>
            <w:pPr>
              <w:spacing w:after="0"/>
              <w:rPr>
                <w:sz w:val="1"/>
                <w:szCs w:val="1"/>
                <w:color w:val="auto"/>
              </w:rPr>
            </w:pPr>
          </w:p>
        </w:tc>
      </w:tr>
      <w:tr>
        <w:trPr>
          <w:trHeight w:val="131"/>
        </w:trPr>
        <w:tc>
          <w:tcPr>
            <w:tcW w:w="16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Mortgage-backed securities</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10,051</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0"/>
                <w:szCs w:val="10"/>
                <w:color w:val="auto"/>
              </w:rPr>
              <w:t>5.19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13,099</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0"/>
                <w:szCs w:val="10"/>
                <w:color w:val="auto"/>
              </w:rPr>
              <w:t>2.94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12,476</w:t>
            </w: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35,626</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32,709</w:t>
            </w: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0"/>
                <w:szCs w:val="10"/>
                <w:color w:val="auto"/>
              </w:rPr>
              <w:t>3.28</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53,739</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2.60 %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98,216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1.65 %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92,189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1.68 %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30,753</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2.24 %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274,897</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252,481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ind w:left="500"/>
              <w:spacing w:after="0"/>
              <w:rPr>
                <w:sz w:val="20"/>
                <w:szCs w:val="20"/>
                <w:color w:val="auto"/>
              </w:rPr>
            </w:pPr>
            <w:r>
              <w:rPr>
                <w:rFonts w:ascii="Arial" w:cs="Arial" w:eastAsia="Arial" w:hAnsi="Arial"/>
                <w:sz w:val="10"/>
                <w:szCs w:val="10"/>
                <w:color w:val="auto"/>
              </w:rPr>
              <w:t>1.91 %</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Portfolio Loans</w:t>
      </w:r>
    </w:p>
    <w:p>
      <w:pPr>
        <w:spacing w:after="0" w:line="193"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Our primary source of income is derived from interest earned on loans. Our portfolio loans consist of loans secured by real estate as well as commercial business loans, credit card loans, substantially all of which are secured by corresponding deposits at the Bank and, to a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Our lending activities, outside of credit cards, are principally directed to our market area consisting of the Washington, D.C. and Baltimore, Maryland metropolitan areas.</w:t>
      </w:r>
    </w:p>
    <w:p>
      <w:pPr>
        <w:spacing w:after="0" w:line="148" w:lineRule="exact"/>
        <w:rPr>
          <w:sz w:val="20"/>
          <w:szCs w:val="20"/>
          <w:color w:val="auto"/>
        </w:rPr>
      </w:pPr>
    </w:p>
    <w:p>
      <w:pPr>
        <w:ind w:right="100" w:firstLine="255"/>
        <w:spacing w:after="0" w:line="261" w:lineRule="auto"/>
        <w:rPr>
          <w:sz w:val="20"/>
          <w:szCs w:val="20"/>
          <w:color w:val="auto"/>
        </w:rPr>
      </w:pPr>
      <w:r>
        <w:rPr>
          <w:rFonts w:ascii="Arial" w:cs="Arial" w:eastAsia="Arial" w:hAnsi="Arial"/>
          <w:sz w:val="14"/>
          <w:szCs w:val="14"/>
          <w:i w:val="1"/>
          <w:iCs w:val="1"/>
          <w:color w:val="auto"/>
        </w:rPr>
        <w:t>Residential Real Estate Loans</w:t>
      </w:r>
      <w:r>
        <w:rPr>
          <w:rFonts w:ascii="Arial" w:cs="Arial" w:eastAsia="Arial" w:hAnsi="Arial"/>
          <w:sz w:val="14"/>
          <w:szCs w:val="14"/>
          <w:color w:val="auto"/>
        </w:rPr>
        <w:t>. We offer one-to-four family mortgage loans primarily on owner-occupied primary residences and, to a lesser extent, investor-owned residences.</w:t>
      </w:r>
      <w:r>
        <w:rPr>
          <w:rFonts w:ascii="Arial" w:cs="Arial" w:eastAsia="Arial" w:hAnsi="Arial"/>
          <w:sz w:val="14"/>
          <w:szCs w:val="14"/>
          <w:i w:val="1"/>
          <w:iCs w:val="1"/>
          <w:color w:val="auto"/>
        </w:rPr>
        <w:t xml:space="preserve"> </w:t>
      </w:r>
      <w:r>
        <w:rPr>
          <w:rFonts w:ascii="Arial" w:cs="Arial" w:eastAsia="Arial" w:hAnsi="Arial"/>
          <w:sz w:val="14"/>
          <w:szCs w:val="14"/>
          <w:color w:val="auto"/>
        </w:rPr>
        <w:t>Residential loans are originated through our commercial sales teams and our Capital Bank Home Loan division. Our residential loans also include home equity lines of credit. Our owner-occupied residential real estate loans usually have fixed rates for five to seven years and adjust on an annual basis after the initial term based on a typical maturity of 30 years. Our investor residential real estate loans are generally based on 25-year terms with a balloon payment due after five years. In general, the required minimum debt service coverage ratio is 1.15. Residential real estate loans have represented a growing portion of our loan portfolio.</w:t>
      </w:r>
    </w:p>
    <w:p>
      <w:pPr>
        <w:spacing w:after="0" w:line="143"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i w:val="1"/>
          <w:iCs w:val="1"/>
          <w:color w:val="auto"/>
        </w:rPr>
        <w:t>Commercial Real Estate Loans</w:t>
      </w:r>
      <w:r>
        <w:rPr>
          <w:rFonts w:ascii="Arial" w:cs="Arial" w:eastAsia="Arial" w:hAnsi="Arial"/>
          <w:sz w:val="14"/>
          <w:szCs w:val="14"/>
          <w:color w:val="auto"/>
        </w:rPr>
        <w:t>. The Company originates both owner-occupied and non-owner-occupied commercial real estate loans. These loans may be adversely affected</w:t>
      </w:r>
      <w:r>
        <w:rPr>
          <w:rFonts w:ascii="Arial" w:cs="Arial" w:eastAsia="Arial" w:hAnsi="Arial"/>
          <w:sz w:val="14"/>
          <w:szCs w:val="14"/>
          <w:i w:val="1"/>
          <w:iCs w:val="1"/>
          <w:color w:val="auto"/>
        </w:rPr>
        <w:t xml:space="preserve"> </w:t>
      </w:r>
      <w:r>
        <w:rPr>
          <w:rFonts w:ascii="Arial" w:cs="Arial" w:eastAsia="Arial" w:hAnsi="Arial"/>
          <w:sz w:val="14"/>
          <w:szCs w:val="14"/>
          <w:color w:val="auto"/>
        </w:rPr>
        <w:t>by conditions in the real estate markets or in the general economy. Commercial loans that are secured by owner-occupied commercial real estate and primarily collateralized by operating cash flows are also included in this category of loans. Commercial real estate loan terms are generally extended for 10 years or less and amortize generally over 25 years or less. The interest rates on our commercial real estate loans generally have an initial fixed rate terms that adjust typically at 5 years. Origination fees are routinely charged for our services. The Company generally requires personal guarantees from the principal owners of the business, supported by a review of the principal owners’ personal financial statements and global debt service obligations. The properties securing the portfolio are diverse in type. This diversity helps reduce the exposure to adverse economic events that affect any single industry.</w:t>
      </w:r>
    </w:p>
    <w:p>
      <w:pPr>
        <w:spacing w:after="0" w:line="147"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Construction Loans</w:t>
      </w:r>
      <w:r>
        <w:rPr>
          <w:rFonts w:ascii="Arial" w:cs="Arial" w:eastAsia="Arial" w:hAnsi="Arial"/>
          <w:sz w:val="14"/>
          <w:szCs w:val="14"/>
          <w:color w:val="auto"/>
        </w:rPr>
        <w:t>. Our construction loans are offered within our Washington, D.C. and Baltimore, Maryland metropolitan operating areas to builders primarily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construction of single-family homes, condominium and townhouse conversions or renovations and, to a lesser extent, to individuals. Our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42" w:right="319" w:bottom="1440" w:gutter="0" w:footer="0" w:header="0"/>
        </w:sectPr>
      </w:pPr>
    </w:p>
    <w:bookmarkStart w:id="41" w:name="page42"/>
    <w:bookmarkEnd w:id="41"/>
    <w:p>
      <w:pPr>
        <w:jc w:val="both"/>
        <w:spacing w:after="0" w:line="256" w:lineRule="auto"/>
        <w:rPr>
          <w:sz w:val="20"/>
          <w:szCs w:val="20"/>
          <w:color w:val="auto"/>
        </w:rPr>
      </w:pPr>
      <w:r>
        <w:rPr>
          <w:rFonts w:ascii="Arial" w:cs="Arial" w:eastAsia="Arial" w:hAnsi="Arial"/>
          <w:sz w:val="14"/>
          <w:szCs w:val="14"/>
          <w:color w:val="auto"/>
        </w:rPr>
        <w:t>construction loans typically have terms of 12 to 18 months with the goal of transitioning the borrowers to permanent financing or re-underwriting and selling into the secondary market through Capital Bank Home Loan. According to our underwriting standards, the ratio of loan principal to collateral value, as established by an independent appraisal, should not exceed 75% for investor-owned and 80% for owner-occupied properties. Exceptions are sometimes made. We conduct semi-annual stress testing of our construction loan portfolio and closely monitor underlying real estate conditions as well as our borrower’s trends of sales valuations as compared to underwriting valuations as part of our ongoing risk management efforts. Borrowers’ progress is monitored during the course of construction buildout, including for adherence to construction milestones and completion timelines.</w:t>
      </w:r>
    </w:p>
    <w:p>
      <w:pPr>
        <w:spacing w:after="0" w:line="146"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14"/>
          <w:szCs w:val="14"/>
          <w:i w:val="1"/>
          <w:iCs w:val="1"/>
          <w:color w:val="auto"/>
        </w:rPr>
        <w:t>Commercial Business Loans</w:t>
      </w:r>
      <w:r>
        <w:rPr>
          <w:rFonts w:ascii="Arial" w:cs="Arial" w:eastAsia="Arial" w:hAnsi="Arial"/>
          <w:sz w:val="14"/>
          <w:szCs w:val="14"/>
          <w:color w:val="auto"/>
        </w:rPr>
        <w:t>. In addition to our other loan products, the Company provides general commercial loans, including commercial lines of credit, working capital loans,</w:t>
      </w:r>
      <w:r>
        <w:rPr>
          <w:rFonts w:ascii="Arial" w:cs="Arial" w:eastAsia="Arial" w:hAnsi="Arial"/>
          <w:sz w:val="14"/>
          <w:szCs w:val="14"/>
          <w:i w:val="1"/>
          <w:iCs w:val="1"/>
          <w:color w:val="auto"/>
        </w:rPr>
        <w:t xml:space="preserve"> </w:t>
      </w:r>
      <w:r>
        <w:rPr>
          <w:rFonts w:ascii="Arial" w:cs="Arial" w:eastAsia="Arial" w:hAnsi="Arial"/>
          <w:sz w:val="14"/>
          <w:szCs w:val="14"/>
          <w:color w:val="auto"/>
        </w:rPr>
        <w:t>term loans, equipment financing, letters of credit and other loan products, primarily in our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and we generally obtain a personal guaranty from the borrower or other principal.</w:t>
      </w:r>
    </w:p>
    <w:p>
      <w:pPr>
        <w:spacing w:after="0" w:line="143" w:lineRule="exact"/>
        <w:rPr>
          <w:sz w:val="20"/>
          <w:szCs w:val="20"/>
          <w:color w:val="auto"/>
        </w:rPr>
      </w:pPr>
    </w:p>
    <w:p>
      <w:pPr>
        <w:jc w:val="both"/>
        <w:ind w:firstLine="255"/>
        <w:spacing w:after="0" w:line="241" w:lineRule="auto"/>
        <w:rPr>
          <w:sz w:val="20"/>
          <w:szCs w:val="20"/>
          <w:color w:val="auto"/>
        </w:rPr>
      </w:pPr>
      <w:r>
        <w:rPr>
          <w:rFonts w:ascii="Arial" w:cs="Arial" w:eastAsia="Arial" w:hAnsi="Arial"/>
          <w:sz w:val="14"/>
          <w:szCs w:val="14"/>
          <w:i w:val="1"/>
          <w:iCs w:val="1"/>
          <w:color w:val="auto"/>
        </w:rPr>
        <w:t>Credit Cards</w:t>
      </w:r>
      <w:r>
        <w:rPr>
          <w:rFonts w:ascii="Arial" w:cs="Arial" w:eastAsia="Arial" w:hAnsi="Arial"/>
          <w:sz w:val="14"/>
          <w:szCs w:val="14"/>
          <w:color w:val="auto"/>
        </w:rPr>
        <w:t>. Through our OpenSky</w:t>
      </w:r>
      <w:r>
        <w:rPr>
          <w:rFonts w:ascii="Arial" w:cs="Arial" w:eastAsia="Arial" w:hAnsi="Arial"/>
          <w:sz w:val="18"/>
          <w:szCs w:val="18"/>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credit card division, the Company provides credit cards on a nationwide basis to under-banked populations and those looking to rebuild</w:t>
      </w:r>
      <w:r>
        <w:rPr>
          <w:rFonts w:ascii="Arial" w:cs="Arial" w:eastAsia="Arial" w:hAnsi="Arial"/>
          <w:sz w:val="14"/>
          <w:szCs w:val="14"/>
          <w:i w:val="1"/>
          <w:iCs w:val="1"/>
          <w:color w:val="auto"/>
        </w:rPr>
        <w:t xml:space="preserve"> </w:t>
      </w:r>
      <w:r>
        <w:rPr>
          <w:rFonts w:ascii="Arial" w:cs="Arial" w:eastAsia="Arial" w:hAnsi="Arial"/>
          <w:sz w:val="14"/>
          <w:szCs w:val="14"/>
          <w:color w:val="auto"/>
        </w:rPr>
        <w:t>their credit scores through a fully digital and mobile platform. The majority of the lines of credit are secured by a noninterest-bearing demand account at the Bank in an amount equal to the full credit limit of the credit card. In addition, using our proprietary scoring model, which considers credit score and repayment history (typically a minimum of six months of on-time repayments, but ultimately determined on a case-by-case basis), the Bank offers certain customers an unsecured increase to their existing line or an unsecured card.</w:t>
      </w:r>
    </w:p>
    <w:p>
      <w:pPr>
        <w:spacing w:after="0" w:line="156"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Other Consumer Loans</w:t>
      </w:r>
      <w:r>
        <w:rPr>
          <w:rFonts w:ascii="Arial" w:cs="Arial" w:eastAsia="Arial" w:hAnsi="Arial"/>
          <w:sz w:val="14"/>
          <w:szCs w:val="14"/>
          <w:color w:val="auto"/>
        </w:rPr>
        <w:t>. To a very limited extent and typically as an accommodation to existing customers, we offer personal consumer loans such as term loans, car loans or</w:t>
      </w:r>
      <w:r>
        <w:rPr>
          <w:rFonts w:ascii="Arial" w:cs="Arial" w:eastAsia="Arial" w:hAnsi="Arial"/>
          <w:sz w:val="14"/>
          <w:szCs w:val="14"/>
          <w:i w:val="1"/>
          <w:iCs w:val="1"/>
          <w:color w:val="auto"/>
        </w:rPr>
        <w:t xml:space="preserve"> </w:t>
      </w:r>
      <w:r>
        <w:rPr>
          <w:rFonts w:ascii="Arial" w:cs="Arial" w:eastAsia="Arial" w:hAnsi="Arial"/>
          <w:sz w:val="14"/>
          <w:szCs w:val="14"/>
          <w:color w:val="auto"/>
        </w:rPr>
        <w:t>boat loans.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42" w:name="page43"/>
    <w:bookmarkEnd w:id="42"/>
    <w:p>
      <w:pPr>
        <w:jc w:val="both"/>
        <w:ind w:right="80" w:firstLine="255"/>
        <w:spacing w:after="0" w:line="259" w:lineRule="auto"/>
        <w:rPr>
          <w:sz w:val="20"/>
          <w:szCs w:val="20"/>
          <w:color w:val="auto"/>
        </w:rPr>
      </w:pPr>
      <w:r>
        <w:rPr>
          <w:rFonts w:ascii="Arial" w:cs="Arial" w:eastAsia="Arial" w:hAnsi="Arial"/>
          <w:sz w:val="14"/>
          <w:szCs w:val="14"/>
          <w:color w:val="auto"/>
        </w:rPr>
        <w:t>The repayment of loans is a source of additional liquidity for us. The following table details contractual maturities of our portfolio loans, along with an analysis of loans maturing after one year categorized by rate characteristic. Loans with adjustable interest rates are shown as maturing in the period during which the contract is due. The table does not reflect the effects of possible prepayments.</w:t>
      </w:r>
    </w:p>
    <w:p>
      <w:pPr>
        <w:spacing w:after="0" w:line="191" w:lineRule="exact"/>
        <w:rPr>
          <w:sz w:val="20"/>
          <w:szCs w:val="20"/>
          <w:color w:val="auto"/>
        </w:rPr>
      </w:pPr>
    </w:p>
    <w:tbl>
      <w:tblPr>
        <w:tblLayout w:type="fixed"/>
        <w:tblInd w:w="260" w:type="dxa"/>
        <w:tblCellMar>
          <w:top w:w="0" w:type="dxa"/>
          <w:left w:w="0" w:type="dxa"/>
          <w:bottom w:w="0" w:type="dxa"/>
          <w:right w:w="0" w:type="dxa"/>
        </w:tblCellMar>
      </w:tblPr>
      <w:tr>
        <w:trPr>
          <w:trHeight w:val="160"/>
        </w:trPr>
        <w:tc>
          <w:tcPr>
            <w:tcW w:w="4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As of December 31, 2022</w:t>
            </w: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w w:val="99"/>
              </w:rPr>
              <w:t>One Year</w:t>
            </w:r>
          </w:p>
        </w:tc>
        <w:tc>
          <w:tcPr>
            <w:tcW w:w="240" w:type="dxa"/>
            <w:vAlign w:val="bottom"/>
          </w:tcPr>
          <w:p>
            <w:pPr>
              <w:spacing w:after="0"/>
              <w:rPr>
                <w:sz w:val="10"/>
                <w:szCs w:val="10"/>
                <w:color w:val="auto"/>
              </w:rPr>
            </w:pPr>
          </w:p>
        </w:tc>
        <w:tc>
          <w:tcPr>
            <w:tcW w:w="1060" w:type="dxa"/>
            <w:vAlign w:val="bottom"/>
            <w:vMerge w:val="restart"/>
          </w:tcPr>
          <w:p>
            <w:pPr>
              <w:jc w:val="right"/>
              <w:ind w:right="423"/>
              <w:spacing w:after="0"/>
              <w:rPr>
                <w:sz w:val="20"/>
                <w:szCs w:val="20"/>
                <w:color w:val="auto"/>
              </w:rPr>
            </w:pPr>
            <w:r>
              <w:rPr>
                <w:rFonts w:ascii="Arial" w:cs="Arial" w:eastAsia="Arial" w:hAnsi="Arial"/>
                <w:sz w:val="11"/>
                <w:szCs w:val="11"/>
                <w:b w:val="1"/>
                <w:bCs w:val="1"/>
                <w:color w:val="auto"/>
              </w:rPr>
              <w:t>One to</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40"/>
              <w:spacing w:after="0" w:line="117" w:lineRule="exact"/>
              <w:rPr>
                <w:sz w:val="20"/>
                <w:szCs w:val="20"/>
                <w:color w:val="auto"/>
              </w:rPr>
            </w:pPr>
            <w:r>
              <w:rPr>
                <w:rFonts w:ascii="Arial" w:cs="Arial" w:eastAsia="Arial" w:hAnsi="Arial"/>
                <w:sz w:val="11"/>
                <w:szCs w:val="11"/>
                <w:b w:val="1"/>
                <w:bCs w:val="1"/>
                <w:color w:val="auto"/>
              </w:rPr>
              <w:t>Over</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00"/>
              <w:spacing w:after="0" w:line="116" w:lineRule="exact"/>
              <w:rPr>
                <w:sz w:val="20"/>
                <w:szCs w:val="20"/>
                <w:color w:val="auto"/>
              </w:rPr>
            </w:pPr>
            <w:r>
              <w:rPr>
                <w:rFonts w:ascii="Arial" w:cs="Arial" w:eastAsia="Arial" w:hAnsi="Arial"/>
                <w:sz w:val="11"/>
                <w:szCs w:val="11"/>
                <w:b w:val="1"/>
                <w:bCs w:val="1"/>
                <w:color w:val="auto"/>
              </w:rPr>
              <w:t>Five Years to Fifteen</w:t>
            </w:r>
          </w:p>
        </w:tc>
        <w:tc>
          <w:tcPr>
            <w:tcW w:w="120" w:type="dxa"/>
            <w:vAlign w:val="bottom"/>
          </w:tcPr>
          <w:p>
            <w:pPr>
              <w:spacing w:after="0"/>
              <w:rPr>
                <w:sz w:val="10"/>
                <w:szCs w:val="10"/>
                <w:color w:val="auto"/>
              </w:rPr>
            </w:pPr>
          </w:p>
        </w:tc>
        <w:tc>
          <w:tcPr>
            <w:tcW w:w="1180" w:type="dxa"/>
            <w:vAlign w:val="bottom"/>
            <w:vMerge w:val="restart"/>
          </w:tcPr>
          <w:p>
            <w:pPr>
              <w:jc w:val="center"/>
              <w:ind w:right="43"/>
              <w:spacing w:after="0"/>
              <w:rPr>
                <w:sz w:val="20"/>
                <w:szCs w:val="20"/>
                <w:color w:val="auto"/>
              </w:rPr>
            </w:pPr>
            <w:r>
              <w:rPr>
                <w:rFonts w:ascii="Arial" w:cs="Arial" w:eastAsia="Arial" w:hAnsi="Arial"/>
                <w:sz w:val="11"/>
                <w:szCs w:val="11"/>
                <w:b w:val="1"/>
                <w:bCs w:val="1"/>
                <w:color w:val="auto"/>
              </w:rPr>
              <w:t>After Fifteen Years</w:t>
            </w:r>
          </w:p>
        </w:tc>
        <w:tc>
          <w:tcPr>
            <w:tcW w:w="8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63"/>
              <w:spacing w:after="0"/>
              <w:rPr>
                <w:sz w:val="20"/>
                <w:szCs w:val="20"/>
                <w:color w:val="auto"/>
              </w:rPr>
            </w:pPr>
            <w:r>
              <w:rPr>
                <w:rFonts w:ascii="Arial" w:cs="Arial" w:eastAsia="Arial" w:hAnsi="Arial"/>
                <w:sz w:val="11"/>
                <w:szCs w:val="11"/>
                <w:b w:val="1"/>
                <w:bCs w:val="1"/>
                <w:color w:val="auto"/>
              </w:rPr>
              <w:t>or Less</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Five Years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99"/>
              </w:rPr>
              <w:t>Years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24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1060" w:type="dxa"/>
            <w:vAlign w:val="bottom"/>
          </w:tcPr>
          <w:p>
            <w:pPr>
              <w:jc w:val="right"/>
              <w:ind w:right="383"/>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12"/>
                <w:szCs w:val="12"/>
                <w:color w:val="auto"/>
              </w:rPr>
            </w:pPr>
          </w:p>
        </w:tc>
        <w:tc>
          <w:tcPr>
            <w:tcW w:w="780" w:type="dxa"/>
            <w:vAlign w:val="bottom"/>
          </w:tcPr>
          <w:p>
            <w:pPr>
              <w:jc w:val="right"/>
              <w:ind w:right="26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3"/>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Real estate:</w:t>
            </w:r>
          </w:p>
        </w:tc>
        <w:tc>
          <w:tcPr>
            <w:tcW w:w="2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480" w:type="dxa"/>
            <w:vAlign w:val="bottom"/>
          </w:tcPr>
          <w:p>
            <w:pPr>
              <w:ind w:left="140"/>
              <w:spacing w:after="0"/>
              <w:rPr>
                <w:sz w:val="20"/>
                <w:szCs w:val="20"/>
                <w:color w:val="auto"/>
              </w:rPr>
            </w:pPr>
            <w:r>
              <w:rPr>
                <w:rFonts w:ascii="Arial" w:cs="Arial" w:eastAsia="Arial" w:hAnsi="Arial"/>
                <w:sz w:val="11"/>
                <w:szCs w:val="11"/>
                <w:color w:val="auto"/>
              </w:rPr>
              <w:t>Residential</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106,486</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169,516</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104,389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104,344</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484,73</w:t>
            </w: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Commercial</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75,435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314,475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271,096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664,55</w:t>
            </w:r>
          </w:p>
        </w:tc>
        <w:tc>
          <w:tcPr>
            <w:tcW w:w="0" w:type="dxa"/>
            <w:vAlign w:val="bottom"/>
          </w:tcPr>
          <w:p>
            <w:pPr>
              <w:spacing w:after="0"/>
              <w:rPr>
                <w:sz w:val="1"/>
                <w:szCs w:val="1"/>
                <w:color w:val="auto"/>
              </w:rPr>
            </w:pPr>
          </w:p>
        </w:tc>
      </w:tr>
      <w:tr>
        <w:trPr>
          <w:trHeight w:val="155"/>
        </w:trPr>
        <w:tc>
          <w:tcPr>
            <w:tcW w:w="4480" w:type="dxa"/>
            <w:vAlign w:val="bottom"/>
          </w:tcPr>
          <w:p>
            <w:pPr>
              <w:ind w:left="140"/>
              <w:spacing w:after="0"/>
              <w:rPr>
                <w:sz w:val="20"/>
                <w:szCs w:val="20"/>
                <w:color w:val="auto"/>
              </w:rPr>
            </w:pPr>
            <w:r>
              <w:rPr>
                <w:rFonts w:ascii="Arial" w:cs="Arial" w:eastAsia="Arial" w:hAnsi="Arial"/>
                <w:sz w:val="11"/>
                <w:szCs w:val="11"/>
                <w:color w:val="auto"/>
              </w:rPr>
              <w:t>Construction</w:t>
            </w:r>
          </w:p>
        </w:tc>
        <w:tc>
          <w:tcPr>
            <w:tcW w:w="2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206,120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24,899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7,080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238,09</w:t>
            </w: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Commercial</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76,670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73,610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62,324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220,22</w:t>
            </w:r>
          </w:p>
        </w:tc>
        <w:tc>
          <w:tcPr>
            <w:tcW w:w="0" w:type="dxa"/>
            <w:vAlign w:val="bottom"/>
          </w:tcPr>
          <w:p>
            <w:pPr>
              <w:spacing w:after="0"/>
              <w:rPr>
                <w:sz w:val="1"/>
                <w:szCs w:val="1"/>
                <w:color w:val="auto"/>
              </w:rPr>
            </w:pPr>
          </w:p>
        </w:tc>
      </w:tr>
      <w:tr>
        <w:trPr>
          <w:trHeight w:val="155"/>
        </w:trPr>
        <w:tc>
          <w:tcPr>
            <w:tcW w:w="4480" w:type="dxa"/>
            <w:vAlign w:val="bottom"/>
          </w:tcPr>
          <w:p>
            <w:pPr>
              <w:ind w:left="20"/>
              <w:spacing w:after="0"/>
              <w:rPr>
                <w:sz w:val="20"/>
                <w:szCs w:val="20"/>
                <w:color w:val="auto"/>
              </w:rPr>
            </w:pPr>
            <w:r>
              <w:rPr>
                <w:rFonts w:ascii="Arial" w:cs="Arial" w:eastAsia="Arial" w:hAnsi="Arial"/>
                <w:sz w:val="11"/>
                <w:szCs w:val="11"/>
                <w:color w:val="auto"/>
              </w:rPr>
              <w:t>Credit card</w:t>
            </w:r>
          </w:p>
        </w:tc>
        <w:tc>
          <w:tcPr>
            <w:tcW w:w="2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128,434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128,43</w:t>
            </w:r>
          </w:p>
        </w:tc>
        <w:tc>
          <w:tcPr>
            <w:tcW w:w="0" w:type="dxa"/>
            <w:vAlign w:val="bottom"/>
          </w:tcPr>
          <w:p>
            <w:pPr>
              <w:spacing w:after="0"/>
              <w:rPr>
                <w:sz w:val="1"/>
                <w:szCs w:val="1"/>
                <w:color w:val="auto"/>
              </w:rPr>
            </w:pPr>
          </w:p>
        </w:tc>
      </w:tr>
      <w:tr>
        <w:trPr>
          <w:trHeight w:val="159"/>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consumer</w:t>
            </w: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438</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486</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54"/>
        </w:trPr>
        <w:tc>
          <w:tcPr>
            <w:tcW w:w="4480" w:type="dxa"/>
            <w:vAlign w:val="bottom"/>
          </w:tcPr>
          <w:p>
            <w:pPr>
              <w:ind w:left="140"/>
              <w:spacing w:after="0"/>
              <w:rPr>
                <w:sz w:val="20"/>
                <w:szCs w:val="20"/>
                <w:color w:val="auto"/>
              </w:rPr>
            </w:pPr>
            <w:r>
              <w:rPr>
                <w:rFonts w:ascii="Arial" w:cs="Arial" w:eastAsia="Arial" w:hAnsi="Arial"/>
                <w:sz w:val="11"/>
                <w:szCs w:val="11"/>
                <w:color w:val="auto"/>
              </w:rPr>
              <w:t>Total portfolio loans, gross</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593,400</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582,938</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445,375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115,506</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1,737,21</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4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480" w:type="dxa"/>
            <w:vAlign w:val="bottom"/>
            <w:vMerge w:val="restart"/>
          </w:tcPr>
          <w:p>
            <w:pPr>
              <w:ind w:left="20"/>
              <w:spacing w:after="0"/>
              <w:rPr>
                <w:sz w:val="20"/>
                <w:szCs w:val="20"/>
                <w:color w:val="auto"/>
              </w:rPr>
            </w:pPr>
            <w:r>
              <w:rPr>
                <w:rFonts w:ascii="Arial" w:cs="Arial" w:eastAsia="Arial" w:hAnsi="Arial"/>
                <w:sz w:val="11"/>
                <w:szCs w:val="11"/>
                <w:color w:val="auto"/>
              </w:rPr>
              <w:t>Loans above maturing after one year categorized by rate characteristic:</w:t>
            </w: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1"/>
                <w:szCs w:val="11"/>
                <w:color w:val="auto"/>
              </w:rPr>
              <w:t>Predetermined Interest</w:t>
            </w:r>
          </w:p>
        </w:tc>
        <w:tc>
          <w:tcPr>
            <w:tcW w:w="120" w:type="dxa"/>
            <w:vAlign w:val="bottom"/>
          </w:tcPr>
          <w:p>
            <w:pPr>
              <w:spacing w:after="0"/>
              <w:rPr>
                <w:sz w:val="11"/>
                <w:szCs w:val="1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color w:val="auto"/>
              </w:rPr>
              <w:t>Floating or Variable</w:t>
            </w:r>
          </w:p>
        </w:tc>
        <w:tc>
          <w:tcPr>
            <w:tcW w:w="280" w:type="dxa"/>
            <w:vAlign w:val="bottom"/>
          </w:tcPr>
          <w:p>
            <w:pPr>
              <w:spacing w:after="0"/>
              <w:rPr>
                <w:sz w:val="11"/>
                <w:szCs w:val="11"/>
                <w:color w:val="auto"/>
              </w:rPr>
            </w:pPr>
          </w:p>
        </w:tc>
        <w:tc>
          <w:tcPr>
            <w:tcW w:w="780" w:type="dxa"/>
            <w:vAlign w:val="bottom"/>
            <w:vMerge w:val="restart"/>
          </w:tcPr>
          <w:p>
            <w:pPr>
              <w:jc w:val="right"/>
              <w:ind w:right="283"/>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34"/>
        </w:trPr>
        <w:tc>
          <w:tcPr>
            <w:tcW w:w="4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1"/>
                <w:szCs w:val="11"/>
                <w:color w:val="auto"/>
              </w:rPr>
              <w:t>Rates</w:t>
            </w:r>
          </w:p>
        </w:tc>
        <w:tc>
          <w:tcPr>
            <w:tcW w:w="120" w:type="dxa"/>
            <w:vAlign w:val="bottom"/>
          </w:tcPr>
          <w:p>
            <w:pPr>
              <w:spacing w:after="0"/>
              <w:rPr>
                <w:sz w:val="11"/>
                <w:szCs w:val="1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color w:val="auto"/>
              </w:rPr>
              <w:t>Rates</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Real estate:</w:t>
            </w:r>
          </w:p>
        </w:tc>
        <w:tc>
          <w:tcPr>
            <w:tcW w:w="2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480" w:type="dxa"/>
            <w:vAlign w:val="bottom"/>
          </w:tcPr>
          <w:p>
            <w:pPr>
              <w:ind w:left="140"/>
              <w:spacing w:after="0"/>
              <w:rPr>
                <w:sz w:val="20"/>
                <w:szCs w:val="20"/>
                <w:color w:val="auto"/>
              </w:rPr>
            </w:pPr>
            <w:r>
              <w:rPr>
                <w:rFonts w:ascii="Arial" w:cs="Arial" w:eastAsia="Arial" w:hAnsi="Arial"/>
                <w:sz w:val="11"/>
                <w:szCs w:val="11"/>
                <w:color w:val="auto"/>
              </w:rPr>
              <w:t>Residential</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187,460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190,789</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378,24</w:t>
            </w: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Commercial</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399,718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189,397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589,11</w:t>
            </w:r>
          </w:p>
        </w:tc>
        <w:tc>
          <w:tcPr>
            <w:tcW w:w="0" w:type="dxa"/>
            <w:vAlign w:val="bottom"/>
          </w:tcPr>
          <w:p>
            <w:pPr>
              <w:spacing w:after="0"/>
              <w:rPr>
                <w:sz w:val="1"/>
                <w:szCs w:val="1"/>
                <w:color w:val="auto"/>
              </w:rPr>
            </w:pPr>
          </w:p>
        </w:tc>
      </w:tr>
      <w:tr>
        <w:trPr>
          <w:trHeight w:val="155"/>
        </w:trPr>
        <w:tc>
          <w:tcPr>
            <w:tcW w:w="4480" w:type="dxa"/>
            <w:vAlign w:val="bottom"/>
          </w:tcPr>
          <w:p>
            <w:pPr>
              <w:ind w:left="140"/>
              <w:spacing w:after="0"/>
              <w:rPr>
                <w:sz w:val="20"/>
                <w:szCs w:val="20"/>
                <w:color w:val="auto"/>
              </w:rPr>
            </w:pPr>
            <w:r>
              <w:rPr>
                <w:rFonts w:ascii="Arial" w:cs="Arial" w:eastAsia="Arial" w:hAnsi="Arial"/>
                <w:sz w:val="11"/>
                <w:szCs w:val="11"/>
                <w:color w:val="auto"/>
              </w:rPr>
              <w:t>Construction</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9,909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1"/>
                <w:szCs w:val="11"/>
                <w:color w:val="auto"/>
              </w:rPr>
              <w:t>22,069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31,97</w:t>
            </w:r>
          </w:p>
        </w:tc>
        <w:tc>
          <w:tcPr>
            <w:tcW w:w="0" w:type="dxa"/>
            <w:vAlign w:val="bottom"/>
          </w:tcPr>
          <w:p>
            <w:pPr>
              <w:spacing w:after="0"/>
              <w:rPr>
                <w:sz w:val="1"/>
                <w:szCs w:val="1"/>
                <w:color w:val="auto"/>
              </w:rPr>
            </w:pPr>
          </w:p>
        </w:tc>
      </w:tr>
      <w:tr>
        <w:trPr>
          <w:trHeight w:val="163"/>
        </w:trPr>
        <w:tc>
          <w:tcPr>
            <w:tcW w:w="4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Commercial</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99,332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44,220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143,55</w:t>
            </w:r>
          </w:p>
        </w:tc>
        <w:tc>
          <w:tcPr>
            <w:tcW w:w="0" w:type="dxa"/>
            <w:vAlign w:val="bottom"/>
          </w:tcPr>
          <w:p>
            <w:pPr>
              <w:spacing w:after="0"/>
              <w:rPr>
                <w:sz w:val="1"/>
                <w:szCs w:val="1"/>
                <w:color w:val="auto"/>
              </w:rPr>
            </w:pPr>
          </w:p>
        </w:tc>
      </w:tr>
      <w:tr>
        <w:trPr>
          <w:trHeight w:val="15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consumer</w:t>
            </w:r>
          </w:p>
        </w:tc>
        <w:tc>
          <w:tcPr>
            <w:tcW w:w="2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913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174"/>
        </w:trPr>
        <w:tc>
          <w:tcPr>
            <w:tcW w:w="4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portfolio loans, gross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697,332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446,486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1,143,81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Nonperforming Assets</w:t>
      </w:r>
    </w:p>
    <w:p>
      <w:pPr>
        <w:spacing w:after="0" w:line="193" w:lineRule="exact"/>
        <w:rPr>
          <w:sz w:val="20"/>
          <w:szCs w:val="20"/>
          <w:color w:val="auto"/>
        </w:rPr>
      </w:pPr>
    </w:p>
    <w:p>
      <w:pPr>
        <w:jc w:val="both"/>
        <w:ind w:right="80" w:firstLine="255"/>
        <w:spacing w:after="0" w:line="254" w:lineRule="auto"/>
        <w:rPr>
          <w:sz w:val="20"/>
          <w:szCs w:val="20"/>
          <w:color w:val="auto"/>
        </w:rPr>
      </w:pPr>
      <w:r>
        <w:rPr>
          <w:rFonts w:ascii="Arial" w:cs="Arial" w:eastAsia="Arial" w:hAnsi="Arial"/>
          <w:sz w:val="14"/>
          <w:szCs w:val="14"/>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cash payments are received in excess of principal due. Loans are returned to accrual status when all the principal and interest amounts contractually due are brought current and future payments are, in management’s opinion, reasonably assured. Any loan which the Bank deems to be uncollectible, in whole or in part, is charged off to the extent of the anticipated loss. Consumer credit card balances are moved into the charge off queue after they become more than 90 days past due and are charged off not later than 120 days after they become past due. Loans that are past due for 180 days or more are charged off unless the loan is well secured and in the process of collection.</w:t>
      </w:r>
    </w:p>
    <w:p>
      <w:pPr>
        <w:spacing w:after="0" w:line="164" w:lineRule="exact"/>
        <w:rPr>
          <w:sz w:val="20"/>
          <w:szCs w:val="20"/>
          <w:color w:val="auto"/>
        </w:rPr>
      </w:pPr>
    </w:p>
    <w:p>
      <w:pPr>
        <w:jc w:val="both"/>
        <w:ind w:right="80" w:firstLine="255"/>
        <w:spacing w:after="0" w:line="259" w:lineRule="auto"/>
        <w:rPr>
          <w:sz w:val="20"/>
          <w:szCs w:val="20"/>
          <w:color w:val="auto"/>
        </w:rPr>
      </w:pPr>
      <w:r>
        <w:rPr>
          <w:rFonts w:ascii="Arial" w:cs="Arial" w:eastAsia="Arial" w:hAnsi="Arial"/>
          <w:sz w:val="14"/>
          <w:szCs w:val="14"/>
          <w:color w:val="auto"/>
        </w:rPr>
        <w:t>In June 2016, the FASB issued ASU 2016-13, Financial Instruments – Credit Losses (Topic 326) Measurement of Credit Losses on Financial Instruments. ASU 2016-13 introduces guidance to change the accounting for loan losses and modifies the impairment model for certain debt securities. This ASU introduced a new model known as CECL. CECL changes the impairment model for most financial assets, and requires the use of an “expected credit loss” model for financial instruments measured at amortized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327" w:right="239" w:bottom="1440" w:gutter="0" w:footer="0" w:header="0"/>
        </w:sectPr>
      </w:pPr>
    </w:p>
    <w:bookmarkStart w:id="43" w:name="page44"/>
    <w:bookmarkEnd w:id="43"/>
    <w:p>
      <w:pPr>
        <w:jc w:val="both"/>
        <w:spacing w:after="0" w:line="266" w:lineRule="auto"/>
        <w:rPr>
          <w:sz w:val="20"/>
          <w:szCs w:val="20"/>
          <w:color w:val="auto"/>
        </w:rPr>
      </w:pPr>
      <w:r>
        <w:rPr>
          <w:rFonts w:ascii="Arial" w:cs="Arial" w:eastAsia="Arial" w:hAnsi="Arial"/>
          <w:sz w:val="14"/>
          <w:szCs w:val="14"/>
          <w:color w:val="auto"/>
        </w:rPr>
        <w:t>cost and certain other instruments, such as off-balance sheet credit exposures, loan commitments, standby letters of credit, net investments in leases recognized by a lessor and HTM debt securities.</w:t>
      </w:r>
    </w:p>
    <w:p>
      <w:pPr>
        <w:spacing w:after="0" w:line="15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adopted this guidance on January 1, 2023 using the modified retrospective approach, which has impacted our loan loss policies and will have an impact on the Company’s provision for credit losses in the periods after adoption, which could differ materially from historical trends. For additional information on ASU 2016-13, refer to “Note 1 – Nature of Business and Basis of Presentation” in the “Notes to the Consolidated Financial Statements” contained in Part II, Item 8 “Financial Statements and Supplementary Data”.</w:t>
      </w:r>
    </w:p>
    <w:p>
      <w:pPr>
        <w:spacing w:after="0" w:line="158"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believes its disciplined lending approach and focused management of nonperforming assets has resulted in sound asset quality and timely resolution of problem assets. There are several procedures in place to assist the Company in maintaining the overall quality of our loan portfolio. The Company has established underwriting guidelines to be followed by our bankers, and monitor our delinquency levels for any negative or adverse trends. There can be no assurance, however, that our loan portfolio will not become subject to increasing pressures from deteriorating borrower credit.</w:t>
      </w:r>
    </w:p>
    <w:p>
      <w:pPr>
        <w:spacing w:after="0" w:line="159"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From a credit risk standpoint, we grade watchlist and problem loans into one of five categories: pass/watch, special mention, substandard, doubtful or loss. The classifications of loans reflect a judgment about the risks of default and loss associated with each loan. Credits ratings are reviewed regularly. Ratings are adjusted regularly to reflect the degree of risk and loss that our management believes to be appropriate for each credit. Our methodology is structured so that specific reserve allocations are increased in accordance with deterioration in credit quality (and a corresponding increase in risk and loss) or decreased in accordance with improvement in credit quality (and a corresponding decrease in risk and loss).</w:t>
      </w:r>
    </w:p>
    <w:p>
      <w:pPr>
        <w:spacing w:after="0" w:line="16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Loans that are deemed special mention, substandard, doubtful or loss are listed in the Bank’s Problem Loan Status Report. The Problem Loan Status Report provides a detailed summary of the borrower and guarantor status, loan accrual status, collateral evaluation and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spacing w:after="0" w:line="15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A special mention loan has potential weaknesses deserving of management’s attention. If uncorrected, such weaknesses may result in deterioration of the repayment prospects for the asset or in our credit position at some future date. Special mention loans at December 31, 2022 increased by $ 13.5 million compared to December 31, 2021. The increase is attributable, in part, to the reclassification of the Bank’s $18.4 million participation interest in two commercial loans that are secured by the same collateral. The borrowers, an individual and a related entity, breached a negative covenant and thereafter agreed, in consideration of a forbearance agreement and an extension of the maturity date of each loan, to increase the applicable interest rate and to provide enhanced reporting to the lead bank. Interest payments are current on both loans. The lead bank is in discussions with the borrowers regarding a plan for full repayment of the loans.</w:t>
      </w:r>
    </w:p>
    <w:p>
      <w:pPr>
        <w:spacing w:after="0" w:line="16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At December 31, 2022, the recorded investment in impaired loans was $9.4 million, $458 thousand of which required a specific reserve of $372 thousand compared to a recorded investment in impaired loans of $11.3 million including $336 thousand requiring a specific reserve of $218 thousand at December 31, 2021.</w:t>
      </w:r>
    </w:p>
    <w:p>
      <w:pPr>
        <w:spacing w:after="0" w:line="15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Impaired loans also include certain loans that have been modified as troubled debt restructurings (“TDRs”). At December 31, 2022, the Company had one loan amounting to $288 thousand that was considered to be a TDR, compared to five loans amounting to $534 thousand at December 31, 2021.</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color w:val="auto"/>
        </w:rPr>
        <w:t>Allowance for Loan Losses</w:t>
      </w:r>
    </w:p>
    <w:p>
      <w:pPr>
        <w:spacing w:after="0" w:line="193"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We maintain an allowance for loan losses that represents management’s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key ratios for the allowance for loan losses and nonaccrual loans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6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rPr>
              <w:t>For the Years Ended December 31,</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180" w:type="dxa"/>
            <w:vAlign w:val="bottom"/>
            <w:shd w:val="clear" w:color="auto" w:fill="CCEEFF"/>
          </w:tcPr>
          <w:p>
            <w:pPr>
              <w:spacing w:after="0"/>
              <w:rPr>
                <w:sz w:val="10"/>
                <w:szCs w:val="10"/>
                <w:color w:val="auto"/>
              </w:rPr>
            </w:pPr>
          </w:p>
        </w:tc>
        <w:tc>
          <w:tcPr>
            <w:tcW w:w="2740" w:type="dxa"/>
            <w:vAlign w:val="bottom"/>
            <w:gridSpan w:val="5"/>
            <w:shd w:val="clear" w:color="auto" w:fill="CCEEFF"/>
          </w:tcPr>
          <w:p>
            <w:pPr>
              <w:ind w:left="180"/>
              <w:spacing w:after="0" w:line="121" w:lineRule="exact"/>
              <w:rPr>
                <w:sz w:val="20"/>
                <w:szCs w:val="20"/>
                <w:color w:val="auto"/>
              </w:rPr>
            </w:pPr>
            <w:r>
              <w:rPr>
                <w:rFonts w:ascii="Arial" w:cs="Arial" w:eastAsia="Arial" w:hAnsi="Arial"/>
                <w:sz w:val="11"/>
                <w:szCs w:val="11"/>
                <w:b w:val="1"/>
                <w:bCs w:val="1"/>
                <w:color w:val="auto"/>
              </w:rPr>
              <w:t>Allowance for loan losses to period end</w:t>
            </w:r>
          </w:p>
        </w:tc>
        <w:tc>
          <w:tcPr>
            <w:tcW w:w="2760" w:type="dxa"/>
            <w:vAlign w:val="bottom"/>
            <w:gridSpan w:val="4"/>
            <w:vMerge w:val="restart"/>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rPr>
              <w:t>Nonaccrual loans to total portfolio loans</w:t>
            </w:r>
          </w:p>
        </w:tc>
        <w:tc>
          <w:tcPr>
            <w:tcW w:w="1420" w:type="dxa"/>
            <w:vAlign w:val="bottom"/>
            <w:gridSpan w:val="3"/>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w w:val="94"/>
              </w:rPr>
              <w:t>Allowance for loan losses</w:t>
            </w:r>
            <w:r>
              <w:rPr>
                <w:rFonts w:ascii="Arial" w:cs="Arial" w:eastAsia="Arial" w:hAnsi="Arial"/>
                <w:sz w:val="14"/>
                <w:szCs w:val="14"/>
                <w:b w:val="1"/>
                <w:bCs w:val="1"/>
                <w:color w:val="auto"/>
                <w:w w:val="94"/>
                <w:vertAlign w:val="subscript"/>
              </w:rPr>
              <w:t>(1)</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 nonaccrual loans</w:t>
            </w:r>
          </w:p>
        </w:tc>
        <w:tc>
          <w:tcPr>
            <w:tcW w:w="0" w:type="dxa"/>
            <w:vAlign w:val="bottom"/>
          </w:tcPr>
          <w:p>
            <w:pPr>
              <w:spacing w:after="0"/>
              <w:rPr>
                <w:sz w:val="1"/>
                <w:szCs w:val="1"/>
                <w:color w:val="auto"/>
              </w:rPr>
            </w:pPr>
          </w:p>
        </w:tc>
      </w:tr>
      <w:tr>
        <w:trPr>
          <w:trHeight w:val="159"/>
        </w:trPr>
        <w:tc>
          <w:tcPr>
            <w:tcW w:w="3180" w:type="dxa"/>
            <w:vAlign w:val="bottom"/>
            <w:shd w:val="clear" w:color="auto" w:fill="CCEEFF"/>
          </w:tcPr>
          <w:p>
            <w:pPr>
              <w:spacing w:after="0"/>
              <w:rPr>
                <w:sz w:val="13"/>
                <w:szCs w:val="13"/>
                <w:color w:val="auto"/>
              </w:rPr>
            </w:pPr>
          </w:p>
        </w:tc>
        <w:tc>
          <w:tcPr>
            <w:tcW w:w="1740" w:type="dxa"/>
            <w:vAlign w:val="bottom"/>
            <w:gridSpan w:val="3"/>
            <w:shd w:val="clear" w:color="auto" w:fill="CCEEFF"/>
          </w:tcPr>
          <w:p>
            <w:pPr>
              <w:ind w:left="800"/>
              <w:spacing w:after="0" w:line="159" w:lineRule="exact"/>
              <w:rPr>
                <w:sz w:val="20"/>
                <w:szCs w:val="20"/>
                <w:color w:val="auto"/>
              </w:rPr>
            </w:pPr>
            <w:r>
              <w:rPr>
                <w:rFonts w:ascii="Arial" w:cs="Arial" w:eastAsia="Arial" w:hAnsi="Arial"/>
                <w:sz w:val="11"/>
                <w:szCs w:val="11"/>
                <w:b w:val="1"/>
                <w:bCs w:val="1"/>
                <w:color w:val="auto"/>
              </w:rPr>
              <w:t xml:space="preserve">portfolio loans </w:t>
            </w:r>
            <w:r>
              <w:rPr>
                <w:rFonts w:ascii="Arial" w:cs="Arial" w:eastAsia="Arial" w:hAnsi="Arial"/>
                <w:sz w:val="14"/>
                <w:szCs w:val="14"/>
                <w:b w:val="1"/>
                <w:bCs w:val="1"/>
                <w:color w:val="auto"/>
                <w:vertAlign w:val="superscript"/>
              </w:rPr>
              <w:t>(1)</w:t>
            </w: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760" w:type="dxa"/>
            <w:vAlign w:val="bottom"/>
            <w:gridSpan w:val="4"/>
            <w:vMerge w:val="continue"/>
            <w:shd w:val="clear" w:color="auto" w:fill="CCEEFF"/>
          </w:tcPr>
          <w:p>
            <w:pPr>
              <w:spacing w:after="0"/>
              <w:rPr>
                <w:sz w:val="13"/>
                <w:szCs w:val="13"/>
                <w:color w:val="auto"/>
              </w:rPr>
            </w:pPr>
          </w:p>
        </w:tc>
        <w:tc>
          <w:tcPr>
            <w:tcW w:w="1420" w:type="dxa"/>
            <w:vAlign w:val="bottom"/>
            <w:gridSpan w:val="3"/>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12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43"/>
        </w:trPr>
        <w:tc>
          <w:tcPr>
            <w:tcW w:w="3180" w:type="dxa"/>
            <w:vAlign w:val="bottom"/>
            <w:shd w:val="clear" w:color="auto" w:fill="CCEEFF"/>
          </w:tcPr>
          <w:p>
            <w:pPr>
              <w:ind w:left="60"/>
              <w:spacing w:after="0"/>
              <w:rPr>
                <w:sz w:val="20"/>
                <w:szCs w:val="20"/>
                <w:color w:val="auto"/>
              </w:rPr>
            </w:pPr>
            <w:r>
              <w:rPr>
                <w:rFonts w:ascii="Arial" w:cs="Arial" w:eastAsia="Arial" w:hAnsi="Arial"/>
                <w:sz w:val="11"/>
                <w:szCs w:val="11"/>
                <w:color w:val="auto"/>
              </w:rPr>
              <w:t>Real estate:</w:t>
            </w: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80" w:type="dxa"/>
            <w:vAlign w:val="bottom"/>
          </w:tcPr>
          <w:p>
            <w:pPr>
              <w:ind w:left="160"/>
              <w:spacing w:after="0"/>
              <w:rPr>
                <w:sz w:val="20"/>
                <w:szCs w:val="20"/>
                <w:color w:val="auto"/>
              </w:rPr>
            </w:pPr>
            <w:r>
              <w:rPr>
                <w:rFonts w:ascii="Arial" w:cs="Arial" w:eastAsia="Arial" w:hAnsi="Arial"/>
                <w:sz w:val="11"/>
                <w:szCs w:val="11"/>
                <w:color w:val="auto"/>
              </w:rPr>
              <w:t>Residential</w:t>
            </w:r>
          </w:p>
        </w:tc>
        <w:tc>
          <w:tcPr>
            <w:tcW w:w="1200" w:type="dxa"/>
            <w:vAlign w:val="bottom"/>
          </w:tcPr>
          <w:p>
            <w:pPr>
              <w:ind w:left="840"/>
              <w:spacing w:after="0"/>
              <w:rPr>
                <w:sz w:val="20"/>
                <w:szCs w:val="20"/>
                <w:color w:val="auto"/>
              </w:rPr>
            </w:pPr>
            <w:r>
              <w:rPr>
                <w:rFonts w:ascii="Arial" w:cs="Arial" w:eastAsia="Arial" w:hAnsi="Arial"/>
                <w:sz w:val="11"/>
                <w:szCs w:val="11"/>
                <w:color w:val="auto"/>
                <w:w w:val="99"/>
              </w:rPr>
              <w:t>1.13 %</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ind w:left="400"/>
              <w:spacing w:after="0"/>
              <w:rPr>
                <w:sz w:val="20"/>
                <w:szCs w:val="20"/>
                <w:color w:val="auto"/>
              </w:rPr>
            </w:pPr>
            <w:r>
              <w:rPr>
                <w:rFonts w:ascii="Arial" w:cs="Arial" w:eastAsia="Arial" w:hAnsi="Arial"/>
                <w:sz w:val="11"/>
                <w:szCs w:val="11"/>
                <w:color w:val="auto"/>
              </w:rPr>
              <w:t>1.40 %</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0.88 %</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0.71 %</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128 %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198 %</w:t>
            </w:r>
          </w:p>
        </w:tc>
        <w:tc>
          <w:tcPr>
            <w:tcW w:w="0" w:type="dxa"/>
            <w:vAlign w:val="bottom"/>
          </w:tcPr>
          <w:p>
            <w:pPr>
              <w:spacing w:after="0"/>
              <w:rPr>
                <w:sz w:val="1"/>
                <w:szCs w:val="1"/>
                <w:color w:val="auto"/>
              </w:rPr>
            </w:pPr>
          </w:p>
        </w:tc>
      </w:tr>
      <w:tr>
        <w:trPr>
          <w:trHeight w:val="163"/>
        </w:trPr>
        <w:tc>
          <w:tcPr>
            <w:tcW w:w="31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Commercial</w:t>
            </w:r>
          </w:p>
        </w:tc>
        <w:tc>
          <w:tcPr>
            <w:tcW w:w="1200" w:type="dxa"/>
            <w:vAlign w:val="bottom"/>
            <w:shd w:val="clear" w:color="auto" w:fill="CCEEFF"/>
          </w:tcPr>
          <w:p>
            <w:pPr>
              <w:ind w:left="840"/>
              <w:spacing w:after="0"/>
              <w:rPr>
                <w:sz w:val="20"/>
                <w:szCs w:val="20"/>
                <w:color w:val="auto"/>
              </w:rPr>
            </w:pPr>
            <w:r>
              <w:rPr>
                <w:rFonts w:ascii="Arial" w:cs="Arial" w:eastAsia="Arial" w:hAnsi="Arial"/>
                <w:sz w:val="11"/>
                <w:szCs w:val="11"/>
                <w:color w:val="auto"/>
              </w:rPr>
              <w:t>1.22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1.54</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0.24</w:t>
            </w: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518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34,606</w:t>
            </w:r>
          </w:p>
        </w:tc>
        <w:tc>
          <w:tcPr>
            <w:tcW w:w="0" w:type="dxa"/>
            <w:vAlign w:val="bottom"/>
          </w:tcPr>
          <w:p>
            <w:pPr>
              <w:spacing w:after="0"/>
              <w:rPr>
                <w:sz w:val="1"/>
                <w:szCs w:val="1"/>
                <w:color w:val="auto"/>
              </w:rPr>
            </w:pPr>
          </w:p>
        </w:tc>
      </w:tr>
      <w:tr>
        <w:trPr>
          <w:trHeight w:val="155"/>
        </w:trPr>
        <w:tc>
          <w:tcPr>
            <w:tcW w:w="3180" w:type="dxa"/>
            <w:vAlign w:val="bottom"/>
          </w:tcPr>
          <w:p>
            <w:pPr>
              <w:ind w:left="160"/>
              <w:spacing w:after="0"/>
              <w:rPr>
                <w:sz w:val="20"/>
                <w:szCs w:val="20"/>
                <w:color w:val="auto"/>
              </w:rPr>
            </w:pPr>
            <w:r>
              <w:rPr>
                <w:rFonts w:ascii="Arial" w:cs="Arial" w:eastAsia="Arial" w:hAnsi="Arial"/>
                <w:sz w:val="11"/>
                <w:szCs w:val="11"/>
                <w:color w:val="auto"/>
              </w:rPr>
              <w:t>Construction</w:t>
            </w:r>
          </w:p>
        </w:tc>
        <w:tc>
          <w:tcPr>
            <w:tcW w:w="1200" w:type="dxa"/>
            <w:vAlign w:val="bottom"/>
          </w:tcPr>
          <w:p>
            <w:pPr>
              <w:ind w:left="840"/>
              <w:spacing w:after="0"/>
              <w:rPr>
                <w:sz w:val="20"/>
                <w:szCs w:val="20"/>
                <w:color w:val="auto"/>
              </w:rPr>
            </w:pPr>
            <w:r>
              <w:rPr>
                <w:rFonts w:ascii="Arial" w:cs="Arial" w:eastAsia="Arial" w:hAnsi="Arial"/>
                <w:sz w:val="11"/>
                <w:szCs w:val="11"/>
                <w:color w:val="auto"/>
              </w:rPr>
              <w:t>1.59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ind w:left="400"/>
              <w:spacing w:after="0"/>
              <w:rPr>
                <w:sz w:val="20"/>
                <w:szCs w:val="20"/>
                <w:color w:val="auto"/>
              </w:rPr>
            </w:pPr>
            <w:r>
              <w:rPr>
                <w:rFonts w:ascii="Arial" w:cs="Arial" w:eastAsia="Arial" w:hAnsi="Arial"/>
                <w:sz w:val="11"/>
                <w:szCs w:val="11"/>
                <w:color w:val="auto"/>
              </w:rPr>
              <w:t>1.84</w:t>
            </w:r>
          </w:p>
        </w:tc>
        <w:tc>
          <w:tcPr>
            <w:tcW w:w="220" w:type="dxa"/>
            <w:vAlign w:val="bottom"/>
          </w:tcPr>
          <w:p>
            <w:pPr>
              <w:spacing w:after="0"/>
              <w:rPr>
                <w:sz w:val="13"/>
                <w:szCs w:val="13"/>
                <w:color w:val="auto"/>
              </w:rPr>
            </w:pPr>
          </w:p>
        </w:tc>
        <w:tc>
          <w:tcPr>
            <w:tcW w:w="1220" w:type="dxa"/>
            <w:vAlign w:val="bottom"/>
          </w:tcPr>
          <w:p>
            <w:pPr>
              <w:jc w:val="right"/>
              <w:ind w:right="83"/>
              <w:spacing w:after="0"/>
              <w:rPr>
                <w:sz w:val="20"/>
                <w:szCs w:val="20"/>
                <w:color w:val="auto"/>
              </w:rPr>
            </w:pPr>
            <w:r>
              <w:rPr>
                <w:rFonts w:ascii="Arial" w:cs="Arial" w:eastAsia="Arial" w:hAnsi="Arial"/>
                <w:sz w:val="11"/>
                <w:szCs w:val="11"/>
                <w:color w:val="auto"/>
              </w:rPr>
              <w:t>1.19</w:t>
            </w:r>
          </w:p>
        </w:tc>
        <w:tc>
          <w:tcPr>
            <w:tcW w:w="100" w:type="dxa"/>
            <w:vAlign w:val="bottom"/>
          </w:tcPr>
          <w:p>
            <w:pPr>
              <w:spacing w:after="0"/>
              <w:rPr>
                <w:sz w:val="13"/>
                <w:szCs w:val="13"/>
                <w:color w:val="auto"/>
              </w:rPr>
            </w:pPr>
          </w:p>
        </w:tc>
        <w:tc>
          <w:tcPr>
            <w:tcW w:w="1220" w:type="dxa"/>
            <w:vAlign w:val="bottom"/>
          </w:tcPr>
          <w:p>
            <w:pPr>
              <w:jc w:val="right"/>
              <w:ind w:right="103"/>
              <w:spacing w:after="0"/>
              <w:rPr>
                <w:sz w:val="20"/>
                <w:szCs w:val="20"/>
                <w:color w:val="auto"/>
              </w:rPr>
            </w:pPr>
            <w:r>
              <w:rPr>
                <w:rFonts w:ascii="Arial" w:cs="Arial" w:eastAsia="Arial" w:hAnsi="Arial"/>
                <w:sz w:val="11"/>
                <w:szCs w:val="11"/>
                <w:color w:val="auto"/>
              </w:rPr>
              <w:t>3.06</w:t>
            </w:r>
          </w:p>
        </w:tc>
        <w:tc>
          <w:tcPr>
            <w:tcW w:w="220" w:type="dxa"/>
            <w:vAlign w:val="bottom"/>
          </w:tcPr>
          <w:p>
            <w:pPr>
              <w:spacing w:after="0"/>
              <w:rPr>
                <w:sz w:val="13"/>
                <w:szCs w:val="13"/>
                <w:color w:val="auto"/>
              </w:rPr>
            </w:pPr>
          </w:p>
        </w:tc>
        <w:tc>
          <w:tcPr>
            <w:tcW w:w="1220" w:type="dxa"/>
            <w:vAlign w:val="bottom"/>
          </w:tcPr>
          <w:p>
            <w:pPr>
              <w:jc w:val="right"/>
              <w:ind w:right="103"/>
              <w:spacing w:after="0"/>
              <w:rPr>
                <w:sz w:val="20"/>
                <w:szCs w:val="20"/>
                <w:color w:val="auto"/>
              </w:rPr>
            </w:pPr>
            <w:r>
              <w:rPr>
                <w:rFonts w:ascii="Arial" w:cs="Arial" w:eastAsia="Arial" w:hAnsi="Arial"/>
                <w:sz w:val="11"/>
                <w:szCs w:val="11"/>
                <w:color w:val="auto"/>
              </w:rPr>
              <w:t>133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63"/>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Commercial and Industrial</w:t>
            </w:r>
          </w:p>
        </w:tc>
        <w:tc>
          <w:tcPr>
            <w:tcW w:w="1200" w:type="dxa"/>
            <w:vAlign w:val="bottom"/>
            <w:shd w:val="clear" w:color="auto" w:fill="CCEEFF"/>
          </w:tcPr>
          <w:p>
            <w:pPr>
              <w:ind w:left="840"/>
              <w:spacing w:after="0"/>
              <w:rPr>
                <w:sz w:val="20"/>
                <w:szCs w:val="20"/>
                <w:color w:val="auto"/>
              </w:rPr>
            </w:pPr>
            <w:r>
              <w:rPr>
                <w:rFonts w:ascii="Arial" w:cs="Arial" w:eastAsia="Arial" w:hAnsi="Arial"/>
                <w:sz w:val="11"/>
                <w:szCs w:val="11"/>
                <w:color w:val="auto"/>
              </w:rPr>
              <w:t>1.33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1.50</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0.32</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0.38</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390</w:t>
            </w: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rPr>
                <w:sz w:val="20"/>
                <w:szCs w:val="20"/>
                <w:color w:val="auto"/>
              </w:rPr>
            </w:pPr>
            <w:r>
              <w:rPr>
                <w:rFonts w:ascii="Arial" w:cs="Arial" w:eastAsia="Arial" w:hAnsi="Arial"/>
                <w:sz w:val="11"/>
                <w:szCs w:val="11"/>
                <w:color w:val="auto"/>
              </w:rPr>
              <w:t>Credit card</w:t>
            </w:r>
          </w:p>
        </w:tc>
        <w:tc>
          <w:tcPr>
            <w:tcW w:w="1200" w:type="dxa"/>
            <w:vAlign w:val="bottom"/>
          </w:tcPr>
          <w:p>
            <w:pPr>
              <w:ind w:left="840"/>
              <w:spacing w:after="0"/>
              <w:rPr>
                <w:sz w:val="20"/>
                <w:szCs w:val="20"/>
                <w:color w:val="auto"/>
              </w:rPr>
            </w:pPr>
            <w:r>
              <w:rPr>
                <w:rFonts w:ascii="Arial" w:cs="Arial" w:eastAsia="Arial" w:hAnsi="Arial"/>
                <w:sz w:val="11"/>
                <w:szCs w:val="11"/>
                <w:color w:val="auto"/>
              </w:rPr>
              <w:t>4.73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ind w:left="400"/>
              <w:spacing w:after="0"/>
              <w:rPr>
                <w:sz w:val="20"/>
                <w:szCs w:val="20"/>
                <w:color w:val="auto"/>
              </w:rPr>
            </w:pPr>
            <w:r>
              <w:rPr>
                <w:rFonts w:ascii="Arial" w:cs="Arial" w:eastAsia="Arial" w:hAnsi="Arial"/>
                <w:sz w:val="11"/>
                <w:szCs w:val="11"/>
                <w:color w:val="auto"/>
              </w:rPr>
              <w:t>2.59</w:t>
            </w:r>
          </w:p>
        </w:tc>
        <w:tc>
          <w:tcPr>
            <w:tcW w:w="22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4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142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3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consumer</w:t>
            </w:r>
          </w:p>
        </w:tc>
        <w:tc>
          <w:tcPr>
            <w:tcW w:w="1200" w:type="dxa"/>
            <w:vAlign w:val="bottom"/>
            <w:shd w:val="clear" w:color="auto" w:fill="CCEEFF"/>
          </w:tcPr>
          <w:p>
            <w:pPr>
              <w:ind w:left="840"/>
              <w:spacing w:after="0"/>
              <w:rPr>
                <w:sz w:val="20"/>
                <w:szCs w:val="20"/>
                <w:color w:val="auto"/>
              </w:rPr>
            </w:pPr>
            <w:r>
              <w:rPr>
                <w:rFonts w:ascii="Arial" w:cs="Arial" w:eastAsia="Arial" w:hAnsi="Arial"/>
                <w:sz w:val="11"/>
                <w:szCs w:val="11"/>
                <w:color w:val="auto"/>
              </w:rPr>
              <w:t>0.88</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1.13</w:t>
            </w:r>
          </w:p>
        </w:tc>
        <w:tc>
          <w:tcPr>
            <w:tcW w:w="2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w:t>
            </w:r>
          </w:p>
        </w:tc>
        <w:tc>
          <w:tcPr>
            <w:tcW w:w="12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1"/>
                <w:szCs w:val="11"/>
                <w:color w:val="auto"/>
                <w:w w:val="99"/>
              </w:rPr>
              <w:t>1.53 %</w:t>
            </w:r>
          </w:p>
        </w:tc>
        <w:tc>
          <w:tcPr>
            <w:tcW w:w="10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1"/>
                <w:szCs w:val="11"/>
                <w:color w:val="auto"/>
              </w:rPr>
              <w:t>1.65 %</w:t>
            </w:r>
          </w:p>
        </w:tc>
        <w:tc>
          <w:tcPr>
            <w:tcW w:w="220" w:type="dxa"/>
            <w:vAlign w:val="bottom"/>
            <w:tcBorders>
              <w:bottom w:val="single" w:sz="8" w:color="CCEEFF"/>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0.56 %</w:t>
            </w:r>
          </w:p>
        </w:tc>
        <w:tc>
          <w:tcPr>
            <w:tcW w:w="100" w:type="dxa"/>
            <w:vAlign w:val="bottom"/>
            <w:tcBorders>
              <w:bottom w:val="single" w:sz="8" w:color="CCEEFF"/>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0.70 %</w:t>
            </w:r>
          </w:p>
        </w:tc>
        <w:tc>
          <w:tcPr>
            <w:tcW w:w="220" w:type="dxa"/>
            <w:vAlign w:val="bottom"/>
            <w:tcBorders>
              <w:bottom w:val="single" w:sz="8" w:color="CCEEFF"/>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270 %</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220 %</w:t>
            </w:r>
          </w:p>
        </w:tc>
        <w:tc>
          <w:tcPr>
            <w:tcW w:w="0" w:type="dxa"/>
            <w:vAlign w:val="bottom"/>
          </w:tcPr>
          <w:p>
            <w:pPr>
              <w:spacing w:after="0"/>
              <w:rPr>
                <w:sz w:val="1"/>
                <w:szCs w:val="1"/>
                <w:color w:val="auto"/>
              </w:rPr>
            </w:pPr>
          </w:p>
        </w:tc>
      </w:tr>
      <w:tr>
        <w:trPr>
          <w:trHeight w:val="154"/>
        </w:trPr>
        <w:tc>
          <w:tcPr>
            <w:tcW w:w="3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ind w:left="260" w:hanging="255"/>
        <w:spacing w:after="0" w:line="208" w:lineRule="auto"/>
        <w:tabs>
          <w:tab w:leader="none" w:pos="260" w:val="left"/>
        </w:tabs>
        <w:numPr>
          <w:ilvl w:val="0"/>
          <w:numId w:val="14"/>
        </w:numPr>
        <w:rPr>
          <w:rFonts w:ascii="Arial" w:cs="Arial" w:eastAsia="Arial" w:hAnsi="Arial"/>
          <w:sz w:val="15"/>
          <w:szCs w:val="15"/>
          <w:color w:val="auto"/>
          <w:vertAlign w:val="superscript"/>
        </w:rPr>
      </w:pPr>
      <w:r>
        <w:rPr>
          <w:rFonts w:ascii="Arial" w:cs="Arial" w:eastAsia="Arial" w:hAnsi="Arial"/>
          <w:sz w:val="11"/>
          <w:szCs w:val="11"/>
          <w:color w:val="auto"/>
        </w:rPr>
        <w:t>Allowance calculation excludes SBA-PPP loans.</w:t>
      </w:r>
    </w:p>
    <w:p>
      <w:pPr>
        <w:spacing w:after="0" w:line="34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a summary of the net charge-off (recovery) of loans as a percentage of average loans for the periods indicated: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20" w:type="dxa"/>
            <w:vAlign w:val="bottom"/>
            <w:gridSpan w:val="5"/>
          </w:tcPr>
          <w:p>
            <w:pPr>
              <w:ind w:left="700"/>
              <w:spacing w:after="0"/>
              <w:rPr>
                <w:sz w:val="20"/>
                <w:szCs w:val="20"/>
                <w:color w:val="auto"/>
              </w:rPr>
            </w:pPr>
            <w:r>
              <w:rPr>
                <w:rFonts w:ascii="Arial" w:cs="Arial" w:eastAsia="Arial" w:hAnsi="Arial"/>
                <w:sz w:val="11"/>
                <w:szCs w:val="11"/>
                <w:b w:val="1"/>
                <w:bCs w:val="1"/>
                <w:color w:val="auto"/>
              </w:rPr>
              <w:t>For the Years Ended December 31,</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b w:val="1"/>
                <w:bCs w:val="1"/>
                <w:color w:val="auto"/>
              </w:rPr>
              <w:t>Net Charge-offs</w:t>
            </w:r>
          </w:p>
        </w:tc>
        <w:tc>
          <w:tcPr>
            <w:tcW w:w="14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ind w:left="80"/>
              <w:spacing w:after="0"/>
              <w:rPr>
                <w:sz w:val="20"/>
                <w:szCs w:val="20"/>
                <w:color w:val="auto"/>
              </w:rPr>
            </w:pPr>
            <w:r>
              <w:rPr>
                <w:rFonts w:ascii="Arial" w:cs="Arial" w:eastAsia="Arial" w:hAnsi="Arial"/>
                <w:sz w:val="11"/>
                <w:szCs w:val="11"/>
                <w:b w:val="1"/>
                <w:bCs w:val="1"/>
                <w:color w:val="auto"/>
              </w:rPr>
              <w:t>Average Loans</w:t>
            </w:r>
          </w:p>
        </w:tc>
        <w:tc>
          <w:tcPr>
            <w:tcW w:w="1780" w:type="dxa"/>
            <w:vAlign w:val="bottom"/>
            <w:gridSpan w:val="2"/>
            <w:shd w:val="clear" w:color="auto" w:fill="CCEEFF"/>
          </w:tcPr>
          <w:p>
            <w:pPr>
              <w:jc w:val="center"/>
              <w:ind w:right="300"/>
              <w:spacing w:after="0" w:line="122" w:lineRule="exact"/>
              <w:rPr>
                <w:sz w:val="20"/>
                <w:szCs w:val="20"/>
                <w:color w:val="auto"/>
              </w:rPr>
            </w:pPr>
            <w:r>
              <w:rPr>
                <w:rFonts w:ascii="Arial" w:cs="Arial" w:eastAsia="Arial" w:hAnsi="Arial"/>
                <w:sz w:val="11"/>
                <w:szCs w:val="11"/>
                <w:b w:val="1"/>
                <w:bCs w:val="1"/>
                <w:color w:val="auto"/>
              </w:rPr>
              <w:t>Percent of average</w:t>
            </w:r>
          </w:p>
        </w:tc>
        <w:tc>
          <w:tcPr>
            <w:tcW w:w="14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b w:val="1"/>
                <w:bCs w:val="1"/>
                <w:color w:val="auto"/>
              </w:rPr>
              <w:t>Net Charge-offs</w:t>
            </w:r>
          </w:p>
        </w:tc>
        <w:tc>
          <w:tcPr>
            <w:tcW w:w="16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b w:val="1"/>
                <w:bCs w:val="1"/>
                <w:color w:val="auto"/>
              </w:rPr>
              <w:t>Average Loans</w:t>
            </w:r>
          </w:p>
        </w:tc>
        <w:tc>
          <w:tcPr>
            <w:tcW w:w="1500" w:type="dxa"/>
            <w:vAlign w:val="bottom"/>
            <w:shd w:val="clear" w:color="auto" w:fill="CCEEFF"/>
          </w:tcPr>
          <w:p>
            <w:pPr>
              <w:jc w:val="right"/>
              <w:ind w:right="183"/>
              <w:spacing w:after="0" w:line="122" w:lineRule="exact"/>
              <w:rPr>
                <w:sz w:val="20"/>
                <w:szCs w:val="20"/>
                <w:color w:val="auto"/>
              </w:rPr>
            </w:pPr>
            <w:r>
              <w:rPr>
                <w:rFonts w:ascii="Arial" w:cs="Arial" w:eastAsia="Arial" w:hAnsi="Arial"/>
                <w:sz w:val="11"/>
                <w:szCs w:val="11"/>
                <w:b w:val="1"/>
                <w:bCs w:val="1"/>
                <w:color w:val="auto"/>
              </w:rPr>
              <w:t>Percent of average</w:t>
            </w: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780" w:type="dxa"/>
            <w:vAlign w:val="bottom"/>
            <w:gridSpan w:val="2"/>
            <w:shd w:val="clear" w:color="auto" w:fill="CCEEFF"/>
          </w:tcPr>
          <w:p>
            <w:pPr>
              <w:jc w:val="center"/>
              <w:ind w:right="280"/>
              <w:spacing w:after="0"/>
              <w:rPr>
                <w:sz w:val="20"/>
                <w:szCs w:val="20"/>
                <w:color w:val="auto"/>
              </w:rPr>
            </w:pPr>
            <w:r>
              <w:rPr>
                <w:rFonts w:ascii="Arial" w:cs="Arial" w:eastAsia="Arial" w:hAnsi="Arial"/>
                <w:sz w:val="11"/>
                <w:szCs w:val="11"/>
                <w:b w:val="1"/>
                <w:bCs w:val="1"/>
                <w:color w:val="auto"/>
              </w:rPr>
              <w:t>portfolio loans</w:t>
            </w:r>
          </w:p>
        </w:tc>
        <w:tc>
          <w:tcPr>
            <w:tcW w:w="14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500" w:type="dxa"/>
            <w:vAlign w:val="bottom"/>
            <w:shd w:val="clear" w:color="auto" w:fill="CCEEFF"/>
          </w:tcPr>
          <w:p>
            <w:pPr>
              <w:jc w:val="right"/>
              <w:ind w:right="303"/>
              <w:spacing w:after="0"/>
              <w:rPr>
                <w:sz w:val="20"/>
                <w:szCs w:val="20"/>
                <w:color w:val="auto"/>
              </w:rPr>
            </w:pPr>
            <w:r>
              <w:rPr>
                <w:rFonts w:ascii="Arial" w:cs="Arial" w:eastAsia="Arial" w:hAnsi="Arial"/>
                <w:sz w:val="11"/>
                <w:szCs w:val="11"/>
                <w:b w:val="1"/>
                <w:bCs w:val="1"/>
                <w:color w:val="auto"/>
              </w:rPr>
              <w:t>portfolio loans</w:t>
            </w:r>
          </w:p>
        </w:tc>
        <w:tc>
          <w:tcPr>
            <w:tcW w:w="0" w:type="dxa"/>
            <w:vAlign w:val="bottom"/>
          </w:tcPr>
          <w:p>
            <w:pPr>
              <w:spacing w:after="0"/>
              <w:rPr>
                <w:sz w:val="1"/>
                <w:szCs w:val="1"/>
                <w:color w:val="auto"/>
              </w:rPr>
            </w:pPr>
          </w:p>
        </w:tc>
      </w:tr>
      <w:tr>
        <w:trPr>
          <w:trHeight w:val="146"/>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40" w:type="dxa"/>
            <w:vAlign w:val="bottom"/>
            <w:shd w:val="clear" w:color="auto" w:fill="CCEEFF"/>
          </w:tcPr>
          <w:p>
            <w:pPr>
              <w:ind w:left="60"/>
              <w:spacing w:after="0"/>
              <w:rPr>
                <w:sz w:val="20"/>
                <w:szCs w:val="20"/>
                <w:color w:val="auto"/>
              </w:rPr>
            </w:pPr>
            <w:r>
              <w:rPr>
                <w:rFonts w:ascii="Arial" w:cs="Arial" w:eastAsia="Arial" w:hAnsi="Arial"/>
                <w:sz w:val="11"/>
                <w:szCs w:val="11"/>
                <w:color w:val="auto"/>
              </w:rPr>
              <w:t>Real estate:</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40" w:type="dxa"/>
            <w:vAlign w:val="bottom"/>
          </w:tcPr>
          <w:p>
            <w:pPr>
              <w:ind w:left="160"/>
              <w:spacing w:after="0"/>
              <w:rPr>
                <w:sz w:val="20"/>
                <w:szCs w:val="20"/>
                <w:color w:val="auto"/>
              </w:rPr>
            </w:pPr>
            <w:r>
              <w:rPr>
                <w:rFonts w:ascii="Arial" w:cs="Arial" w:eastAsia="Arial" w:hAnsi="Arial"/>
                <w:sz w:val="11"/>
                <w:szCs w:val="11"/>
                <w:color w:val="auto"/>
              </w:rPr>
              <w:t>Residential</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434,714</w:t>
            </w:r>
          </w:p>
        </w:tc>
        <w:tc>
          <w:tcPr>
            <w:tcW w:w="80" w:type="dxa"/>
            <w:vAlign w:val="bottom"/>
          </w:tcPr>
          <w:p>
            <w:pPr>
              <w:spacing w:after="0"/>
              <w:rPr>
                <w:sz w:val="13"/>
                <w:szCs w:val="13"/>
                <w:color w:val="auto"/>
              </w:rPr>
            </w:pPr>
          </w:p>
        </w:tc>
        <w:tc>
          <w:tcPr>
            <w:tcW w:w="1780" w:type="dxa"/>
            <w:vAlign w:val="bottom"/>
            <w:gridSpan w:val="2"/>
          </w:tcPr>
          <w:p>
            <w:pPr>
              <w:ind w:left="1220"/>
              <w:spacing w:after="0"/>
              <w:rPr>
                <w:sz w:val="20"/>
                <w:szCs w:val="20"/>
                <w:color w:val="auto"/>
              </w:rPr>
            </w:pPr>
            <w:r>
              <w:rPr>
                <w:rFonts w:ascii="Arial" w:cs="Arial" w:eastAsia="Arial" w:hAnsi="Arial"/>
                <w:sz w:val="11"/>
                <w:szCs w:val="11"/>
                <w:color w:val="auto"/>
              </w:rPr>
              <w:t>— %</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421,856</w:t>
            </w:r>
          </w:p>
        </w:tc>
        <w:tc>
          <w:tcPr>
            <w:tcW w:w="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Commercial</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593,981</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456,972</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0.04</w:t>
            </w:r>
          </w:p>
        </w:tc>
        <w:tc>
          <w:tcPr>
            <w:tcW w:w="0" w:type="dxa"/>
            <w:vAlign w:val="bottom"/>
          </w:tcPr>
          <w:p>
            <w:pPr>
              <w:spacing w:after="0"/>
              <w:rPr>
                <w:sz w:val="1"/>
                <w:szCs w:val="1"/>
                <w:color w:val="auto"/>
              </w:rPr>
            </w:pPr>
          </w:p>
        </w:tc>
      </w:tr>
      <w:tr>
        <w:trPr>
          <w:trHeight w:val="155"/>
        </w:trPr>
        <w:tc>
          <w:tcPr>
            <w:tcW w:w="2640" w:type="dxa"/>
            <w:vAlign w:val="bottom"/>
          </w:tcPr>
          <w:p>
            <w:pPr>
              <w:ind w:left="160"/>
              <w:spacing w:after="0"/>
              <w:rPr>
                <w:sz w:val="20"/>
                <w:szCs w:val="20"/>
                <w:color w:val="auto"/>
              </w:rPr>
            </w:pPr>
            <w:r>
              <w:rPr>
                <w:rFonts w:ascii="Arial" w:cs="Arial" w:eastAsia="Arial" w:hAnsi="Arial"/>
                <w:sz w:val="11"/>
                <w:szCs w:val="11"/>
                <w:color w:val="auto"/>
              </w:rPr>
              <w:t>Construction</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243,921</w:t>
            </w:r>
          </w:p>
        </w:tc>
        <w:tc>
          <w:tcPr>
            <w:tcW w:w="8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0.01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233,964</w:t>
            </w:r>
          </w:p>
        </w:tc>
        <w:tc>
          <w:tcPr>
            <w:tcW w:w="80" w:type="dxa"/>
            <w:vAlign w:val="bottom"/>
          </w:tcPr>
          <w:p>
            <w:pPr>
              <w:spacing w:after="0"/>
              <w:rPr>
                <w:sz w:val="13"/>
                <w:szCs w:val="13"/>
                <w:color w:val="auto"/>
              </w:rPr>
            </w:pPr>
          </w:p>
        </w:tc>
        <w:tc>
          <w:tcPr>
            <w:tcW w:w="15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Commercial and Industrial</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179,757</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143,434</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0.02</w:t>
            </w:r>
          </w:p>
        </w:tc>
        <w:tc>
          <w:tcPr>
            <w:tcW w:w="0" w:type="dxa"/>
            <w:vAlign w:val="bottom"/>
          </w:tcPr>
          <w:p>
            <w:pPr>
              <w:spacing w:after="0"/>
              <w:rPr>
                <w:sz w:val="1"/>
                <w:szCs w:val="1"/>
                <w:color w:val="auto"/>
              </w:rPr>
            </w:pPr>
          </w:p>
        </w:tc>
      </w:tr>
      <w:tr>
        <w:trPr>
          <w:trHeight w:val="155"/>
        </w:trPr>
        <w:tc>
          <w:tcPr>
            <w:tcW w:w="2640" w:type="dxa"/>
            <w:vAlign w:val="bottom"/>
          </w:tcPr>
          <w:p>
            <w:pPr>
              <w:ind w:left="20"/>
              <w:spacing w:after="0"/>
              <w:rPr>
                <w:sz w:val="20"/>
                <w:szCs w:val="20"/>
                <w:color w:val="auto"/>
              </w:rPr>
            </w:pPr>
            <w:r>
              <w:rPr>
                <w:rFonts w:ascii="Arial" w:cs="Arial" w:eastAsia="Arial" w:hAnsi="Arial"/>
                <w:sz w:val="11"/>
                <w:szCs w:val="11"/>
                <w:color w:val="auto"/>
              </w:rPr>
              <w:t>Credit card</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5,410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126,473</w:t>
            </w:r>
          </w:p>
        </w:tc>
        <w:tc>
          <w:tcPr>
            <w:tcW w:w="8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4.28</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1,419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112,313</w:t>
            </w:r>
          </w:p>
        </w:tc>
        <w:tc>
          <w:tcPr>
            <w:tcW w:w="80" w:type="dxa"/>
            <w:vAlign w:val="bottom"/>
          </w:tcPr>
          <w:p>
            <w:pPr>
              <w:spacing w:after="0"/>
              <w:rPr>
                <w:sz w:val="13"/>
                <w:szCs w:val="13"/>
                <w:color w:val="auto"/>
              </w:rPr>
            </w:pPr>
          </w:p>
        </w:tc>
        <w:tc>
          <w:tcPr>
            <w:tcW w:w="1500" w:type="dxa"/>
            <w:vAlign w:val="bottom"/>
          </w:tcPr>
          <w:p>
            <w:pPr>
              <w:jc w:val="right"/>
              <w:ind w:right="83"/>
              <w:spacing w:after="0"/>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59"/>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consumer</w:t>
            </w: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815</w:t>
            </w:r>
          </w:p>
        </w:tc>
        <w:tc>
          <w:tcPr>
            <w:tcW w:w="8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2,449</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5,427</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1,579,661</w:t>
            </w:r>
          </w:p>
        </w:tc>
        <w:tc>
          <w:tcPr>
            <w:tcW w:w="80" w:type="dxa"/>
            <w:vAlign w:val="bottom"/>
            <w:tcBorders>
              <w:bottom w:val="single" w:sz="8" w:color="CCEEFF"/>
            </w:tcBorders>
          </w:tcPr>
          <w:p>
            <w:pPr>
              <w:spacing w:after="0"/>
              <w:rPr>
                <w:sz w:val="13"/>
                <w:szCs w:val="13"/>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0.34 %</w:t>
            </w:r>
          </w:p>
        </w:tc>
        <w:tc>
          <w:tcPr>
            <w:tcW w:w="3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1,612</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1,370,988</w:t>
            </w:r>
          </w:p>
        </w:tc>
        <w:tc>
          <w:tcPr>
            <w:tcW w:w="80" w:type="dxa"/>
            <w:vAlign w:val="bottom"/>
            <w:tcBorders>
              <w:bottom w:val="single" w:sz="8" w:color="CCEEFF"/>
            </w:tcBorders>
          </w:tcPr>
          <w:p>
            <w:pPr>
              <w:spacing w:after="0"/>
              <w:rPr>
                <w:sz w:val="13"/>
                <w:szCs w:val="13"/>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0.12 %</w:t>
            </w:r>
          </w:p>
        </w:tc>
        <w:tc>
          <w:tcPr>
            <w:tcW w:w="0" w:type="dxa"/>
            <w:vAlign w:val="bottom"/>
          </w:tcPr>
          <w:p>
            <w:pPr>
              <w:spacing w:after="0"/>
              <w:rPr>
                <w:sz w:val="1"/>
                <w:szCs w:val="1"/>
                <w:color w:val="auto"/>
              </w:rPr>
            </w:pPr>
          </w:p>
        </w:tc>
      </w:tr>
      <w:tr>
        <w:trPr>
          <w:trHeight w:val="154"/>
        </w:trPr>
        <w:tc>
          <w:tcPr>
            <w:tcW w:w="2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right="60" w:firstLine="255"/>
        <w:spacing w:after="0" w:line="259" w:lineRule="auto"/>
        <w:rPr>
          <w:sz w:val="20"/>
          <w:szCs w:val="20"/>
          <w:color w:val="auto"/>
        </w:rPr>
      </w:pPr>
      <w:r>
        <w:rPr>
          <w:rFonts w:ascii="Arial" w:cs="Arial" w:eastAsia="Arial" w:hAnsi="Arial"/>
          <w:sz w:val="14"/>
          <w:szCs w:val="14"/>
          <w:color w:val="auto"/>
        </w:rPr>
        <w:t>The allowance for loan losses at December 31, 2022 included specific reserves of $372 thousand set aside for impaired loans. The allowance for loan losses at December 31, 2021 included specific reserves of $218 thousand set aside for impaired loans. Total charge-offs for the years ended December 31, 2022 and 2021 were primarily due to credit card charge-offs resulting primarily from the aging of the portfolio</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5" w:name="page46"/>
    <w:bookmarkEnd w:id="45"/>
    <w:p>
      <w:pPr>
        <w:ind w:right="560"/>
        <w:spacing w:after="0" w:line="266" w:lineRule="auto"/>
        <w:rPr>
          <w:sz w:val="20"/>
          <w:szCs w:val="20"/>
          <w:color w:val="auto"/>
        </w:rPr>
      </w:pPr>
      <w:r>
        <w:rPr>
          <w:rFonts w:ascii="Arial" w:cs="Arial" w:eastAsia="Arial" w:hAnsi="Arial"/>
          <w:sz w:val="14"/>
          <w:szCs w:val="14"/>
          <w:color w:val="auto"/>
        </w:rPr>
        <w:t>and partially from the shift from an almost exclusively secured card portfolio to a partially secured card portfolio as we launched an unsecured card available only to existing qualifying customers. Additionally, there are economic challenges facing the overall industry that have also impacted the provisioning for our credit card portfolio.</w:t>
      </w:r>
    </w:p>
    <w:p>
      <w:pPr>
        <w:spacing w:after="0" w:line="15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As the loan portfolio and allowance for loan losses review processes continue to evolve, there may be changes to elements of the allowance and this may have an effect on the overall level of the allowance. Historically, the Bank has enjoyed a high-quality loan portfolio with relatively low levels of net charge-offs and low delinquency rates.</w:t>
      </w:r>
    </w:p>
    <w:p>
      <w:pPr>
        <w:spacing w:after="0" w:line="15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Management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has refined the Company’s risk rating system, and continues to adapt and enhance the monitoring of the loan portfolio. The loan portfolio analysis process is intended to contribute to the identification of weaknesses before they become more severe.</w:t>
      </w:r>
    </w:p>
    <w:p>
      <w:pPr>
        <w:spacing w:after="0" w:line="15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Although we believe we have established our allowance for loan losses in accordance with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15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following table shows the allocation of the allowance for loan losses among loan categories as of the dates indicated. The total allowance is available to absorb losses from any loan category.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1"/>
                <w:szCs w:val="11"/>
                <w:b w:val="1"/>
                <w:bCs w:val="1"/>
                <w:color w:val="auto"/>
              </w:rPr>
              <w:t>December 31,</w:t>
            </w:r>
          </w:p>
        </w:tc>
        <w:tc>
          <w:tcPr>
            <w:tcW w:w="1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r>
      <w:tr>
        <w:trPr>
          <w:trHeight w:val="150"/>
        </w:trPr>
        <w:tc>
          <w:tcPr>
            <w:tcW w:w="3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1"/>
                <w:szCs w:val="11"/>
                <w:b w:val="1"/>
                <w:bCs w:val="1"/>
                <w:color w:val="auto"/>
              </w:rPr>
              <w:t>2022</w:t>
            </w:r>
          </w:p>
        </w:tc>
        <w:tc>
          <w:tcPr>
            <w:tcW w:w="1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1663"/>
              <w:spacing w:after="0"/>
              <w:rPr>
                <w:sz w:val="20"/>
                <w:szCs w:val="20"/>
                <w:color w:val="auto"/>
              </w:rPr>
            </w:pPr>
            <w:r>
              <w:rPr>
                <w:rFonts w:ascii="Arial" w:cs="Arial" w:eastAsia="Arial" w:hAnsi="Arial"/>
                <w:sz w:val="11"/>
                <w:szCs w:val="11"/>
                <w:b w:val="1"/>
                <w:bCs w:val="1"/>
                <w:color w:val="auto"/>
                <w:w w:val="97"/>
              </w:rPr>
              <w:t>2021</w:t>
            </w:r>
          </w:p>
        </w:tc>
      </w:tr>
      <w:tr>
        <w:trPr>
          <w:trHeight w:val="154"/>
        </w:trPr>
        <w:tc>
          <w:tcPr>
            <w:tcW w:w="38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360" w:type="dxa"/>
            <w:vAlign w:val="bottom"/>
          </w:tcPr>
          <w:p>
            <w:pPr>
              <w:spacing w:after="0"/>
              <w:rPr>
                <w:sz w:val="13"/>
                <w:szCs w:val="13"/>
                <w:color w:val="auto"/>
              </w:rPr>
            </w:pPr>
          </w:p>
        </w:tc>
        <w:tc>
          <w:tcPr>
            <w:tcW w:w="1840" w:type="dxa"/>
            <w:vAlign w:val="bottom"/>
            <w:gridSpan w:val="3"/>
          </w:tcPr>
          <w:p>
            <w:pPr>
              <w:jc w:val="right"/>
              <w:ind w:right="1140"/>
              <w:spacing w:after="0"/>
              <w:rPr>
                <w:sz w:val="20"/>
                <w:szCs w:val="20"/>
                <w:color w:val="auto"/>
              </w:rPr>
            </w:pPr>
            <w:r>
              <w:rPr>
                <w:rFonts w:ascii="Arial" w:cs="Arial" w:eastAsia="Arial" w:hAnsi="Arial"/>
                <w:sz w:val="11"/>
                <w:szCs w:val="11"/>
                <w:b w:val="1"/>
                <w:bCs w:val="1"/>
                <w:color w:val="auto"/>
              </w:rPr>
              <w:t>Amount</w:t>
            </w:r>
          </w:p>
        </w:tc>
        <w:tc>
          <w:tcPr>
            <w:tcW w:w="1440" w:type="dxa"/>
            <w:vAlign w:val="bottom"/>
          </w:tcPr>
          <w:p>
            <w:pPr>
              <w:jc w:val="right"/>
              <w:ind w:right="603"/>
              <w:spacing w:after="0" w:line="154" w:lineRule="exact"/>
              <w:rPr>
                <w:sz w:val="20"/>
                <w:szCs w:val="20"/>
                <w:color w:val="auto"/>
              </w:rPr>
            </w:pPr>
            <w:r>
              <w:rPr>
                <w:rFonts w:ascii="Arial" w:cs="Arial" w:eastAsia="Arial" w:hAnsi="Arial"/>
                <w:sz w:val="11"/>
                <w:szCs w:val="11"/>
                <w:b w:val="1"/>
                <w:bCs w:val="1"/>
                <w:color w:val="auto"/>
              </w:rPr>
              <w:t>Percent</w:t>
            </w:r>
            <w:r>
              <w:rPr>
                <w:rFonts w:ascii="Arial" w:cs="Arial" w:eastAsia="Arial" w:hAnsi="Arial"/>
                <w:sz w:val="14"/>
                <w:szCs w:val="14"/>
                <w:b w:val="1"/>
                <w:bCs w:val="1"/>
                <w:color w:val="auto"/>
                <w:vertAlign w:val="superscript"/>
              </w:rPr>
              <w:t>(1)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jc w:val="right"/>
              <w:ind w:right="563"/>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Pr>
          <w:p>
            <w:pPr>
              <w:jc w:val="right"/>
              <w:ind w:right="603"/>
              <w:spacing w:after="0" w:line="154" w:lineRule="exact"/>
              <w:rPr>
                <w:sz w:val="20"/>
                <w:szCs w:val="20"/>
                <w:color w:val="auto"/>
              </w:rPr>
            </w:pPr>
            <w:r>
              <w:rPr>
                <w:rFonts w:ascii="Arial" w:cs="Arial" w:eastAsia="Arial" w:hAnsi="Arial"/>
                <w:sz w:val="11"/>
                <w:szCs w:val="11"/>
                <w:b w:val="1"/>
                <w:bCs w:val="1"/>
                <w:color w:val="auto"/>
              </w:rPr>
              <w:t>Percent</w:t>
            </w:r>
            <w:r>
              <w:rPr>
                <w:rFonts w:ascii="Arial" w:cs="Arial" w:eastAsia="Arial" w:hAnsi="Arial"/>
                <w:sz w:val="14"/>
                <w:szCs w:val="14"/>
                <w:b w:val="1"/>
                <w:bCs w:val="1"/>
                <w:color w:val="auto"/>
                <w:vertAlign w:val="superscript"/>
              </w:rPr>
              <w:t>(1)</w:t>
            </w:r>
          </w:p>
        </w:tc>
      </w:tr>
      <w:tr>
        <w:trPr>
          <w:trHeight w:val="13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Real estate:</w:t>
            </w:r>
          </w:p>
        </w:tc>
        <w:tc>
          <w:tcPr>
            <w:tcW w:w="36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r>
      <w:tr>
        <w:trPr>
          <w:trHeight w:val="155"/>
        </w:trPr>
        <w:tc>
          <w:tcPr>
            <w:tcW w:w="3860" w:type="dxa"/>
            <w:vAlign w:val="bottom"/>
          </w:tcPr>
          <w:p>
            <w:pPr>
              <w:ind w:left="140"/>
              <w:spacing w:after="0"/>
              <w:rPr>
                <w:sz w:val="20"/>
                <w:szCs w:val="20"/>
                <w:color w:val="auto"/>
              </w:rPr>
            </w:pPr>
            <w:r>
              <w:rPr>
                <w:rFonts w:ascii="Arial" w:cs="Arial" w:eastAsia="Arial" w:hAnsi="Arial"/>
                <w:sz w:val="11"/>
                <w:szCs w:val="11"/>
                <w:color w:val="auto"/>
              </w:rPr>
              <w:t>Residential</w:t>
            </w:r>
          </w:p>
        </w:tc>
        <w:tc>
          <w:tcPr>
            <w:tcW w:w="360" w:type="dxa"/>
            <w:vAlign w:val="bottom"/>
          </w:tcPr>
          <w:p>
            <w:pPr>
              <w:jc w:val="right"/>
              <w:ind w:right="25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Pr>
          <w:p>
            <w:pPr>
              <w:jc w:val="right"/>
              <w:ind w:right="9"/>
              <w:spacing w:after="0"/>
              <w:rPr>
                <w:sz w:val="20"/>
                <w:szCs w:val="20"/>
                <w:color w:val="auto"/>
              </w:rPr>
            </w:pPr>
            <w:r>
              <w:rPr>
                <w:rFonts w:ascii="Arial" w:cs="Arial" w:eastAsia="Arial" w:hAnsi="Arial"/>
                <w:sz w:val="10"/>
                <w:szCs w:val="10"/>
                <w:b w:val="1"/>
                <w:bCs w:val="1"/>
                <w:color w:val="auto"/>
              </w:rPr>
              <w:t>5,481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21 %</w:t>
            </w:r>
          </w:p>
        </w:tc>
        <w:tc>
          <w:tcPr>
            <w:tcW w:w="100" w:type="dxa"/>
            <w:vAlign w:val="bottom"/>
          </w:tcPr>
          <w:p>
            <w:pPr>
              <w:spacing w:after="0"/>
              <w:rPr>
                <w:sz w:val="13"/>
                <w:szCs w:val="13"/>
                <w:color w:val="auto"/>
              </w:rPr>
            </w:pPr>
          </w:p>
        </w:tc>
        <w:tc>
          <w:tcPr>
            <w:tcW w:w="500" w:type="dxa"/>
            <w:vAlign w:val="bottom"/>
          </w:tcPr>
          <w:p>
            <w:pPr>
              <w:jc w:val="right"/>
              <w:ind w:right="36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5,612</w:t>
            </w:r>
          </w:p>
        </w:tc>
        <w:tc>
          <w:tcPr>
            <w:tcW w:w="1980" w:type="dxa"/>
            <w:vAlign w:val="bottom"/>
            <w:gridSpan w:val="3"/>
          </w:tcPr>
          <w:p>
            <w:pPr>
              <w:jc w:val="right"/>
              <w:spacing w:after="0"/>
              <w:rPr>
                <w:sz w:val="20"/>
                <w:szCs w:val="20"/>
                <w:color w:val="auto"/>
              </w:rPr>
            </w:pPr>
            <w:r>
              <w:rPr>
                <w:rFonts w:ascii="Arial" w:cs="Arial" w:eastAsia="Arial" w:hAnsi="Arial"/>
                <w:sz w:val="11"/>
                <w:szCs w:val="11"/>
                <w:color w:val="auto"/>
              </w:rPr>
              <w:t>22 %</w:t>
            </w:r>
          </w:p>
        </w:tc>
      </w:tr>
      <w:tr>
        <w:trPr>
          <w:trHeight w:val="163"/>
        </w:trPr>
        <w:tc>
          <w:tcPr>
            <w:tcW w:w="38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Commercial</w:t>
            </w:r>
          </w:p>
        </w:tc>
        <w:tc>
          <w:tcPr>
            <w:tcW w:w="3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8,098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8,566</w:t>
            </w:r>
          </w:p>
        </w:tc>
        <w:tc>
          <w:tcPr>
            <w:tcW w:w="1980" w:type="dxa"/>
            <w:vAlign w:val="bottom"/>
            <w:gridSpan w:val="3"/>
            <w:shd w:val="clear" w:color="auto" w:fill="CCEEFF"/>
          </w:tcPr>
          <w:p>
            <w:pPr>
              <w:jc w:val="right"/>
              <w:ind w:right="83"/>
              <w:spacing w:after="0"/>
              <w:rPr>
                <w:sz w:val="20"/>
                <w:szCs w:val="20"/>
                <w:color w:val="auto"/>
              </w:rPr>
            </w:pPr>
            <w:r>
              <w:rPr>
                <w:rFonts w:ascii="Arial" w:cs="Arial" w:eastAsia="Arial" w:hAnsi="Arial"/>
                <w:sz w:val="11"/>
                <w:szCs w:val="11"/>
                <w:color w:val="auto"/>
              </w:rPr>
              <w:t>34</w:t>
            </w:r>
          </w:p>
        </w:tc>
      </w:tr>
      <w:tr>
        <w:trPr>
          <w:trHeight w:val="155"/>
        </w:trPr>
        <w:tc>
          <w:tcPr>
            <w:tcW w:w="3860" w:type="dxa"/>
            <w:vAlign w:val="bottom"/>
          </w:tcPr>
          <w:p>
            <w:pPr>
              <w:ind w:left="140"/>
              <w:spacing w:after="0"/>
              <w:rPr>
                <w:sz w:val="20"/>
                <w:szCs w:val="20"/>
                <w:color w:val="auto"/>
              </w:rPr>
            </w:pPr>
            <w:r>
              <w:rPr>
                <w:rFonts w:ascii="Arial" w:cs="Arial" w:eastAsia="Arial" w:hAnsi="Arial"/>
                <w:sz w:val="11"/>
                <w:szCs w:val="11"/>
                <w:color w:val="auto"/>
              </w:rPr>
              <w:t>Construction</w:t>
            </w:r>
          </w:p>
        </w:tc>
        <w:tc>
          <w:tcPr>
            <w:tcW w:w="360" w:type="dxa"/>
            <w:vAlign w:val="bottom"/>
          </w:tcPr>
          <w:p>
            <w:pPr>
              <w:spacing w:after="0"/>
              <w:rPr>
                <w:sz w:val="13"/>
                <w:szCs w:val="13"/>
                <w:color w:val="auto"/>
              </w:rPr>
            </w:pPr>
          </w:p>
        </w:tc>
        <w:tc>
          <w:tcPr>
            <w:tcW w:w="1360" w:type="dxa"/>
            <w:vAlign w:val="bottom"/>
          </w:tcPr>
          <w:p>
            <w:pPr>
              <w:jc w:val="right"/>
              <w:ind w:right="9"/>
              <w:spacing w:after="0"/>
              <w:rPr>
                <w:sz w:val="20"/>
                <w:szCs w:val="20"/>
                <w:color w:val="auto"/>
              </w:rPr>
            </w:pPr>
            <w:r>
              <w:rPr>
                <w:rFonts w:ascii="Arial" w:cs="Arial" w:eastAsia="Arial" w:hAnsi="Arial"/>
                <w:sz w:val="10"/>
                <w:szCs w:val="10"/>
                <w:b w:val="1"/>
                <w:bCs w:val="1"/>
                <w:color w:val="auto"/>
              </w:rPr>
              <w:t>3,782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jc w:val="right"/>
              <w:ind w:right="103"/>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4,699</w:t>
            </w:r>
          </w:p>
        </w:tc>
        <w:tc>
          <w:tcPr>
            <w:tcW w:w="1980" w:type="dxa"/>
            <w:vAlign w:val="bottom"/>
            <w:gridSpan w:val="3"/>
          </w:tcPr>
          <w:p>
            <w:pPr>
              <w:jc w:val="right"/>
              <w:ind w:right="83"/>
              <w:spacing w:after="0"/>
              <w:rPr>
                <w:sz w:val="20"/>
                <w:szCs w:val="20"/>
                <w:color w:val="auto"/>
              </w:rPr>
            </w:pPr>
            <w:r>
              <w:rPr>
                <w:rFonts w:ascii="Arial" w:cs="Arial" w:eastAsia="Arial" w:hAnsi="Arial"/>
                <w:sz w:val="11"/>
                <w:szCs w:val="11"/>
                <w:color w:val="auto"/>
              </w:rPr>
              <w:t>19</w:t>
            </w:r>
          </w:p>
        </w:tc>
      </w:tr>
      <w:tr>
        <w:trPr>
          <w:trHeight w:val="163"/>
        </w:trPr>
        <w:tc>
          <w:tcPr>
            <w:tcW w:w="3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Commercial and Industrial</w:t>
            </w:r>
          </w:p>
        </w:tc>
        <w:tc>
          <w:tcPr>
            <w:tcW w:w="3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2,935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2,637</w:t>
            </w:r>
          </w:p>
        </w:tc>
        <w:tc>
          <w:tcPr>
            <w:tcW w:w="1980" w:type="dxa"/>
            <w:vAlign w:val="bottom"/>
            <w:gridSpan w:val="3"/>
            <w:shd w:val="clear" w:color="auto" w:fill="CCEEFF"/>
          </w:tcPr>
          <w:p>
            <w:pPr>
              <w:jc w:val="right"/>
              <w:ind w:right="83"/>
              <w:spacing w:after="0"/>
              <w:rPr>
                <w:sz w:val="20"/>
                <w:szCs w:val="20"/>
                <w:color w:val="auto"/>
              </w:rPr>
            </w:pPr>
            <w:r>
              <w:rPr>
                <w:rFonts w:ascii="Arial" w:cs="Arial" w:eastAsia="Arial" w:hAnsi="Arial"/>
                <w:sz w:val="11"/>
                <w:szCs w:val="11"/>
                <w:color w:val="auto"/>
              </w:rPr>
              <w:t>10</w:t>
            </w:r>
          </w:p>
        </w:tc>
      </w:tr>
      <w:tr>
        <w:trPr>
          <w:trHeight w:val="155"/>
        </w:trPr>
        <w:tc>
          <w:tcPr>
            <w:tcW w:w="3860" w:type="dxa"/>
            <w:vAlign w:val="bottom"/>
          </w:tcPr>
          <w:p>
            <w:pPr>
              <w:ind w:left="20"/>
              <w:spacing w:after="0"/>
              <w:rPr>
                <w:sz w:val="20"/>
                <w:szCs w:val="20"/>
                <w:color w:val="auto"/>
              </w:rPr>
            </w:pPr>
            <w:r>
              <w:rPr>
                <w:rFonts w:ascii="Arial" w:cs="Arial" w:eastAsia="Arial" w:hAnsi="Arial"/>
                <w:sz w:val="11"/>
                <w:szCs w:val="11"/>
                <w:color w:val="auto"/>
              </w:rPr>
              <w:t>Credit card</w:t>
            </w:r>
          </w:p>
        </w:tc>
        <w:tc>
          <w:tcPr>
            <w:tcW w:w="360" w:type="dxa"/>
            <w:vAlign w:val="bottom"/>
          </w:tcPr>
          <w:p>
            <w:pPr>
              <w:spacing w:after="0"/>
              <w:rPr>
                <w:sz w:val="13"/>
                <w:szCs w:val="13"/>
                <w:color w:val="auto"/>
              </w:rPr>
            </w:pPr>
          </w:p>
        </w:tc>
        <w:tc>
          <w:tcPr>
            <w:tcW w:w="1360" w:type="dxa"/>
            <w:vAlign w:val="bottom"/>
          </w:tcPr>
          <w:p>
            <w:pPr>
              <w:jc w:val="right"/>
              <w:ind w:right="9"/>
              <w:spacing w:after="0"/>
              <w:rPr>
                <w:sz w:val="20"/>
                <w:szCs w:val="20"/>
                <w:color w:val="auto"/>
              </w:rPr>
            </w:pPr>
            <w:r>
              <w:rPr>
                <w:rFonts w:ascii="Arial" w:cs="Arial" w:eastAsia="Arial" w:hAnsi="Arial"/>
                <w:sz w:val="10"/>
                <w:szCs w:val="10"/>
                <w:b w:val="1"/>
                <w:bCs w:val="1"/>
                <w:color w:val="auto"/>
              </w:rPr>
              <w:t>6,078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jc w:val="right"/>
              <w:ind w:right="103"/>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3,655</w:t>
            </w:r>
          </w:p>
        </w:tc>
        <w:tc>
          <w:tcPr>
            <w:tcW w:w="1980" w:type="dxa"/>
            <w:vAlign w:val="bottom"/>
            <w:gridSpan w:val="3"/>
          </w:tcPr>
          <w:p>
            <w:pPr>
              <w:jc w:val="right"/>
              <w:ind w:right="83"/>
              <w:spacing w:after="0"/>
              <w:rPr>
                <w:sz w:val="20"/>
                <w:szCs w:val="20"/>
                <w:color w:val="auto"/>
              </w:rPr>
            </w:pPr>
            <w:r>
              <w:rPr>
                <w:rFonts w:ascii="Arial" w:cs="Arial" w:eastAsia="Arial" w:hAnsi="Arial"/>
                <w:sz w:val="11"/>
                <w:szCs w:val="11"/>
                <w:color w:val="auto"/>
              </w:rPr>
              <w:t>15</w:t>
            </w:r>
          </w:p>
        </w:tc>
      </w:tr>
      <w:tr>
        <w:trPr>
          <w:trHeight w:val="159"/>
        </w:trPr>
        <w:tc>
          <w:tcPr>
            <w:tcW w:w="3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consumer</w:t>
            </w:r>
          </w:p>
        </w:tc>
        <w:tc>
          <w:tcPr>
            <w:tcW w:w="3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rPr>
              <w:t>11</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4"/>
        </w:trPr>
        <w:tc>
          <w:tcPr>
            <w:tcW w:w="3860" w:type="dxa"/>
            <w:vAlign w:val="bottom"/>
          </w:tcPr>
          <w:p>
            <w:pPr>
              <w:ind w:left="140"/>
              <w:spacing w:after="0"/>
              <w:rPr>
                <w:sz w:val="20"/>
                <w:szCs w:val="20"/>
                <w:color w:val="auto"/>
              </w:rPr>
            </w:pPr>
            <w:r>
              <w:rPr>
                <w:rFonts w:ascii="Arial" w:cs="Arial" w:eastAsia="Arial" w:hAnsi="Arial"/>
                <w:sz w:val="11"/>
                <w:szCs w:val="11"/>
                <w:color w:val="auto"/>
              </w:rPr>
              <w:t>Total allowance for loan losses</w:t>
            </w:r>
          </w:p>
        </w:tc>
        <w:tc>
          <w:tcPr>
            <w:tcW w:w="360" w:type="dxa"/>
            <w:vAlign w:val="bottom"/>
          </w:tcPr>
          <w:p>
            <w:pPr>
              <w:jc w:val="right"/>
              <w:ind w:right="25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Pr>
          <w:p>
            <w:pPr>
              <w:jc w:val="right"/>
              <w:ind w:right="9"/>
              <w:spacing w:after="0"/>
              <w:rPr>
                <w:sz w:val="20"/>
                <w:szCs w:val="20"/>
                <w:color w:val="auto"/>
              </w:rPr>
            </w:pPr>
            <w:r>
              <w:rPr>
                <w:rFonts w:ascii="Arial" w:cs="Arial" w:eastAsia="Arial" w:hAnsi="Arial"/>
                <w:sz w:val="10"/>
                <w:szCs w:val="10"/>
                <w:b w:val="1"/>
                <w:bCs w:val="1"/>
                <w:color w:val="auto"/>
              </w:rPr>
              <w:t>26,385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Pr>
          <w:p>
            <w:pPr>
              <w:spacing w:after="0"/>
              <w:rPr>
                <w:sz w:val="13"/>
                <w:szCs w:val="13"/>
                <w:color w:val="auto"/>
              </w:rPr>
            </w:pPr>
          </w:p>
        </w:tc>
        <w:tc>
          <w:tcPr>
            <w:tcW w:w="500" w:type="dxa"/>
            <w:vAlign w:val="bottom"/>
          </w:tcPr>
          <w:p>
            <w:pPr>
              <w:jc w:val="right"/>
              <w:ind w:right="36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25,181</w:t>
            </w:r>
          </w:p>
        </w:tc>
        <w:tc>
          <w:tcPr>
            <w:tcW w:w="1980" w:type="dxa"/>
            <w:vAlign w:val="bottom"/>
            <w:gridSpan w:val="3"/>
          </w:tcPr>
          <w:p>
            <w:pPr>
              <w:jc w:val="right"/>
              <w:spacing w:after="0"/>
              <w:rPr>
                <w:sz w:val="20"/>
                <w:szCs w:val="20"/>
                <w:color w:val="auto"/>
              </w:rPr>
            </w:pPr>
            <w:r>
              <w:rPr>
                <w:rFonts w:ascii="Arial" w:cs="Arial" w:eastAsia="Arial" w:hAnsi="Arial"/>
                <w:sz w:val="11"/>
                <w:szCs w:val="11"/>
                <w:color w:val="auto"/>
              </w:rPr>
              <w:t>100 %</w:t>
            </w:r>
          </w:p>
        </w:tc>
      </w:tr>
      <w:tr>
        <w:trPr>
          <w:trHeight w:val="20"/>
        </w:trPr>
        <w:tc>
          <w:tcPr>
            <w:tcW w:w="3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5"/>
        <w:spacing w:after="0" w:line="208" w:lineRule="auto"/>
        <w:tabs>
          <w:tab w:leader="none" w:pos="160" w:val="left"/>
        </w:tabs>
        <w:numPr>
          <w:ilvl w:val="0"/>
          <w:numId w:val="15"/>
        </w:numPr>
        <w:rPr>
          <w:rFonts w:ascii="Arial" w:cs="Arial" w:eastAsia="Arial" w:hAnsi="Arial"/>
          <w:sz w:val="15"/>
          <w:szCs w:val="15"/>
          <w:color w:val="auto"/>
          <w:vertAlign w:val="superscript"/>
        </w:rPr>
      </w:pPr>
      <w:r>
        <w:rPr>
          <w:rFonts w:ascii="Arial" w:cs="Arial" w:eastAsia="Arial" w:hAnsi="Arial"/>
          <w:sz w:val="11"/>
          <w:szCs w:val="11"/>
          <w:color w:val="auto"/>
        </w:rPr>
        <w:t>Loan category as a percentage of total portfolio loans which excludes SBA-PPP loans.</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Total Liabilities</w:t>
      </w:r>
    </w:p>
    <w:p>
      <w:pPr>
        <w:spacing w:after="0" w:line="193" w:lineRule="exact"/>
        <w:rPr>
          <w:sz w:val="20"/>
          <w:szCs w:val="20"/>
          <w:color w:val="auto"/>
        </w:rPr>
      </w:pPr>
    </w:p>
    <w:p>
      <w:pPr>
        <w:jc w:val="both"/>
        <w:ind w:right="40" w:firstLine="255"/>
        <w:spacing w:after="0" w:line="266" w:lineRule="auto"/>
        <w:rPr>
          <w:sz w:val="20"/>
          <w:szCs w:val="20"/>
          <w:color w:val="auto"/>
        </w:rPr>
      </w:pPr>
      <w:r>
        <w:rPr>
          <w:rFonts w:ascii="Arial" w:cs="Arial" w:eastAsia="Arial" w:hAnsi="Arial"/>
          <w:sz w:val="14"/>
          <w:szCs w:val="14"/>
          <w:color w:val="auto"/>
        </w:rPr>
        <w:t>Total liabilities at December 31, 2022 saw an increase from its December 31, 2021 balance due to growth in borrowed funds. Offsetting this increase were decreases in the deposits portfolio as well as other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Deposits</w:t>
      </w:r>
    </w:p>
    <w:p>
      <w:pPr>
        <w:spacing w:after="0" w:line="193" w:lineRule="exact"/>
        <w:rPr>
          <w:sz w:val="20"/>
          <w:szCs w:val="20"/>
          <w:color w:val="auto"/>
        </w:rPr>
      </w:pPr>
    </w:p>
    <w:p>
      <w:pPr>
        <w:jc w:val="both"/>
        <w:ind w:right="20" w:firstLine="255"/>
        <w:spacing w:after="0" w:line="259" w:lineRule="auto"/>
        <w:rPr>
          <w:sz w:val="20"/>
          <w:szCs w:val="20"/>
          <w:color w:val="auto"/>
        </w:rPr>
      </w:pPr>
      <w:r>
        <w:rPr>
          <w:rFonts w:ascii="Arial" w:cs="Arial" w:eastAsia="Arial" w:hAnsi="Arial"/>
          <w:sz w:val="14"/>
          <w:szCs w:val="14"/>
          <w:color w:val="auto"/>
        </w:rPr>
        <w:t>Deposits are the major source of funding for the Company. We offer a variety of deposit products including interest-bearing and noninterest-bearing demand, savings, money market and time accounts, all of which we actively market at competitive pricing. We generate deposits from our customers on a relationship basis and through the efforts of our commercial lending officers and our business banking officers. During the year ended December 31, 2022, competition and a challenging deposit environment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46" w:name="page47"/>
    <w:bookmarkEnd w:id="46"/>
    <w:p>
      <w:pPr>
        <w:jc w:val="both"/>
        <w:ind w:right="100"/>
        <w:spacing w:after="0" w:line="257" w:lineRule="auto"/>
        <w:rPr>
          <w:sz w:val="20"/>
          <w:szCs w:val="20"/>
          <w:color w:val="auto"/>
        </w:rPr>
      </w:pPr>
      <w:r>
        <w:rPr>
          <w:rFonts w:ascii="Arial" w:cs="Arial" w:eastAsia="Arial" w:hAnsi="Arial"/>
          <w:sz w:val="14"/>
          <w:szCs w:val="14"/>
          <w:color w:val="auto"/>
        </w:rPr>
        <w:t>have driven a reduction in low cost interest-bearing deposits and an increase in money market accounts as customers reallocate balances to take advantage of higher rates on those accounts. Our credit card customers are a significant source of noninterest-bearing deposits. As of December 31, 2022 and 2021, our credit card customers accounted for $187.4 million and $229.5 million, or 27.8% and 29.1%, respectively, of our total noninterest-bearing deposit balances. In addition to retail deposits, the Company had $131.8 million of wholesale time deposits at December 31, 2022 compared to no balance at December 31, 2021.</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average balances and average rates paid on deposits for the periods indicated:</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55"/>
        </w:trPr>
        <w:tc>
          <w:tcPr>
            <w:tcW w:w="49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90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0"/>
        </w:trPr>
        <w:tc>
          <w:tcPr>
            <w:tcW w:w="49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2022</w:t>
            </w:r>
          </w:p>
        </w:tc>
        <w:tc>
          <w:tcPr>
            <w:tcW w:w="1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183"/>
              <w:spacing w:after="0"/>
              <w:rPr>
                <w:sz w:val="20"/>
                <w:szCs w:val="20"/>
                <w:color w:val="auto"/>
              </w:rPr>
            </w:pPr>
            <w:r>
              <w:rPr>
                <w:rFonts w:ascii="Arial" w:cs="Arial" w:eastAsia="Arial" w:hAnsi="Arial"/>
                <w:sz w:val="11"/>
                <w:szCs w:val="11"/>
                <w:b w:val="1"/>
                <w:bCs w:val="1"/>
                <w:color w:val="auto"/>
                <w:w w:val="97"/>
              </w:rPr>
              <w:t>2021</w:t>
            </w:r>
          </w:p>
        </w:tc>
      </w:tr>
      <w:tr>
        <w:trPr>
          <w:trHeight w:val="112"/>
        </w:trPr>
        <w:tc>
          <w:tcPr>
            <w:tcW w:w="4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gridSpan w:val="3"/>
          </w:tcPr>
          <w:p>
            <w:pPr>
              <w:jc w:val="right"/>
              <w:ind w:right="980"/>
              <w:spacing w:after="0" w:line="112" w:lineRule="exact"/>
              <w:rPr>
                <w:sz w:val="20"/>
                <w:szCs w:val="20"/>
                <w:color w:val="auto"/>
              </w:rPr>
            </w:pPr>
            <w:r>
              <w:rPr>
                <w:rFonts w:ascii="Arial" w:cs="Arial" w:eastAsia="Arial" w:hAnsi="Arial"/>
                <w:sz w:val="11"/>
                <w:szCs w:val="11"/>
                <w:b w:val="1"/>
                <w:bCs w:val="1"/>
                <w:color w:val="auto"/>
              </w:rPr>
              <w:t>Average</w:t>
            </w:r>
          </w:p>
        </w:tc>
        <w:tc>
          <w:tcPr>
            <w:tcW w:w="1360" w:type="dxa"/>
            <w:vAlign w:val="bottom"/>
            <w:gridSpan w:val="2"/>
          </w:tcPr>
          <w:p>
            <w:pPr>
              <w:ind w:left="200"/>
              <w:spacing w:after="0" w:line="112" w:lineRule="exact"/>
              <w:rPr>
                <w:sz w:val="20"/>
                <w:szCs w:val="20"/>
                <w:color w:val="auto"/>
              </w:rPr>
            </w:pPr>
            <w:r>
              <w:rPr>
                <w:rFonts w:ascii="Arial" w:cs="Arial" w:eastAsia="Arial" w:hAnsi="Arial"/>
                <w:sz w:val="11"/>
                <w:szCs w:val="11"/>
                <w:b w:val="1"/>
                <w:bCs w:val="1"/>
                <w:color w:val="auto"/>
              </w:rPr>
              <w:t>Average</w:t>
            </w:r>
          </w:p>
        </w:tc>
        <w:tc>
          <w:tcPr>
            <w:tcW w:w="380" w:type="dxa"/>
            <w:vAlign w:val="bottom"/>
          </w:tcPr>
          <w:p>
            <w:pPr>
              <w:spacing w:after="0"/>
              <w:rPr>
                <w:sz w:val="9"/>
                <w:szCs w:val="9"/>
                <w:color w:val="auto"/>
              </w:rPr>
            </w:pPr>
          </w:p>
        </w:tc>
        <w:tc>
          <w:tcPr>
            <w:tcW w:w="1020" w:type="dxa"/>
            <w:vAlign w:val="bottom"/>
          </w:tcPr>
          <w:p>
            <w:pPr>
              <w:jc w:val="right"/>
              <w:ind w:right="423"/>
              <w:spacing w:after="0" w:line="112" w:lineRule="exact"/>
              <w:rPr>
                <w:sz w:val="20"/>
                <w:szCs w:val="20"/>
                <w:color w:val="auto"/>
              </w:rPr>
            </w:pPr>
            <w:r>
              <w:rPr>
                <w:rFonts w:ascii="Arial" w:cs="Arial" w:eastAsia="Arial" w:hAnsi="Arial"/>
                <w:sz w:val="11"/>
                <w:szCs w:val="11"/>
                <w:b w:val="1"/>
                <w:bCs w:val="1"/>
                <w:color w:val="auto"/>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jc w:val="right"/>
              <w:ind w:right="323"/>
              <w:spacing w:after="0" w:line="112" w:lineRule="exact"/>
              <w:rPr>
                <w:sz w:val="20"/>
                <w:szCs w:val="20"/>
                <w:color w:val="auto"/>
              </w:rPr>
            </w:pPr>
            <w:r>
              <w:rPr>
                <w:rFonts w:ascii="Arial" w:cs="Arial" w:eastAsia="Arial" w:hAnsi="Arial"/>
                <w:sz w:val="11"/>
                <w:szCs w:val="11"/>
                <w:b w:val="1"/>
                <w:bCs w:val="1"/>
                <w:color w:val="auto"/>
              </w:rPr>
              <w:t>Average</w:t>
            </w:r>
          </w:p>
        </w:tc>
      </w:tr>
      <w:tr>
        <w:trPr>
          <w:trHeight w:val="148"/>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Balance</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Rate</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Balance</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Rate</w:t>
            </w:r>
          </w:p>
        </w:tc>
      </w:tr>
      <w:tr>
        <w:trPr>
          <w:trHeight w:val="150"/>
        </w:trPr>
        <w:tc>
          <w:tcPr>
            <w:tcW w:w="4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Interest-bearing demand accounts</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253,923</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ind w:left="840"/>
              <w:spacing w:after="0"/>
              <w:rPr>
                <w:sz w:val="20"/>
                <w:szCs w:val="20"/>
                <w:color w:val="auto"/>
              </w:rPr>
            </w:pPr>
            <w:r>
              <w:rPr>
                <w:rFonts w:ascii="Arial" w:cs="Arial" w:eastAsia="Arial" w:hAnsi="Arial"/>
                <w:sz w:val="11"/>
                <w:szCs w:val="11"/>
                <w:color w:val="auto"/>
              </w:rPr>
              <w:t>0.07 %</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289,285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0.07</w:t>
            </w:r>
          </w:p>
        </w:tc>
      </w:tr>
      <w:tr>
        <w:trPr>
          <w:trHeight w:val="155"/>
        </w:trPr>
        <w:tc>
          <w:tcPr>
            <w:tcW w:w="4940" w:type="dxa"/>
            <w:vAlign w:val="bottom"/>
          </w:tcPr>
          <w:p>
            <w:pPr>
              <w:ind w:left="20"/>
              <w:spacing w:after="0"/>
              <w:rPr>
                <w:sz w:val="20"/>
                <w:szCs w:val="20"/>
                <w:color w:val="auto"/>
              </w:rPr>
            </w:pPr>
            <w:r>
              <w:rPr>
                <w:rFonts w:ascii="Arial" w:cs="Arial" w:eastAsia="Arial" w:hAnsi="Arial"/>
                <w:sz w:val="11"/>
                <w:szCs w:val="11"/>
                <w:color w:val="auto"/>
              </w:rPr>
              <w:t>Money market accounts</w:t>
            </w:r>
          </w:p>
        </w:tc>
        <w:tc>
          <w:tcPr>
            <w:tcW w:w="28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553,388</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ind w:left="840"/>
              <w:spacing w:after="0"/>
              <w:rPr>
                <w:sz w:val="20"/>
                <w:szCs w:val="20"/>
                <w:color w:val="auto"/>
              </w:rPr>
            </w:pPr>
            <w:r>
              <w:rPr>
                <w:rFonts w:ascii="Arial" w:cs="Arial" w:eastAsia="Arial" w:hAnsi="Arial"/>
                <w:sz w:val="11"/>
                <w:szCs w:val="11"/>
                <w:color w:val="auto"/>
              </w:rPr>
              <w:t>0.82</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482,225</w:t>
            </w:r>
          </w:p>
        </w:tc>
        <w:tc>
          <w:tcPr>
            <w:tcW w:w="1500" w:type="dxa"/>
            <w:vAlign w:val="bottom"/>
            <w:gridSpan w:val="3"/>
          </w:tcPr>
          <w:p>
            <w:pPr>
              <w:jc w:val="right"/>
              <w:spacing w:after="0"/>
              <w:rPr>
                <w:sz w:val="20"/>
                <w:szCs w:val="20"/>
                <w:color w:val="auto"/>
              </w:rPr>
            </w:pPr>
            <w:r>
              <w:rPr>
                <w:rFonts w:ascii="Arial" w:cs="Arial" w:eastAsia="Arial" w:hAnsi="Arial"/>
                <w:sz w:val="11"/>
                <w:szCs w:val="11"/>
                <w:color w:val="auto"/>
              </w:rPr>
              <w:t>0.31</w:t>
            </w:r>
          </w:p>
        </w:tc>
      </w:tr>
      <w:tr>
        <w:trPr>
          <w:trHeight w:val="163"/>
        </w:trPr>
        <w:tc>
          <w:tcPr>
            <w:tcW w:w="4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Savings accounts</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8,917</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ind w:left="840"/>
              <w:spacing w:after="0"/>
              <w:rPr>
                <w:sz w:val="20"/>
                <w:szCs w:val="20"/>
                <w:color w:val="auto"/>
              </w:rPr>
            </w:pPr>
            <w:r>
              <w:rPr>
                <w:rFonts w:ascii="Arial" w:cs="Arial" w:eastAsia="Arial" w:hAnsi="Arial"/>
                <w:sz w:val="11"/>
                <w:szCs w:val="11"/>
                <w:color w:val="auto"/>
              </w:rPr>
              <w:t>0.06</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6,470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0.05</w:t>
            </w:r>
          </w:p>
        </w:tc>
      </w:tr>
      <w:tr>
        <w:trPr>
          <w:trHeight w:val="155"/>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Certificates of deposit</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165,854</w:t>
            </w:r>
          </w:p>
        </w:tc>
        <w:tc>
          <w:tcPr>
            <w:tcW w:w="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1"/>
                <w:szCs w:val="11"/>
                <w:color w:val="auto"/>
              </w:rPr>
              <w:t>1.75</w:t>
            </w:r>
          </w:p>
        </w:tc>
        <w:tc>
          <w:tcPr>
            <w:tcW w:w="1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269,262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w:t>
            </w:r>
          </w:p>
        </w:tc>
      </w:tr>
      <w:tr>
        <w:trPr>
          <w:trHeight w:val="150"/>
        </w:trPr>
        <w:tc>
          <w:tcPr>
            <w:tcW w:w="49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Interest-bearing deposits</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982,082</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ind w:left="840"/>
              <w:spacing w:after="0"/>
              <w:rPr>
                <w:sz w:val="20"/>
                <w:szCs w:val="20"/>
                <w:color w:val="auto"/>
              </w:rPr>
            </w:pPr>
            <w:r>
              <w:rPr>
                <w:rFonts w:ascii="Arial" w:cs="Arial" w:eastAsia="Arial" w:hAnsi="Arial"/>
                <w:sz w:val="11"/>
                <w:szCs w:val="11"/>
                <w:color w:val="auto"/>
              </w:rPr>
              <w:t>0.77 %</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1,047,242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0.55</w:t>
            </w:r>
          </w:p>
        </w:tc>
      </w:tr>
      <w:tr>
        <w:trPr>
          <w:trHeight w:val="15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Noninterest-bearing demand accounts</w:t>
            </w:r>
          </w:p>
        </w:tc>
        <w:tc>
          <w:tcPr>
            <w:tcW w:w="2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781,971</w:t>
            </w:r>
          </w:p>
        </w:tc>
        <w:tc>
          <w:tcPr>
            <w:tcW w:w="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750,760</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74"/>
        </w:trPr>
        <w:tc>
          <w:tcPr>
            <w:tcW w:w="49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deposits</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1,764,053</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ind w:left="840"/>
              <w:spacing w:after="0"/>
              <w:rPr>
                <w:sz w:val="20"/>
                <w:szCs w:val="20"/>
                <w:color w:val="auto"/>
              </w:rPr>
            </w:pPr>
            <w:r>
              <w:rPr>
                <w:rFonts w:ascii="Arial" w:cs="Arial" w:eastAsia="Arial" w:hAnsi="Arial"/>
                <w:sz w:val="11"/>
                <w:szCs w:val="11"/>
                <w:color w:val="auto"/>
              </w:rPr>
              <w:t>0.43 %</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1,798,002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0.32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Deposit costs increased materially during 2022. Average rates were 0.32% during 2021 and 0.43% in 2022. The increase in noninterest-bearing deposits partially offset the increase in rates.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maturities of our certificates of deposit as of December 31,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Over</w:t>
            </w:r>
          </w:p>
        </w:tc>
        <w:tc>
          <w:tcPr>
            <w:tcW w:w="280" w:type="dxa"/>
            <w:vAlign w:val="bottom"/>
          </w:tcPr>
          <w:p>
            <w:pPr>
              <w:spacing w:after="0"/>
              <w:rPr>
                <w:sz w:val="10"/>
                <w:szCs w:val="10"/>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rPr>
              <w:t>Over Six</w:t>
            </w: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760" w:type="dxa"/>
            <w:vAlign w:val="bottom"/>
          </w:tcPr>
          <w:p>
            <w:pPr>
              <w:spacing w:after="0"/>
              <w:rPr>
                <w:sz w:val="9"/>
                <w:szCs w:val="9"/>
                <w:color w:val="auto"/>
              </w:rPr>
            </w:pPr>
          </w:p>
        </w:tc>
        <w:tc>
          <w:tcPr>
            <w:tcW w:w="980" w:type="dxa"/>
            <w:vAlign w:val="bottom"/>
            <w:vMerge w:val="restart"/>
          </w:tcPr>
          <w:p>
            <w:pPr>
              <w:jc w:val="center"/>
              <w:ind w:left="346"/>
              <w:spacing w:after="0"/>
              <w:rPr>
                <w:sz w:val="20"/>
                <w:szCs w:val="20"/>
                <w:color w:val="auto"/>
              </w:rPr>
            </w:pPr>
            <w:r>
              <w:rPr>
                <w:rFonts w:ascii="Arial" w:cs="Arial" w:eastAsia="Arial" w:hAnsi="Arial"/>
                <w:sz w:val="11"/>
                <w:szCs w:val="11"/>
                <w:b w:val="1"/>
                <w:bCs w:val="1"/>
                <w:color w:val="auto"/>
                <w:w w:val="99"/>
              </w:rPr>
              <w:t>Three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center"/>
              <w:ind w:right="380"/>
              <w:spacing w:after="0" w:line="106" w:lineRule="exact"/>
              <w:rPr>
                <w:sz w:val="20"/>
                <w:szCs w:val="20"/>
                <w:color w:val="auto"/>
              </w:rPr>
            </w:pPr>
            <w:r>
              <w:rPr>
                <w:rFonts w:ascii="Arial" w:cs="Arial" w:eastAsia="Arial" w:hAnsi="Arial"/>
                <w:sz w:val="11"/>
                <w:szCs w:val="11"/>
                <w:b w:val="1"/>
                <w:bCs w:val="1"/>
                <w:color w:val="auto"/>
                <w:w w:val="99"/>
              </w:rPr>
              <w:t>Three</w:t>
            </w: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rPr>
              <w:t>Over</w:t>
            </w: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380"/>
              <w:spacing w:after="0" w:line="117" w:lineRule="exact"/>
              <w:rPr>
                <w:sz w:val="20"/>
                <w:szCs w:val="20"/>
                <w:color w:val="auto"/>
              </w:rPr>
            </w:pPr>
            <w:r>
              <w:rPr>
                <w:rFonts w:ascii="Arial" w:cs="Arial" w:eastAsia="Arial" w:hAnsi="Arial"/>
                <w:sz w:val="11"/>
                <w:szCs w:val="11"/>
                <w:b w:val="1"/>
                <w:bCs w:val="1"/>
                <w:color w:val="auto"/>
              </w:rPr>
              <w:t>Through</w:t>
            </w:r>
          </w:p>
        </w:tc>
        <w:tc>
          <w:tcPr>
            <w:tcW w:w="280" w:type="dxa"/>
            <w:vAlign w:val="bottom"/>
          </w:tcPr>
          <w:p>
            <w:pPr>
              <w:spacing w:after="0"/>
              <w:rPr>
                <w:sz w:val="10"/>
                <w:szCs w:val="10"/>
                <w:color w:val="auto"/>
              </w:rPr>
            </w:pPr>
          </w:p>
        </w:tc>
        <w:tc>
          <w:tcPr>
            <w:tcW w:w="1260" w:type="dxa"/>
            <w:vAlign w:val="bottom"/>
            <w:gridSpan w:val="2"/>
          </w:tcPr>
          <w:p>
            <w:pPr>
              <w:jc w:val="center"/>
              <w:ind w:right="400"/>
              <w:spacing w:after="0" w:line="117" w:lineRule="exact"/>
              <w:rPr>
                <w:sz w:val="20"/>
                <w:szCs w:val="20"/>
                <w:color w:val="auto"/>
              </w:rPr>
            </w:pPr>
            <w:r>
              <w:rPr>
                <w:rFonts w:ascii="Arial" w:cs="Arial" w:eastAsia="Arial" w:hAnsi="Arial"/>
                <w:sz w:val="11"/>
                <w:szCs w:val="11"/>
                <w:b w:val="1"/>
                <w:bCs w:val="1"/>
                <w:color w:val="auto"/>
              </w:rPr>
              <w:t>Through</w:t>
            </w:r>
          </w:p>
        </w:tc>
        <w:tc>
          <w:tcPr>
            <w:tcW w:w="2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980" w:type="dxa"/>
            <w:vAlign w:val="bottom"/>
          </w:tcPr>
          <w:p>
            <w:pPr>
              <w:jc w:val="center"/>
              <w:ind w:left="346"/>
              <w:spacing w:after="0" w:line="117" w:lineRule="exact"/>
              <w:rPr>
                <w:sz w:val="20"/>
                <w:szCs w:val="20"/>
                <w:color w:val="auto"/>
              </w:rPr>
            </w:pPr>
            <w:r>
              <w:rPr>
                <w:rFonts w:ascii="Arial" w:cs="Arial" w:eastAsia="Arial" w:hAnsi="Arial"/>
                <w:sz w:val="11"/>
                <w:szCs w:val="11"/>
                <w:b w:val="1"/>
                <w:bCs w:val="1"/>
                <w:color w:val="auto"/>
              </w:rPr>
              <w:t>Months or</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380"/>
              <w:spacing w:after="0" w:line="117" w:lineRule="exact"/>
              <w:rPr>
                <w:sz w:val="20"/>
                <w:szCs w:val="20"/>
                <w:color w:val="auto"/>
              </w:rPr>
            </w:pPr>
            <w:r>
              <w:rPr>
                <w:rFonts w:ascii="Arial" w:cs="Arial" w:eastAsia="Arial" w:hAnsi="Arial"/>
                <w:sz w:val="11"/>
                <w:szCs w:val="11"/>
                <w:b w:val="1"/>
                <w:bCs w:val="1"/>
                <w:color w:val="auto"/>
              </w:rPr>
              <w:t>Six</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17" w:lineRule="exact"/>
              <w:rPr>
                <w:sz w:val="20"/>
                <w:szCs w:val="20"/>
                <w:color w:val="auto"/>
              </w:rPr>
            </w:pPr>
            <w:r>
              <w:rPr>
                <w:rFonts w:ascii="Arial" w:cs="Arial" w:eastAsia="Arial" w:hAnsi="Arial"/>
                <w:sz w:val="11"/>
                <w:szCs w:val="11"/>
                <w:b w:val="1"/>
                <w:bCs w:val="1"/>
                <w:color w:val="auto"/>
                <w:w w:val="97"/>
              </w:rPr>
              <w:t>Twelve</w:t>
            </w:r>
          </w:p>
        </w:tc>
        <w:tc>
          <w:tcPr>
            <w:tcW w:w="280" w:type="dxa"/>
            <w:vAlign w:val="bottom"/>
          </w:tcPr>
          <w:p>
            <w:pPr>
              <w:spacing w:after="0"/>
              <w:rPr>
                <w:sz w:val="10"/>
                <w:szCs w:val="10"/>
                <w:color w:val="auto"/>
              </w:rPr>
            </w:pPr>
          </w:p>
        </w:tc>
        <w:tc>
          <w:tcPr>
            <w:tcW w:w="1240" w:type="dxa"/>
            <w:vAlign w:val="bottom"/>
            <w:gridSpan w:val="2"/>
          </w:tcPr>
          <w:p>
            <w:pPr>
              <w:jc w:val="center"/>
              <w:ind w:right="400"/>
              <w:spacing w:after="0" w:line="117" w:lineRule="exact"/>
              <w:rPr>
                <w:sz w:val="20"/>
                <w:szCs w:val="20"/>
                <w:color w:val="auto"/>
              </w:rPr>
            </w:pPr>
            <w:r>
              <w:rPr>
                <w:rFonts w:ascii="Arial" w:cs="Arial" w:eastAsia="Arial" w:hAnsi="Arial"/>
                <w:sz w:val="11"/>
                <w:szCs w:val="11"/>
                <w:b w:val="1"/>
                <w:bCs w:val="1"/>
                <w:color w:val="auto"/>
                <w:w w:val="97"/>
              </w:rPr>
              <w:t>Twelve</w:t>
            </w:r>
          </w:p>
        </w:tc>
        <w:tc>
          <w:tcPr>
            <w:tcW w:w="320" w:type="dxa"/>
            <w:vAlign w:val="bottom"/>
          </w:tcPr>
          <w:p>
            <w:pPr>
              <w:spacing w:after="0"/>
              <w:rPr>
                <w:sz w:val="10"/>
                <w:szCs w:val="10"/>
                <w:color w:val="auto"/>
              </w:rPr>
            </w:pPr>
          </w:p>
        </w:tc>
        <w:tc>
          <w:tcPr>
            <w:tcW w:w="1100" w:type="dxa"/>
            <w:vAlign w:val="bottom"/>
            <w:vMerge w:val="restart"/>
          </w:tcPr>
          <w:p>
            <w:pPr>
              <w:jc w:val="right"/>
              <w:ind w:right="52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7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980" w:type="dxa"/>
            <w:vAlign w:val="bottom"/>
          </w:tcPr>
          <w:p>
            <w:pPr>
              <w:jc w:val="center"/>
              <w:ind w:left="366"/>
              <w:spacing w:after="0"/>
              <w:rPr>
                <w:sz w:val="20"/>
                <w:szCs w:val="20"/>
                <w:color w:val="auto"/>
              </w:rPr>
            </w:pPr>
            <w:r>
              <w:rPr>
                <w:rFonts w:ascii="Arial" w:cs="Arial" w:eastAsia="Arial" w:hAnsi="Arial"/>
                <w:sz w:val="11"/>
                <w:szCs w:val="11"/>
                <w:b w:val="1"/>
                <w:bCs w:val="1"/>
                <w:color w:val="auto"/>
                <w:w w:val="95"/>
              </w:rPr>
              <w:t>Less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Months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Months</w:t>
            </w:r>
          </w:p>
        </w:tc>
        <w:tc>
          <w:tcPr>
            <w:tcW w:w="280" w:type="dxa"/>
            <w:vAlign w:val="bottom"/>
          </w:tcPr>
          <w:p>
            <w:pPr>
              <w:spacing w:after="0"/>
              <w:rPr>
                <w:sz w:val="12"/>
                <w:szCs w:val="12"/>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Months</w:t>
            </w:r>
          </w:p>
        </w:tc>
        <w:tc>
          <w:tcPr>
            <w:tcW w:w="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$250,000 or more</w:t>
            </w:r>
          </w:p>
        </w:tc>
        <w:tc>
          <w:tcPr>
            <w:tcW w:w="980" w:type="dxa"/>
            <w:vAlign w:val="bottom"/>
            <w:tcBorders>
              <w:top w:val="single" w:sz="8" w:color="auto"/>
            </w:tcBorders>
            <w:shd w:val="clear" w:color="auto" w:fill="CCEEFF"/>
          </w:tcPr>
          <w:p>
            <w:pPr>
              <w:jc w:val="right"/>
              <w:ind w:right="866"/>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5,218</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5,123</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26,282</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59,668</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96,291</w:t>
            </w:r>
          </w:p>
        </w:tc>
        <w:tc>
          <w:tcPr>
            <w:tcW w:w="0" w:type="dxa"/>
            <w:vAlign w:val="bottom"/>
          </w:tcPr>
          <w:p>
            <w:pPr>
              <w:spacing w:after="0"/>
              <w:rPr>
                <w:sz w:val="1"/>
                <w:szCs w:val="1"/>
                <w:color w:val="auto"/>
              </w:rPr>
            </w:pPr>
          </w:p>
        </w:tc>
      </w:tr>
      <w:tr>
        <w:trPr>
          <w:trHeight w:val="155"/>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than $250,000</w:t>
            </w:r>
          </w:p>
        </w:tc>
        <w:tc>
          <w:tcPr>
            <w:tcW w:w="9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35,600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66,587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42,645</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52,292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197,124</w:t>
            </w:r>
          </w:p>
        </w:tc>
        <w:tc>
          <w:tcPr>
            <w:tcW w:w="0" w:type="dxa"/>
            <w:vAlign w:val="bottom"/>
          </w:tcPr>
          <w:p>
            <w:pPr>
              <w:spacing w:after="0"/>
              <w:rPr>
                <w:sz w:val="1"/>
                <w:szCs w:val="1"/>
                <w:color w:val="auto"/>
              </w:rPr>
            </w:pPr>
          </w:p>
        </w:tc>
      </w:tr>
      <w:tr>
        <w:trPr>
          <w:trHeight w:val="179"/>
        </w:trPr>
        <w:tc>
          <w:tcPr>
            <w:tcW w:w="3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w:t>
            </w:r>
          </w:p>
        </w:tc>
        <w:tc>
          <w:tcPr>
            <w:tcW w:w="98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40,818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71,710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68,927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111,960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293,415</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As of December 31, 2022 and 2021, approximately $834.5 million and $972.4 million, respectively, of our deposit portfolio was uninsured. The uninsured amounts are estimates based on the methodologies and assumptions used for the Bank’s regulatory reporting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Borrowings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utilize short-term and long-term borrowings to supplement deposits to fund our lending and investment activities, each of which is discussed below.</w:t>
      </w:r>
    </w:p>
    <w:p>
      <w:pPr>
        <w:spacing w:after="0" w:line="165" w:lineRule="exact"/>
        <w:rPr>
          <w:sz w:val="20"/>
          <w:szCs w:val="20"/>
          <w:color w:val="auto"/>
        </w:rPr>
      </w:pPr>
    </w:p>
    <w:p>
      <w:pPr>
        <w:jc w:val="both"/>
        <w:ind w:right="80" w:firstLine="255"/>
        <w:spacing w:after="0" w:line="261" w:lineRule="auto"/>
        <w:rPr>
          <w:sz w:val="20"/>
          <w:szCs w:val="20"/>
          <w:color w:val="auto"/>
        </w:rPr>
      </w:pPr>
      <w:r>
        <w:rPr>
          <w:rFonts w:ascii="Arial" w:cs="Arial" w:eastAsia="Arial" w:hAnsi="Arial"/>
          <w:sz w:val="14"/>
          <w:szCs w:val="14"/>
          <w:i w:val="1"/>
          <w:iCs w:val="1"/>
          <w:color w:val="auto"/>
        </w:rPr>
        <w:t>FHLB Advances</w:t>
      </w:r>
      <w:r>
        <w:rPr>
          <w:rFonts w:ascii="Arial" w:cs="Arial" w:eastAsia="Arial" w:hAnsi="Arial"/>
          <w:sz w:val="14"/>
          <w:szCs w:val="14"/>
          <w:color w:val="auto"/>
        </w:rPr>
        <w:t>. The FHLB allows us to borrow up to 25% of our assets on a blanket floating lien status collateralized by certain securities and loans. As of December 31,</w:t>
      </w:r>
      <w:r>
        <w:rPr>
          <w:rFonts w:ascii="Arial" w:cs="Arial" w:eastAsia="Arial" w:hAnsi="Arial"/>
          <w:sz w:val="14"/>
          <w:szCs w:val="14"/>
          <w:i w:val="1"/>
          <w:iCs w:val="1"/>
          <w:color w:val="auto"/>
        </w:rPr>
        <w:t xml:space="preserve"> </w:t>
      </w:r>
      <w:r>
        <w:rPr>
          <w:rFonts w:ascii="Arial" w:cs="Arial" w:eastAsia="Arial" w:hAnsi="Arial"/>
          <w:sz w:val="14"/>
          <w:szCs w:val="14"/>
          <w:color w:val="auto"/>
        </w:rPr>
        <w:t>2022, approximately $ 522.0 million in real estate loans were pledged as collateral for our FHLB borrowings. Of the $522.0 million in loans pledged to the FHLB, our total borrowing capacity at December 31, 2022 was $330.8 million. None of our investment securities were pledged with the FHLB as of December 31, 2022. We utilize these borrowings to meet liquidity needs and to fund certain fixed rate loans in our portfolio. As of December 31, 2022, we had $107.0 million in outstanding advances and $223.8 million in available borrowing capacity from the FHLB.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327" w:right="239" w:bottom="1440" w:gutter="0" w:footer="0" w:header="0"/>
        </w:sectPr>
      </w:pPr>
    </w:p>
    <w:bookmarkStart w:id="47" w:name="page48"/>
    <w:bookmarkEnd w:id="47"/>
    <w:p>
      <w:pPr>
        <w:jc w:val="both"/>
        <w:ind w:firstLine="255"/>
        <w:spacing w:after="0" w:line="287" w:lineRule="auto"/>
        <w:rPr>
          <w:sz w:val="20"/>
          <w:szCs w:val="20"/>
          <w:color w:val="auto"/>
        </w:rPr>
      </w:pPr>
      <w:r>
        <w:rPr>
          <w:rFonts w:ascii="Arial" w:cs="Arial" w:eastAsia="Arial" w:hAnsi="Arial"/>
          <w:sz w:val="14"/>
          <w:szCs w:val="14"/>
          <w:i w:val="1"/>
          <w:iCs w:val="1"/>
          <w:color w:val="auto"/>
        </w:rPr>
        <w:t>Other borrowed funds</w:t>
      </w:r>
      <w:r>
        <w:rPr>
          <w:rFonts w:ascii="Arial" w:cs="Arial" w:eastAsia="Arial" w:hAnsi="Arial"/>
          <w:sz w:val="14"/>
          <w:szCs w:val="14"/>
          <w:color w:val="auto"/>
        </w:rPr>
        <w:t>. The Company has also issued junior subordinated debentures and other subordinated notes. At December 31, 2022, these other borrowings amounted</w:t>
      </w:r>
      <w:r>
        <w:rPr>
          <w:rFonts w:ascii="Arial" w:cs="Arial" w:eastAsia="Arial" w:hAnsi="Arial"/>
          <w:sz w:val="14"/>
          <w:szCs w:val="14"/>
          <w:i w:val="1"/>
          <w:iCs w:val="1"/>
          <w:color w:val="auto"/>
        </w:rPr>
        <w:t xml:space="preserve"> </w:t>
      </w:r>
      <w:r>
        <w:rPr>
          <w:rFonts w:ascii="Arial" w:cs="Arial" w:eastAsia="Arial" w:hAnsi="Arial"/>
          <w:sz w:val="14"/>
          <w:szCs w:val="14"/>
          <w:color w:val="auto"/>
        </w:rPr>
        <w:t>to $12.1 million.</w:t>
      </w:r>
    </w:p>
    <w:p>
      <w:pPr>
        <w:spacing w:after="0" w:line="13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At December 31, 2022,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15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On November 30, 2020, the Company issued $ 10.0 million in subordinated notes due in 2030 to replace the outstanding higher yielding $13.5 million issuance. The notes have a ten-year term and have a fixed rate of 5.00% for the first five years; thereafter, the rate resets quarterly to a benchmark rate, being the three-month term SOFR, plus 490 basis points. The notes may be redeemed, in part or whole, upon the occurrence of certain events.</w:t>
      </w:r>
    </w:p>
    <w:p>
      <w:pPr>
        <w:spacing w:after="0" w:line="144"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4"/>
          <w:szCs w:val="14"/>
          <w:i w:val="1"/>
          <w:iCs w:val="1"/>
          <w:color w:val="auto"/>
        </w:rPr>
        <w:t>Federal Reserve Bank of Richmond</w:t>
      </w:r>
      <w:r>
        <w:rPr>
          <w:rFonts w:ascii="Arial" w:cs="Arial" w:eastAsia="Arial" w:hAnsi="Arial"/>
          <w:sz w:val="14"/>
          <w:szCs w:val="14"/>
          <w:color w:val="auto"/>
        </w:rPr>
        <w:t>. The Federal Reserve Bank of Richmond has an available borrower in custody arrangement which allows us to borrow on a collateralized</w:t>
      </w:r>
      <w:r>
        <w:rPr>
          <w:rFonts w:ascii="Arial" w:cs="Arial" w:eastAsia="Arial" w:hAnsi="Arial"/>
          <w:sz w:val="14"/>
          <w:szCs w:val="14"/>
          <w:i w:val="1"/>
          <w:iCs w:val="1"/>
          <w:color w:val="auto"/>
        </w:rPr>
        <w:t xml:space="preserve"> </w:t>
      </w:r>
      <w:r>
        <w:rPr>
          <w:rFonts w:ascii="Arial" w:cs="Arial" w:eastAsia="Arial" w:hAnsi="Arial"/>
          <w:sz w:val="14"/>
          <w:szCs w:val="14"/>
          <w:color w:val="auto"/>
        </w:rPr>
        <w:t>basis. The Company’s borrowing capacity under the Federal Reserve’s discount window program was $ 21.4 million as of December 31, 2022. Certain commercial loans are pledged under this arrangement. We maintain this borrowing arrangement to meet liquidity needs pursuant to our contingency funding plan. No advances were outstanding under this facility as of December 31, 2022.</w:t>
      </w:r>
    </w:p>
    <w:p>
      <w:pPr>
        <w:spacing w:after="0" w:line="15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also has lines of credit of $ 76.0 million available with other correspondent banks at December 31, 2022, as well as access to certificate of deposit funding through a financial network which the Bank strives to limit to 15% of the Bank’s assets. There were no outstanding balances on the lines of credit from correspondent banks at December 31, 2022.</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Liquidity</w:t>
      </w:r>
    </w:p>
    <w:p>
      <w:pPr>
        <w:spacing w:after="0" w:line="193"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and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addresses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spacing w:after="0" w:line="165"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Management has established a risk management process for identifying, measuring, monitoring and controlling liquidity risk. Because of its critical importance to the viability of the Bank, liquidity risk management is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free of legal, regulatory or operational impediments, that can be used to meet liquidity needs in situations of stress; contingency funding plans that address potential adverse liquidity events and emergency cash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auto"/>
        </w:rPr>
        <w:t>flow requirements; and internal controls and internal audit processes believed to be sufficient to determine the adequacy of the institution’s liquidity risk management process.</w:t>
      </w:r>
    </w:p>
    <w:p>
      <w:pPr>
        <w:spacing w:after="0" w:line="179" w:lineRule="exact"/>
        <w:rPr>
          <w:sz w:val="20"/>
          <w:szCs w:val="20"/>
          <w:color w:val="auto"/>
        </w:rPr>
      </w:pPr>
    </w:p>
    <w:p>
      <w:pPr>
        <w:jc w:val="both"/>
        <w:ind w:firstLine="255"/>
        <w:spacing w:after="0" w:line="236" w:lineRule="auto"/>
        <w:rPr>
          <w:sz w:val="20"/>
          <w:szCs w:val="20"/>
          <w:color w:val="auto"/>
        </w:rPr>
      </w:pPr>
      <w:r>
        <w:rPr>
          <w:rFonts w:ascii="Arial" w:cs="Arial" w:eastAsia="Arial" w:hAnsi="Arial"/>
          <w:sz w:val="14"/>
          <w:szCs w:val="14"/>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 Deposits securing 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card lines of credit and deposits from title companies represent the largest concentrations in the deposit portfolio. As of December 31, 2022, these concentrations represent 11% and 13% of deposits, respectively. As of December 31, 2021, these deposits represented 13% and 18% of deposits, respectively.</w:t>
      </w:r>
    </w:p>
    <w:p>
      <w:pPr>
        <w:spacing w:after="0" w:line="17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We have an available borrower custody arrangement with the Federal Reserve Bank of Richmond which allows us to borrow on an eligible collateralized basis. As of December 31, 2022, we had $223.8 million of available borrowing capacity from the FHLB, $21.4 million of available borrowing capacity from the Federal Reserve Bank of Richmond and available lines of credit of $76.0 million with other correspondent banks. Cash and cash equivalents were $80.4 million at December 31, 2022 and $183.4 million at December 31, 2021. Accordingly, at December 31, 2022, our liquidity resources were at sufficient levels to fund loans and meet other cash needs as necessary.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 Resources</w:t>
      </w:r>
    </w:p>
    <w:p>
      <w:pPr>
        <w:spacing w:after="0" w:line="19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Stockholders’ equity increased $ 26.1 million for the year ended December 31, 2022 largely due to net income of $41.8 million for the year. Stock options exercised, shares issued as compensation, shares sold and stock-based compensation increased common stock and additional paid-in capital by $3.1 million. These increases were more than offset by net unrealized losses on available for sale securities of $15.7 million.</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uses several indicators of capital strength. The most commonly used measure is average common equity to average assets (computed as average equity divided by average total assets), which was 10.22% at December 31, 2022 and 8.82% at December 31, 2021.</w:t>
      </w:r>
    </w:p>
    <w:p>
      <w:pPr>
        <w:spacing w:after="0" w:line="152"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condition.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w:t>
      </w:r>
    </w:p>
    <w:p>
      <w:pPr>
        <w:spacing w:after="0" w:line="16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Quantitative measures established by regulation to ensure capital adequacy require the Bank to maintain minimum ratios of common equity Tier 1, Tier 1, and total capital as a percentage of assets and off-balance sheet exposures, adjusted for risk weights ranging from 0% to 1250%. The Bank is also required to maintain capital at a minimum level based on quarterly average assets, which is known as the leverage ratio.</w:t>
      </w:r>
    </w:p>
    <w:p>
      <w:pPr>
        <w:spacing w:after="0" w:line="158"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$ 1 billion. The Bank was required to implement the new Basel III capital standards (subject to the phase-in for certain parts of the new rules) as of January 1, 2015. In August of 2018 the Regulatory Relief Act directed the Federal Reserve Board to revise the Small BHC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49" w:name="page50"/>
    <w:bookmarkEnd w:id="49"/>
    <w:p>
      <w:pPr>
        <w:jc w:val="both"/>
        <w:spacing w:after="0" w:line="266" w:lineRule="auto"/>
        <w:rPr>
          <w:sz w:val="20"/>
          <w:szCs w:val="20"/>
          <w:color w:val="auto"/>
        </w:rPr>
      </w:pPr>
      <w:r>
        <w:rPr>
          <w:rFonts w:ascii="Arial" w:cs="Arial" w:eastAsia="Arial" w:hAnsi="Arial"/>
          <w:sz w:val="14"/>
          <w:szCs w:val="14"/>
          <w:color w:val="auto"/>
        </w:rPr>
        <w:t>Policy Statement to raise the total consolidated asset limit in the Small BHC Policy Statement from $1 billion to $3 billion. The Company is currently exempt from the consolidated capital requirements.</w:t>
      </w:r>
    </w:p>
    <w:p>
      <w:pPr>
        <w:spacing w:after="0" w:line="15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ability of the Company to continue to grow is dependent on its earnings and those of the Bank, the ability to obtain additional funds for contribution to the Bank’s capital, through additional borrowings, through the sale of additional common stock or preferred stock, or through the issuance of additional qualifying capital instruments, such as subordinated debt. The capital levels required to be maintained by the Company and Bank may be impacted as a result of the Bank’s concentrations in commercial real estate loans. See “Risks Related to the Regulation of Our Industry” in Part I, Item 1A - Risk Factors.</w:t>
      </w:r>
    </w:p>
    <w:p>
      <w:pPr>
        <w:spacing w:after="0" w:line="200" w:lineRule="exact"/>
        <w:rPr>
          <w:sz w:val="20"/>
          <w:szCs w:val="20"/>
          <w:color w:val="auto"/>
        </w:rPr>
      </w:pPr>
    </w:p>
    <w:p>
      <w:pPr>
        <w:spacing w:after="0" w:line="32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 of December 31, 2022,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auto"/>
        </w:rPr>
        <w:t>The following table presents the regulatory capital ratios for the Company (as if such requirements applied to the Company) and the Bank as of the dates indicated.</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900" w:type="dxa"/>
            <w:vAlign w:val="bottom"/>
            <w:tcBorders>
              <w:left w:val="single" w:sz="8" w:color="CCEEFF"/>
            </w:tcBorders>
            <w:shd w:val="clear" w:color="auto" w:fill="CCEEFF"/>
          </w:tcPr>
          <w:p>
            <w:pPr>
              <w:spacing w:after="0"/>
              <w:rPr>
                <w:sz w:val="10"/>
                <w:szCs w:val="10"/>
                <w:color w:val="auto"/>
              </w:rPr>
            </w:pPr>
          </w:p>
        </w:tc>
        <w:tc>
          <w:tcPr>
            <w:tcW w:w="2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0" w:type="dxa"/>
            <w:vAlign w:val="bottom"/>
            <w:gridSpan w:val="3"/>
            <w:shd w:val="clear" w:color="auto" w:fill="CCEEFF"/>
          </w:tcPr>
          <w:p>
            <w:pPr>
              <w:ind w:left="380"/>
              <w:spacing w:after="0"/>
              <w:rPr>
                <w:sz w:val="20"/>
                <w:szCs w:val="20"/>
                <w:color w:val="auto"/>
              </w:rPr>
            </w:pPr>
            <w:r>
              <w:rPr>
                <w:rFonts w:ascii="Arial" w:cs="Arial" w:eastAsia="Arial" w:hAnsi="Arial"/>
                <w:sz w:val="10"/>
                <w:szCs w:val="10"/>
                <w:b w:val="1"/>
                <w:bCs w:val="1"/>
                <w:color w:val="auto"/>
              </w:rPr>
              <w:t>Minimum Capital</w:t>
            </w: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To Be Well</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Full Phase In</w:t>
            </w:r>
          </w:p>
        </w:tc>
        <w:tc>
          <w:tcPr>
            <w:tcW w:w="420" w:type="dxa"/>
            <w:vAlign w:val="bottom"/>
            <w:shd w:val="clear" w:color="auto" w:fill="CCEEFF"/>
          </w:tcPr>
          <w:p>
            <w:pPr>
              <w:spacing w:after="0"/>
              <w:rPr>
                <w:sz w:val="10"/>
                <w:szCs w:val="10"/>
                <w:color w:val="auto"/>
              </w:rPr>
            </w:pPr>
          </w:p>
        </w:tc>
      </w:tr>
      <w:tr>
        <w:trPr>
          <w:trHeight w:val="149"/>
        </w:trPr>
        <w:tc>
          <w:tcPr>
            <w:tcW w:w="36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8"/>
                <w:szCs w:val="8"/>
                <w:i w:val="1"/>
                <w:iCs w:val="1"/>
                <w:color w:val="auto"/>
              </w:rPr>
              <w:t>(in thousands)</w:t>
            </w: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Actual</w:t>
            </w:r>
          </w:p>
        </w:tc>
        <w:tc>
          <w:tcPr>
            <w:tcW w:w="6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Adequacy</w:t>
            </w: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Capitalized</w:t>
            </w: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of Basel III</w:t>
            </w:r>
          </w:p>
        </w:tc>
        <w:tc>
          <w:tcPr>
            <w:tcW w:w="420" w:type="dxa"/>
            <w:vAlign w:val="bottom"/>
            <w:tcBorders>
              <w:bottom w:val="single" w:sz="8" w:color="auto"/>
            </w:tcBorders>
            <w:shd w:val="clear" w:color="auto" w:fill="CCEEFF"/>
          </w:tcPr>
          <w:p>
            <w:pPr>
              <w:spacing w:after="0"/>
              <w:rPr>
                <w:sz w:val="12"/>
                <w:szCs w:val="12"/>
                <w:color w:val="auto"/>
              </w:rPr>
            </w:pPr>
          </w:p>
        </w:tc>
      </w:tr>
      <w:tr>
        <w:trPr>
          <w:trHeight w:val="97"/>
        </w:trPr>
        <w:tc>
          <w:tcPr>
            <w:tcW w:w="3600" w:type="dxa"/>
            <w:vAlign w:val="bottom"/>
            <w:gridSpan w:val="2"/>
          </w:tcPr>
          <w:p>
            <w:pPr>
              <w:ind w:left="20"/>
              <w:spacing w:after="0" w:line="97" w:lineRule="exact"/>
              <w:rPr>
                <w:sz w:val="20"/>
                <w:szCs w:val="20"/>
                <w:color w:val="auto"/>
              </w:rPr>
            </w:pPr>
            <w:r>
              <w:rPr>
                <w:rFonts w:ascii="Arial" w:cs="Arial" w:eastAsia="Arial" w:hAnsi="Arial"/>
                <w:sz w:val="10"/>
                <w:szCs w:val="10"/>
                <w:b w:val="1"/>
                <w:bCs w:val="1"/>
                <w:color w:val="auto"/>
              </w:rPr>
              <w:t>December 31, 2022</w:t>
            </w:r>
          </w:p>
        </w:tc>
        <w:tc>
          <w:tcPr>
            <w:tcW w:w="160" w:type="dxa"/>
            <w:vAlign w:val="bottom"/>
          </w:tcPr>
          <w:p>
            <w:pPr>
              <w:spacing w:after="0"/>
              <w:rPr>
                <w:sz w:val="8"/>
                <w:szCs w:val="8"/>
                <w:color w:val="auto"/>
              </w:rPr>
            </w:pPr>
          </w:p>
        </w:tc>
        <w:tc>
          <w:tcPr>
            <w:tcW w:w="1020" w:type="dxa"/>
            <w:vAlign w:val="bottom"/>
          </w:tcPr>
          <w:p>
            <w:pPr>
              <w:jc w:val="right"/>
              <w:ind w:right="511"/>
              <w:spacing w:after="0" w:line="97" w:lineRule="exact"/>
              <w:rPr>
                <w:sz w:val="20"/>
                <w:szCs w:val="20"/>
                <w:color w:val="auto"/>
              </w:rPr>
            </w:pPr>
            <w:r>
              <w:rPr>
                <w:rFonts w:ascii="Arial" w:cs="Arial" w:eastAsia="Arial" w:hAnsi="Arial"/>
                <w:sz w:val="10"/>
                <w:szCs w:val="10"/>
                <w:b w:val="1"/>
                <w:bCs w:val="1"/>
                <w:color w:val="auto"/>
              </w:rPr>
              <w:t>Amount</w:t>
            </w:r>
          </w:p>
        </w:tc>
        <w:tc>
          <w:tcPr>
            <w:tcW w:w="660" w:type="dxa"/>
            <w:vAlign w:val="bottom"/>
          </w:tcPr>
          <w:p>
            <w:pPr>
              <w:jc w:val="right"/>
              <w:ind w:right="251"/>
              <w:spacing w:after="0" w:line="97" w:lineRule="exact"/>
              <w:rPr>
                <w:sz w:val="20"/>
                <w:szCs w:val="20"/>
                <w:color w:val="auto"/>
              </w:rPr>
            </w:pPr>
            <w:r>
              <w:rPr>
                <w:rFonts w:ascii="Arial" w:cs="Arial" w:eastAsia="Arial" w:hAnsi="Arial"/>
                <w:sz w:val="10"/>
                <w:szCs w:val="10"/>
                <w:b w:val="1"/>
                <w:bCs w:val="1"/>
                <w:color w:val="auto"/>
              </w:rPr>
              <w:t>Ratio</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jc w:val="right"/>
              <w:ind w:right="551"/>
              <w:spacing w:after="0" w:line="97" w:lineRule="exact"/>
              <w:rPr>
                <w:sz w:val="20"/>
                <w:szCs w:val="20"/>
                <w:color w:val="auto"/>
              </w:rPr>
            </w:pPr>
            <w:r>
              <w:rPr>
                <w:rFonts w:ascii="Arial" w:cs="Arial" w:eastAsia="Arial" w:hAnsi="Arial"/>
                <w:sz w:val="10"/>
                <w:szCs w:val="10"/>
                <w:b w:val="1"/>
                <w:bCs w:val="1"/>
                <w:color w:val="auto"/>
              </w:rPr>
              <w:t>Amount</w:t>
            </w:r>
          </w:p>
        </w:tc>
        <w:tc>
          <w:tcPr>
            <w:tcW w:w="620" w:type="dxa"/>
            <w:vAlign w:val="bottom"/>
          </w:tcPr>
          <w:p>
            <w:pPr>
              <w:ind w:left="60"/>
              <w:spacing w:after="0" w:line="97" w:lineRule="exact"/>
              <w:rPr>
                <w:sz w:val="20"/>
                <w:szCs w:val="20"/>
                <w:color w:val="auto"/>
              </w:rPr>
            </w:pPr>
            <w:r>
              <w:rPr>
                <w:rFonts w:ascii="Arial" w:cs="Arial" w:eastAsia="Arial" w:hAnsi="Arial"/>
                <w:sz w:val="10"/>
                <w:szCs w:val="10"/>
                <w:b w:val="1"/>
                <w:bCs w:val="1"/>
                <w:color w:val="auto"/>
              </w:rPr>
              <w:t>Ratio</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jc w:val="right"/>
              <w:ind w:right="571"/>
              <w:spacing w:after="0" w:line="97" w:lineRule="exact"/>
              <w:rPr>
                <w:sz w:val="20"/>
                <w:szCs w:val="20"/>
                <w:color w:val="auto"/>
              </w:rPr>
            </w:pPr>
            <w:r>
              <w:rPr>
                <w:rFonts w:ascii="Arial" w:cs="Arial" w:eastAsia="Arial" w:hAnsi="Arial"/>
                <w:sz w:val="10"/>
                <w:szCs w:val="10"/>
                <w:b w:val="1"/>
                <w:bCs w:val="1"/>
                <w:color w:val="auto"/>
              </w:rPr>
              <w:t>Amount</w:t>
            </w:r>
          </w:p>
        </w:tc>
        <w:tc>
          <w:tcPr>
            <w:tcW w:w="600" w:type="dxa"/>
            <w:vAlign w:val="bottom"/>
          </w:tcPr>
          <w:p>
            <w:pPr>
              <w:jc w:val="center"/>
              <w:ind w:right="211"/>
              <w:spacing w:after="0" w:line="97" w:lineRule="exact"/>
              <w:rPr>
                <w:sz w:val="20"/>
                <w:szCs w:val="20"/>
                <w:color w:val="auto"/>
              </w:rPr>
            </w:pPr>
            <w:r>
              <w:rPr>
                <w:rFonts w:ascii="Arial" w:cs="Arial" w:eastAsia="Arial" w:hAnsi="Arial"/>
                <w:sz w:val="10"/>
                <w:szCs w:val="10"/>
                <w:b w:val="1"/>
                <w:bCs w:val="1"/>
                <w:color w:val="auto"/>
              </w:rPr>
              <w:t>Ratio</w:t>
            </w:r>
          </w:p>
        </w:tc>
        <w:tc>
          <w:tcPr>
            <w:tcW w:w="120" w:type="dxa"/>
            <w:vAlign w:val="bottom"/>
          </w:tcPr>
          <w:p>
            <w:pPr>
              <w:spacing w:after="0"/>
              <w:rPr>
                <w:sz w:val="8"/>
                <w:szCs w:val="8"/>
                <w:color w:val="auto"/>
              </w:rPr>
            </w:pPr>
          </w:p>
        </w:tc>
        <w:tc>
          <w:tcPr>
            <w:tcW w:w="1240" w:type="dxa"/>
            <w:vAlign w:val="bottom"/>
          </w:tcPr>
          <w:p>
            <w:pPr>
              <w:jc w:val="right"/>
              <w:ind w:right="591"/>
              <w:spacing w:after="0" w:line="97" w:lineRule="exact"/>
              <w:rPr>
                <w:sz w:val="20"/>
                <w:szCs w:val="20"/>
                <w:color w:val="auto"/>
              </w:rPr>
            </w:pPr>
            <w:r>
              <w:rPr>
                <w:rFonts w:ascii="Arial" w:cs="Arial" w:eastAsia="Arial" w:hAnsi="Arial"/>
                <w:sz w:val="10"/>
                <w:szCs w:val="10"/>
                <w:b w:val="1"/>
                <w:bCs w:val="1"/>
                <w:color w:val="auto"/>
              </w:rPr>
              <w:t>Amount</w:t>
            </w:r>
          </w:p>
        </w:tc>
        <w:tc>
          <w:tcPr>
            <w:tcW w:w="420" w:type="dxa"/>
            <w:vAlign w:val="bottom"/>
          </w:tcPr>
          <w:p>
            <w:pPr>
              <w:jc w:val="right"/>
              <w:ind w:right="91"/>
              <w:spacing w:after="0" w:line="97" w:lineRule="exact"/>
              <w:rPr>
                <w:sz w:val="20"/>
                <w:szCs w:val="20"/>
                <w:color w:val="auto"/>
              </w:rPr>
            </w:pPr>
            <w:r>
              <w:rPr>
                <w:rFonts w:ascii="Arial" w:cs="Arial" w:eastAsia="Arial" w:hAnsi="Arial"/>
                <w:sz w:val="10"/>
                <w:szCs w:val="10"/>
                <w:b w:val="1"/>
                <w:bCs w:val="1"/>
                <w:color w:val="auto"/>
              </w:rPr>
              <w:t>Ratio</w:t>
            </w:r>
          </w:p>
        </w:tc>
      </w:tr>
      <w:tr>
        <w:trPr>
          <w:trHeight w:val="20"/>
        </w:trPr>
        <w:tc>
          <w:tcPr>
            <w:tcW w:w="90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10"/>
        </w:trPr>
        <w:tc>
          <w:tcPr>
            <w:tcW w:w="3600" w:type="dxa"/>
            <w:vAlign w:val="bottom"/>
            <w:tcBorders>
              <w:left w:val="single" w:sz="8" w:color="CCEEFF"/>
            </w:tcBorders>
            <w:gridSpan w:val="2"/>
            <w:shd w:val="clear" w:color="auto" w:fill="CCEEFF"/>
          </w:tcPr>
          <w:p>
            <w:pPr>
              <w:ind w:left="20"/>
              <w:spacing w:after="0" w:line="110" w:lineRule="exact"/>
              <w:rPr>
                <w:sz w:val="20"/>
                <w:szCs w:val="20"/>
                <w:color w:val="auto"/>
              </w:rPr>
            </w:pPr>
            <w:r>
              <w:rPr>
                <w:rFonts w:ascii="Arial" w:cs="Arial" w:eastAsia="Arial" w:hAnsi="Arial"/>
                <w:sz w:val="10"/>
                <w:szCs w:val="10"/>
                <w:b w:val="1"/>
                <w:bCs w:val="1"/>
                <w:color w:val="auto"/>
              </w:rPr>
              <w:t>The Company</w:t>
            </w: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r>
      <w:tr>
        <w:trPr>
          <w:trHeight w:val="131"/>
        </w:trPr>
        <w:tc>
          <w:tcPr>
            <w:tcW w:w="3600" w:type="dxa"/>
            <w:vAlign w:val="bottom"/>
            <w:gridSpan w:val="2"/>
          </w:tcPr>
          <w:p>
            <w:pPr>
              <w:ind w:left="100"/>
              <w:spacing w:after="0"/>
              <w:rPr>
                <w:sz w:val="20"/>
                <w:szCs w:val="20"/>
                <w:color w:val="auto"/>
              </w:rPr>
            </w:pPr>
            <w:r>
              <w:rPr>
                <w:rFonts w:ascii="Arial" w:cs="Arial" w:eastAsia="Arial" w:hAnsi="Arial"/>
                <w:sz w:val="10"/>
                <w:szCs w:val="10"/>
                <w:color w:val="auto"/>
              </w:rPr>
              <w:t>Tier 1 leverage ratio (to average assets)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311"/>
              <w:spacing w:after="0"/>
              <w:rPr>
                <w:sz w:val="20"/>
                <w:szCs w:val="20"/>
                <w:color w:val="auto"/>
              </w:rPr>
            </w:pPr>
            <w:r>
              <w:rPr>
                <w:rFonts w:ascii="Arial" w:cs="Arial" w:eastAsia="Arial" w:hAnsi="Arial"/>
                <w:sz w:val="10"/>
                <w:szCs w:val="10"/>
                <w:color w:val="auto"/>
              </w:rPr>
              <w:t>242,829</w:t>
            </w:r>
          </w:p>
        </w:tc>
        <w:tc>
          <w:tcPr>
            <w:tcW w:w="660" w:type="dxa"/>
            <w:vAlign w:val="bottom"/>
          </w:tcPr>
          <w:p>
            <w:pPr>
              <w:jc w:val="right"/>
              <w:spacing w:after="0"/>
              <w:rPr>
                <w:sz w:val="20"/>
                <w:szCs w:val="20"/>
                <w:color w:val="auto"/>
              </w:rPr>
            </w:pPr>
            <w:r>
              <w:rPr>
                <w:rFonts w:ascii="Arial" w:cs="Arial" w:eastAsia="Arial" w:hAnsi="Arial"/>
                <w:sz w:val="10"/>
                <w:szCs w:val="10"/>
                <w:color w:val="auto"/>
              </w:rPr>
              <w:t>11.24 %</w:t>
            </w:r>
          </w:p>
        </w:tc>
        <w:tc>
          <w:tcPr>
            <w:tcW w:w="100" w:type="dxa"/>
            <w:vAlign w:val="bottom"/>
          </w:tcPr>
          <w:p>
            <w:pPr>
              <w:spacing w:after="0"/>
              <w:rPr>
                <w:sz w:val="11"/>
                <w:szCs w:val="11"/>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351"/>
              <w:spacing w:after="0"/>
              <w:rPr>
                <w:sz w:val="20"/>
                <w:szCs w:val="20"/>
                <w:color w:val="auto"/>
              </w:rPr>
            </w:pPr>
            <w:r>
              <w:rPr>
                <w:rFonts w:ascii="Arial" w:cs="Arial" w:eastAsia="Arial" w:hAnsi="Arial"/>
                <w:sz w:val="10"/>
                <w:szCs w:val="10"/>
                <w:color w:val="auto"/>
              </w:rPr>
              <w:t>86,442</w:t>
            </w:r>
          </w:p>
        </w:tc>
        <w:tc>
          <w:tcPr>
            <w:tcW w:w="620" w:type="dxa"/>
            <w:vAlign w:val="bottom"/>
          </w:tcPr>
          <w:p>
            <w:pPr>
              <w:ind w:left="300"/>
              <w:spacing w:after="0"/>
              <w:rPr>
                <w:sz w:val="20"/>
                <w:szCs w:val="20"/>
                <w:color w:val="auto"/>
              </w:rPr>
            </w:pPr>
            <w:r>
              <w:rPr>
                <w:rFonts w:ascii="Arial" w:cs="Arial" w:eastAsia="Arial" w:hAnsi="Arial"/>
                <w:sz w:val="10"/>
                <w:szCs w:val="10"/>
                <w:color w:val="auto"/>
                <w:w w:val="96"/>
              </w:rPr>
              <w:t>4.00 %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671"/>
              <w:spacing w:after="0"/>
              <w:rPr>
                <w:sz w:val="20"/>
                <w:szCs w:val="20"/>
                <w:color w:val="auto"/>
              </w:rPr>
            </w:pPr>
            <w:r>
              <w:rPr>
                <w:rFonts w:ascii="Arial" w:cs="Arial" w:eastAsia="Arial" w:hAnsi="Arial"/>
                <w:sz w:val="10"/>
                <w:szCs w:val="10"/>
                <w:color w:val="auto"/>
              </w:rPr>
              <w:t>N/A</w:t>
            </w:r>
          </w:p>
        </w:tc>
        <w:tc>
          <w:tcPr>
            <w:tcW w:w="720" w:type="dxa"/>
            <w:vAlign w:val="bottom"/>
            <w:gridSpan w:val="2"/>
          </w:tcPr>
          <w:p>
            <w:pPr>
              <w:jc w:val="center"/>
              <w:ind w:right="380"/>
              <w:spacing w:after="0"/>
              <w:rPr>
                <w:sz w:val="20"/>
                <w:szCs w:val="20"/>
                <w:color w:val="auto"/>
              </w:rPr>
            </w:pPr>
            <w:r>
              <w:rPr>
                <w:rFonts w:ascii="Arial" w:cs="Arial" w:eastAsia="Arial" w:hAnsi="Arial"/>
                <w:sz w:val="10"/>
                <w:szCs w:val="10"/>
                <w:color w:val="auto"/>
              </w:rPr>
              <w:t>N/A</w:t>
            </w:r>
          </w:p>
        </w:tc>
        <w:tc>
          <w:tcPr>
            <w:tcW w:w="1240" w:type="dxa"/>
            <w:vAlign w:val="bottom"/>
          </w:tcPr>
          <w:p>
            <w:pPr>
              <w:jc w:val="right"/>
              <w:ind w:right="691"/>
              <w:spacing w:after="0"/>
              <w:rPr>
                <w:sz w:val="20"/>
                <w:szCs w:val="20"/>
                <w:color w:val="auto"/>
              </w:rPr>
            </w:pPr>
            <w:r>
              <w:rPr>
                <w:rFonts w:ascii="Arial" w:cs="Arial" w:eastAsia="Arial" w:hAnsi="Arial"/>
                <w:sz w:val="10"/>
                <w:szCs w:val="10"/>
                <w:color w:val="auto"/>
              </w:rPr>
              <w:t>N/A</w:t>
            </w:r>
          </w:p>
        </w:tc>
        <w:tc>
          <w:tcPr>
            <w:tcW w:w="420" w:type="dxa"/>
            <w:vAlign w:val="bottom"/>
          </w:tcPr>
          <w:p>
            <w:pPr>
              <w:jc w:val="right"/>
              <w:ind w:right="131"/>
              <w:spacing w:after="0"/>
              <w:rPr>
                <w:sz w:val="20"/>
                <w:szCs w:val="20"/>
                <w:color w:val="auto"/>
              </w:rPr>
            </w:pPr>
            <w:r>
              <w:rPr>
                <w:rFonts w:ascii="Arial" w:cs="Arial" w:eastAsia="Arial" w:hAnsi="Arial"/>
                <w:sz w:val="10"/>
                <w:szCs w:val="10"/>
                <w:color w:val="auto"/>
              </w:rPr>
              <w:t>N/A</w:t>
            </w:r>
          </w:p>
        </w:tc>
      </w:tr>
      <w:tr>
        <w:trPr>
          <w:trHeight w:val="145"/>
        </w:trPr>
        <w:tc>
          <w:tcPr>
            <w:tcW w:w="360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Tier 1 capital (to risk-weighted assets)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242,829</w:t>
            </w:r>
          </w:p>
        </w:tc>
        <w:tc>
          <w:tcPr>
            <w:tcW w:w="6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15.13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rPr>
              <w:t>96,315</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6.00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71"/>
              <w:spacing w:after="0"/>
              <w:rPr>
                <w:sz w:val="20"/>
                <w:szCs w:val="20"/>
                <w:color w:val="auto"/>
              </w:rPr>
            </w:pPr>
            <w:r>
              <w:rPr>
                <w:rFonts w:ascii="Arial" w:cs="Arial" w:eastAsia="Arial" w:hAnsi="Arial"/>
                <w:sz w:val="10"/>
                <w:szCs w:val="10"/>
                <w:color w:val="auto"/>
              </w:rPr>
              <w:t>N/A</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0"/>
                <w:szCs w:val="10"/>
                <w:color w:val="auto"/>
              </w:rPr>
              <w:t>N/A</w:t>
            </w:r>
          </w:p>
        </w:tc>
        <w:tc>
          <w:tcPr>
            <w:tcW w:w="124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136,447</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w:t>
            </w:r>
          </w:p>
        </w:tc>
      </w:tr>
      <w:tr>
        <w:trPr>
          <w:trHeight w:val="131"/>
        </w:trPr>
        <w:tc>
          <w:tcPr>
            <w:tcW w:w="3600" w:type="dxa"/>
            <w:vAlign w:val="bottom"/>
            <w:gridSpan w:val="2"/>
          </w:tcPr>
          <w:p>
            <w:pPr>
              <w:ind w:left="100"/>
              <w:spacing w:after="0"/>
              <w:rPr>
                <w:sz w:val="20"/>
                <w:szCs w:val="20"/>
                <w:color w:val="auto"/>
              </w:rPr>
            </w:pPr>
            <w:r>
              <w:rPr>
                <w:rFonts w:ascii="Arial" w:cs="Arial" w:eastAsia="Arial" w:hAnsi="Arial"/>
                <w:sz w:val="10"/>
                <w:szCs w:val="10"/>
                <w:color w:val="auto"/>
              </w:rPr>
              <w:t>Common equity tier 1 capital ratio (to risk-weighted assets)</w:t>
            </w:r>
          </w:p>
        </w:tc>
        <w:tc>
          <w:tcPr>
            <w:tcW w:w="160" w:type="dxa"/>
            <w:vAlign w:val="bottom"/>
          </w:tcPr>
          <w:p>
            <w:pPr>
              <w:spacing w:after="0"/>
              <w:rPr>
                <w:sz w:val="11"/>
                <w:szCs w:val="11"/>
                <w:color w:val="auto"/>
              </w:rPr>
            </w:pPr>
          </w:p>
        </w:tc>
        <w:tc>
          <w:tcPr>
            <w:tcW w:w="1020" w:type="dxa"/>
            <w:vAlign w:val="bottom"/>
          </w:tcPr>
          <w:p>
            <w:pPr>
              <w:jc w:val="right"/>
              <w:ind w:right="311"/>
              <w:spacing w:after="0"/>
              <w:rPr>
                <w:sz w:val="20"/>
                <w:szCs w:val="20"/>
                <w:color w:val="auto"/>
              </w:rPr>
            </w:pPr>
            <w:r>
              <w:rPr>
                <w:rFonts w:ascii="Arial" w:cs="Arial" w:eastAsia="Arial" w:hAnsi="Arial"/>
                <w:sz w:val="10"/>
                <w:szCs w:val="10"/>
                <w:color w:val="auto"/>
              </w:rPr>
              <w:t>240,767</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15.00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351"/>
              <w:spacing w:after="0"/>
              <w:rPr>
                <w:sz w:val="20"/>
                <w:szCs w:val="20"/>
                <w:color w:val="auto"/>
              </w:rPr>
            </w:pPr>
            <w:r>
              <w:rPr>
                <w:rFonts w:ascii="Arial" w:cs="Arial" w:eastAsia="Arial" w:hAnsi="Arial"/>
                <w:sz w:val="10"/>
                <w:szCs w:val="10"/>
                <w:color w:val="auto"/>
              </w:rPr>
              <w:t>72,237</w:t>
            </w:r>
          </w:p>
        </w:tc>
        <w:tc>
          <w:tcPr>
            <w:tcW w:w="620" w:type="dxa"/>
            <w:vAlign w:val="bottom"/>
          </w:tcPr>
          <w:p>
            <w:pPr>
              <w:ind w:left="300"/>
              <w:spacing w:after="0"/>
              <w:rPr>
                <w:sz w:val="20"/>
                <w:szCs w:val="20"/>
                <w:color w:val="auto"/>
              </w:rPr>
            </w:pPr>
            <w:r>
              <w:rPr>
                <w:rFonts w:ascii="Arial" w:cs="Arial" w:eastAsia="Arial" w:hAnsi="Arial"/>
                <w:sz w:val="10"/>
                <w:szCs w:val="10"/>
                <w:color w:val="auto"/>
              </w:rPr>
              <w:t>4.50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671"/>
              <w:spacing w:after="0"/>
              <w:rPr>
                <w:sz w:val="20"/>
                <w:szCs w:val="20"/>
                <w:color w:val="auto"/>
              </w:rPr>
            </w:pPr>
            <w:r>
              <w:rPr>
                <w:rFonts w:ascii="Arial" w:cs="Arial" w:eastAsia="Arial" w:hAnsi="Arial"/>
                <w:sz w:val="10"/>
                <w:szCs w:val="10"/>
                <w:color w:val="auto"/>
              </w:rPr>
              <w:t>N/A</w:t>
            </w:r>
          </w:p>
        </w:tc>
        <w:tc>
          <w:tcPr>
            <w:tcW w:w="720" w:type="dxa"/>
            <w:vAlign w:val="bottom"/>
            <w:gridSpan w:val="2"/>
          </w:tcPr>
          <w:p>
            <w:pPr>
              <w:jc w:val="center"/>
              <w:ind w:right="380"/>
              <w:spacing w:after="0"/>
              <w:rPr>
                <w:sz w:val="20"/>
                <w:szCs w:val="20"/>
                <w:color w:val="auto"/>
              </w:rPr>
            </w:pPr>
            <w:r>
              <w:rPr>
                <w:rFonts w:ascii="Arial" w:cs="Arial" w:eastAsia="Arial" w:hAnsi="Arial"/>
                <w:sz w:val="10"/>
                <w:szCs w:val="10"/>
                <w:color w:val="auto"/>
              </w:rPr>
              <w:t>N/A</w:t>
            </w:r>
          </w:p>
        </w:tc>
        <w:tc>
          <w:tcPr>
            <w:tcW w:w="1240" w:type="dxa"/>
            <w:vAlign w:val="bottom"/>
          </w:tcPr>
          <w:p>
            <w:pPr>
              <w:jc w:val="right"/>
              <w:ind w:right="391"/>
              <w:spacing w:after="0"/>
              <w:rPr>
                <w:sz w:val="20"/>
                <w:szCs w:val="20"/>
                <w:color w:val="auto"/>
              </w:rPr>
            </w:pPr>
            <w:r>
              <w:rPr>
                <w:rFonts w:ascii="Arial" w:cs="Arial" w:eastAsia="Arial" w:hAnsi="Arial"/>
                <w:sz w:val="10"/>
                <w:szCs w:val="10"/>
                <w:color w:val="auto"/>
              </w:rPr>
              <w:t>112,368</w:t>
            </w:r>
          </w:p>
        </w:tc>
        <w:tc>
          <w:tcPr>
            <w:tcW w:w="420" w:type="dxa"/>
            <w:vAlign w:val="bottom"/>
          </w:tcPr>
          <w:p>
            <w:pPr>
              <w:jc w:val="right"/>
              <w:spacing w:after="0"/>
              <w:rPr>
                <w:sz w:val="20"/>
                <w:szCs w:val="20"/>
                <w:color w:val="auto"/>
              </w:rPr>
            </w:pPr>
            <w:r>
              <w:rPr>
                <w:rFonts w:ascii="Arial" w:cs="Arial" w:eastAsia="Arial" w:hAnsi="Arial"/>
                <w:sz w:val="10"/>
                <w:szCs w:val="10"/>
                <w:color w:val="auto"/>
              </w:rPr>
              <w:t>7.0</w:t>
            </w:r>
          </w:p>
        </w:tc>
      </w:tr>
      <w:tr>
        <w:trPr>
          <w:trHeight w:val="145"/>
        </w:trPr>
        <w:tc>
          <w:tcPr>
            <w:tcW w:w="360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Total capital ratio (to risk-weighted assets)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262,217</w:t>
            </w:r>
          </w:p>
        </w:tc>
        <w:tc>
          <w:tcPr>
            <w:tcW w:w="6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16.33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rPr>
              <w:t>128,421</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8.00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71"/>
              <w:spacing w:after="0"/>
              <w:rPr>
                <w:sz w:val="20"/>
                <w:szCs w:val="20"/>
                <w:color w:val="auto"/>
              </w:rPr>
            </w:pPr>
            <w:r>
              <w:rPr>
                <w:rFonts w:ascii="Arial" w:cs="Arial" w:eastAsia="Arial" w:hAnsi="Arial"/>
                <w:sz w:val="10"/>
                <w:szCs w:val="10"/>
                <w:color w:val="auto"/>
              </w:rPr>
              <w:t>N/A</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0"/>
                <w:szCs w:val="10"/>
                <w:color w:val="auto"/>
              </w:rPr>
              <w:t>N/A</w:t>
            </w:r>
          </w:p>
        </w:tc>
        <w:tc>
          <w:tcPr>
            <w:tcW w:w="124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168,552</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r>
      <w:tr>
        <w:trPr>
          <w:trHeight w:val="170"/>
        </w:trPr>
        <w:tc>
          <w:tcPr>
            <w:tcW w:w="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38"/>
        </w:trPr>
        <w:tc>
          <w:tcPr>
            <w:tcW w:w="36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The Bank</w:t>
            </w: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1"/>
        </w:trPr>
        <w:tc>
          <w:tcPr>
            <w:tcW w:w="3600" w:type="dxa"/>
            <w:vAlign w:val="bottom"/>
            <w:gridSpan w:val="2"/>
          </w:tcPr>
          <w:p>
            <w:pPr>
              <w:ind w:left="100"/>
              <w:spacing w:after="0"/>
              <w:rPr>
                <w:sz w:val="20"/>
                <w:szCs w:val="20"/>
                <w:color w:val="auto"/>
              </w:rPr>
            </w:pPr>
            <w:r>
              <w:rPr>
                <w:rFonts w:ascii="Arial" w:cs="Arial" w:eastAsia="Arial" w:hAnsi="Arial"/>
                <w:sz w:val="10"/>
                <w:szCs w:val="10"/>
                <w:color w:val="auto"/>
              </w:rPr>
              <w:t>Tier 1 leverage ratio (to average assets)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311"/>
              <w:spacing w:after="0"/>
              <w:rPr>
                <w:sz w:val="20"/>
                <w:szCs w:val="20"/>
                <w:color w:val="auto"/>
              </w:rPr>
            </w:pPr>
            <w:r>
              <w:rPr>
                <w:rFonts w:ascii="Arial" w:cs="Arial" w:eastAsia="Arial" w:hAnsi="Arial"/>
                <w:sz w:val="10"/>
                <w:szCs w:val="10"/>
                <w:color w:val="auto"/>
              </w:rPr>
              <w:t>199,846</w:t>
            </w:r>
          </w:p>
        </w:tc>
        <w:tc>
          <w:tcPr>
            <w:tcW w:w="660" w:type="dxa"/>
            <w:vAlign w:val="bottom"/>
          </w:tcPr>
          <w:p>
            <w:pPr>
              <w:jc w:val="right"/>
              <w:spacing w:after="0"/>
              <w:rPr>
                <w:sz w:val="20"/>
                <w:szCs w:val="20"/>
                <w:color w:val="auto"/>
              </w:rPr>
            </w:pPr>
            <w:r>
              <w:rPr>
                <w:rFonts w:ascii="Arial" w:cs="Arial" w:eastAsia="Arial" w:hAnsi="Arial"/>
                <w:sz w:val="10"/>
                <w:szCs w:val="10"/>
                <w:color w:val="auto"/>
              </w:rPr>
              <w:t>9.47 %</w:t>
            </w:r>
          </w:p>
        </w:tc>
        <w:tc>
          <w:tcPr>
            <w:tcW w:w="100" w:type="dxa"/>
            <w:vAlign w:val="bottom"/>
          </w:tcPr>
          <w:p>
            <w:pPr>
              <w:spacing w:after="0"/>
              <w:rPr>
                <w:sz w:val="11"/>
                <w:szCs w:val="11"/>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351"/>
              <w:spacing w:after="0"/>
              <w:rPr>
                <w:sz w:val="20"/>
                <w:szCs w:val="20"/>
                <w:color w:val="auto"/>
              </w:rPr>
            </w:pPr>
            <w:r>
              <w:rPr>
                <w:rFonts w:ascii="Arial" w:cs="Arial" w:eastAsia="Arial" w:hAnsi="Arial"/>
                <w:sz w:val="10"/>
                <w:szCs w:val="10"/>
                <w:color w:val="auto"/>
              </w:rPr>
              <w:t>84,416</w:t>
            </w:r>
          </w:p>
        </w:tc>
        <w:tc>
          <w:tcPr>
            <w:tcW w:w="620" w:type="dxa"/>
            <w:vAlign w:val="bottom"/>
          </w:tcPr>
          <w:p>
            <w:pPr>
              <w:ind w:left="300"/>
              <w:spacing w:after="0"/>
              <w:rPr>
                <w:sz w:val="20"/>
                <w:szCs w:val="20"/>
                <w:color w:val="auto"/>
              </w:rPr>
            </w:pPr>
            <w:r>
              <w:rPr>
                <w:rFonts w:ascii="Arial" w:cs="Arial" w:eastAsia="Arial" w:hAnsi="Arial"/>
                <w:sz w:val="10"/>
                <w:szCs w:val="10"/>
                <w:color w:val="auto"/>
                <w:w w:val="96"/>
              </w:rPr>
              <w:t>4.00 %</w:t>
            </w:r>
          </w:p>
        </w:tc>
        <w:tc>
          <w:tcPr>
            <w:tcW w:w="12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371"/>
              <w:spacing w:after="0"/>
              <w:rPr>
                <w:sz w:val="20"/>
                <w:szCs w:val="20"/>
                <w:color w:val="auto"/>
              </w:rPr>
            </w:pPr>
            <w:r>
              <w:rPr>
                <w:rFonts w:ascii="Arial" w:cs="Arial" w:eastAsia="Arial" w:hAnsi="Arial"/>
                <w:sz w:val="10"/>
                <w:szCs w:val="10"/>
                <w:color w:val="auto"/>
              </w:rPr>
              <w:t>105,521</w:t>
            </w:r>
          </w:p>
        </w:tc>
        <w:tc>
          <w:tcPr>
            <w:tcW w:w="600" w:type="dxa"/>
            <w:vAlign w:val="bottom"/>
          </w:tcPr>
          <w:p>
            <w:pPr>
              <w:jc w:val="right"/>
              <w:spacing w:after="0"/>
              <w:rPr>
                <w:sz w:val="20"/>
                <w:szCs w:val="20"/>
                <w:color w:val="auto"/>
              </w:rPr>
            </w:pPr>
            <w:r>
              <w:rPr>
                <w:rFonts w:ascii="Arial" w:cs="Arial" w:eastAsia="Arial" w:hAnsi="Arial"/>
                <w:sz w:val="10"/>
                <w:szCs w:val="10"/>
                <w:color w:val="auto"/>
              </w:rPr>
              <w:t>5.00 %</w:t>
            </w:r>
          </w:p>
        </w:tc>
        <w:tc>
          <w:tcPr>
            <w:tcW w:w="120" w:type="dxa"/>
            <w:vAlign w:val="bottom"/>
          </w:tcPr>
          <w:p>
            <w:pPr>
              <w:spacing w:after="0"/>
              <w:rPr>
                <w:sz w:val="11"/>
                <w:szCs w:val="11"/>
                <w:color w:val="auto"/>
              </w:rPr>
            </w:pPr>
          </w:p>
        </w:tc>
        <w:tc>
          <w:tcPr>
            <w:tcW w:w="1240" w:type="dxa"/>
            <w:vAlign w:val="bottom"/>
          </w:tcPr>
          <w:p>
            <w:pPr>
              <w:jc w:val="right"/>
              <w:ind w:right="691"/>
              <w:spacing w:after="0"/>
              <w:rPr>
                <w:sz w:val="20"/>
                <w:szCs w:val="20"/>
                <w:color w:val="auto"/>
              </w:rPr>
            </w:pPr>
            <w:r>
              <w:rPr>
                <w:rFonts w:ascii="Arial" w:cs="Arial" w:eastAsia="Arial" w:hAnsi="Arial"/>
                <w:sz w:val="10"/>
                <w:szCs w:val="10"/>
                <w:color w:val="auto"/>
              </w:rPr>
              <w:t>N/A</w:t>
            </w:r>
          </w:p>
        </w:tc>
        <w:tc>
          <w:tcPr>
            <w:tcW w:w="420" w:type="dxa"/>
            <w:vAlign w:val="bottom"/>
          </w:tcPr>
          <w:p>
            <w:pPr>
              <w:jc w:val="right"/>
              <w:ind w:right="131"/>
              <w:spacing w:after="0"/>
              <w:rPr>
                <w:sz w:val="20"/>
                <w:szCs w:val="20"/>
                <w:color w:val="auto"/>
              </w:rPr>
            </w:pPr>
            <w:r>
              <w:rPr>
                <w:rFonts w:ascii="Arial" w:cs="Arial" w:eastAsia="Arial" w:hAnsi="Arial"/>
                <w:sz w:val="10"/>
                <w:szCs w:val="10"/>
                <w:color w:val="auto"/>
              </w:rPr>
              <w:t>N/A</w:t>
            </w:r>
          </w:p>
        </w:tc>
      </w:tr>
      <w:tr>
        <w:trPr>
          <w:trHeight w:val="145"/>
        </w:trPr>
        <w:tc>
          <w:tcPr>
            <w:tcW w:w="360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Tier 1 capital (to risk-weighted assets)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199,846</w:t>
            </w:r>
          </w:p>
        </w:tc>
        <w:tc>
          <w:tcPr>
            <w:tcW w:w="6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12.95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rPr>
              <w:t>92,574</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6.00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rPr>
              <w:t>123,432</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131,147</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w:t>
            </w:r>
          </w:p>
        </w:tc>
      </w:tr>
      <w:tr>
        <w:trPr>
          <w:trHeight w:val="131"/>
        </w:trPr>
        <w:tc>
          <w:tcPr>
            <w:tcW w:w="3600" w:type="dxa"/>
            <w:vAlign w:val="bottom"/>
            <w:gridSpan w:val="2"/>
          </w:tcPr>
          <w:p>
            <w:pPr>
              <w:ind w:left="100"/>
              <w:spacing w:after="0"/>
              <w:rPr>
                <w:sz w:val="20"/>
                <w:szCs w:val="20"/>
                <w:color w:val="auto"/>
              </w:rPr>
            </w:pPr>
            <w:r>
              <w:rPr>
                <w:rFonts w:ascii="Arial" w:cs="Arial" w:eastAsia="Arial" w:hAnsi="Arial"/>
                <w:sz w:val="10"/>
                <w:szCs w:val="10"/>
                <w:color w:val="auto"/>
              </w:rPr>
              <w:t>Common equity tier 1 capital ratio (to risk-weighted assets)</w:t>
            </w:r>
          </w:p>
        </w:tc>
        <w:tc>
          <w:tcPr>
            <w:tcW w:w="160" w:type="dxa"/>
            <w:vAlign w:val="bottom"/>
          </w:tcPr>
          <w:p>
            <w:pPr>
              <w:spacing w:after="0"/>
              <w:rPr>
                <w:sz w:val="11"/>
                <w:szCs w:val="11"/>
                <w:color w:val="auto"/>
              </w:rPr>
            </w:pPr>
          </w:p>
        </w:tc>
        <w:tc>
          <w:tcPr>
            <w:tcW w:w="1020" w:type="dxa"/>
            <w:vAlign w:val="bottom"/>
          </w:tcPr>
          <w:p>
            <w:pPr>
              <w:jc w:val="right"/>
              <w:ind w:right="311"/>
              <w:spacing w:after="0"/>
              <w:rPr>
                <w:sz w:val="20"/>
                <w:szCs w:val="20"/>
                <w:color w:val="auto"/>
              </w:rPr>
            </w:pPr>
            <w:r>
              <w:rPr>
                <w:rFonts w:ascii="Arial" w:cs="Arial" w:eastAsia="Arial" w:hAnsi="Arial"/>
                <w:sz w:val="10"/>
                <w:szCs w:val="10"/>
                <w:color w:val="auto"/>
              </w:rPr>
              <w:t>199,846</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12.95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351"/>
              <w:spacing w:after="0"/>
              <w:rPr>
                <w:sz w:val="20"/>
                <w:szCs w:val="20"/>
                <w:color w:val="auto"/>
              </w:rPr>
            </w:pPr>
            <w:r>
              <w:rPr>
                <w:rFonts w:ascii="Arial" w:cs="Arial" w:eastAsia="Arial" w:hAnsi="Arial"/>
                <w:sz w:val="10"/>
                <w:szCs w:val="10"/>
                <w:color w:val="auto"/>
              </w:rPr>
              <w:t>69,431</w:t>
            </w:r>
          </w:p>
        </w:tc>
        <w:tc>
          <w:tcPr>
            <w:tcW w:w="620" w:type="dxa"/>
            <w:vAlign w:val="bottom"/>
          </w:tcPr>
          <w:p>
            <w:pPr>
              <w:ind w:left="300"/>
              <w:spacing w:after="0"/>
              <w:rPr>
                <w:sz w:val="20"/>
                <w:szCs w:val="20"/>
                <w:color w:val="auto"/>
              </w:rPr>
            </w:pPr>
            <w:r>
              <w:rPr>
                <w:rFonts w:ascii="Arial" w:cs="Arial" w:eastAsia="Arial" w:hAnsi="Arial"/>
                <w:sz w:val="10"/>
                <w:szCs w:val="10"/>
                <w:color w:val="auto"/>
              </w:rPr>
              <w:t>4.50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371"/>
              <w:spacing w:after="0"/>
              <w:rPr>
                <w:sz w:val="20"/>
                <w:szCs w:val="20"/>
                <w:color w:val="auto"/>
              </w:rPr>
            </w:pPr>
            <w:r>
              <w:rPr>
                <w:rFonts w:ascii="Arial" w:cs="Arial" w:eastAsia="Arial" w:hAnsi="Arial"/>
                <w:sz w:val="10"/>
                <w:szCs w:val="10"/>
                <w:color w:val="auto"/>
              </w:rPr>
              <w:t>100,289</w:t>
            </w: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6.50</w:t>
            </w:r>
          </w:p>
        </w:tc>
        <w:tc>
          <w:tcPr>
            <w:tcW w:w="120" w:type="dxa"/>
            <w:vAlign w:val="bottom"/>
          </w:tcPr>
          <w:p>
            <w:pPr>
              <w:spacing w:after="0"/>
              <w:rPr>
                <w:sz w:val="11"/>
                <w:szCs w:val="11"/>
                <w:color w:val="auto"/>
              </w:rPr>
            </w:pPr>
          </w:p>
        </w:tc>
        <w:tc>
          <w:tcPr>
            <w:tcW w:w="1240" w:type="dxa"/>
            <w:vAlign w:val="bottom"/>
          </w:tcPr>
          <w:p>
            <w:pPr>
              <w:jc w:val="right"/>
              <w:ind w:right="391"/>
              <w:spacing w:after="0"/>
              <w:rPr>
                <w:sz w:val="20"/>
                <w:szCs w:val="20"/>
                <w:color w:val="auto"/>
              </w:rPr>
            </w:pPr>
            <w:r>
              <w:rPr>
                <w:rFonts w:ascii="Arial" w:cs="Arial" w:eastAsia="Arial" w:hAnsi="Arial"/>
                <w:sz w:val="10"/>
                <w:szCs w:val="10"/>
                <w:color w:val="auto"/>
              </w:rPr>
              <w:t>108,003</w:t>
            </w:r>
          </w:p>
        </w:tc>
        <w:tc>
          <w:tcPr>
            <w:tcW w:w="420" w:type="dxa"/>
            <w:vAlign w:val="bottom"/>
          </w:tcPr>
          <w:p>
            <w:pPr>
              <w:jc w:val="right"/>
              <w:spacing w:after="0"/>
              <w:rPr>
                <w:sz w:val="20"/>
                <w:szCs w:val="20"/>
                <w:color w:val="auto"/>
              </w:rPr>
            </w:pPr>
            <w:r>
              <w:rPr>
                <w:rFonts w:ascii="Arial" w:cs="Arial" w:eastAsia="Arial" w:hAnsi="Arial"/>
                <w:sz w:val="10"/>
                <w:szCs w:val="10"/>
                <w:color w:val="auto"/>
              </w:rPr>
              <w:t>7.0</w:t>
            </w:r>
          </w:p>
        </w:tc>
      </w:tr>
      <w:tr>
        <w:trPr>
          <w:trHeight w:val="145"/>
        </w:trPr>
        <w:tc>
          <w:tcPr>
            <w:tcW w:w="360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Total capital ratio (to risk-weighted assets)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219,234</w:t>
            </w:r>
          </w:p>
        </w:tc>
        <w:tc>
          <w:tcPr>
            <w:tcW w:w="6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14.21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rPr>
              <w:t>123,432</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8.00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rPr>
              <w:t>154,290</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162,005</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r>
      <w:tr>
        <w:trPr>
          <w:trHeight w:val="170"/>
        </w:trPr>
        <w:tc>
          <w:tcPr>
            <w:tcW w:w="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06"/>
        </w:trPr>
        <w:tc>
          <w:tcPr>
            <w:tcW w:w="3600" w:type="dxa"/>
            <w:vAlign w:val="bottom"/>
            <w:tcBorders>
              <w:left w:val="single" w:sz="8" w:color="CCEEFF"/>
            </w:tcBorders>
            <w:gridSpan w:val="2"/>
            <w:shd w:val="clear" w:color="auto" w:fill="CCEEFF"/>
          </w:tcPr>
          <w:p>
            <w:pPr>
              <w:ind w:left="20"/>
              <w:spacing w:after="0" w:line="106" w:lineRule="exact"/>
              <w:rPr>
                <w:sz w:val="20"/>
                <w:szCs w:val="20"/>
                <w:color w:val="auto"/>
              </w:rPr>
            </w:pPr>
            <w:r>
              <w:rPr>
                <w:rFonts w:ascii="Arial" w:cs="Arial" w:eastAsia="Arial" w:hAnsi="Arial"/>
                <w:sz w:val="10"/>
                <w:szCs w:val="10"/>
                <w:b w:val="1"/>
                <w:bCs w:val="1"/>
                <w:color w:val="auto"/>
              </w:rPr>
              <w:t>December 31, 2021</w:t>
            </w: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r>
      <w:tr>
        <w:trPr>
          <w:trHeight w:val="32"/>
        </w:trPr>
        <w:tc>
          <w:tcPr>
            <w:tcW w:w="900" w:type="dxa"/>
            <w:vAlign w:val="bottom"/>
            <w:tcBorders>
              <w:left w:val="single" w:sz="8" w:color="CCEEFF"/>
            </w:tcBorders>
            <w:shd w:val="clear" w:color="auto" w:fill="000000"/>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r>
        <w:trPr>
          <w:trHeight w:val="134"/>
        </w:trPr>
        <w:tc>
          <w:tcPr>
            <w:tcW w:w="3600" w:type="dxa"/>
            <w:vAlign w:val="bottom"/>
            <w:gridSpan w:val="2"/>
          </w:tcPr>
          <w:p>
            <w:pPr>
              <w:ind w:left="20"/>
              <w:spacing w:after="0"/>
              <w:rPr>
                <w:sz w:val="20"/>
                <w:szCs w:val="20"/>
                <w:color w:val="auto"/>
              </w:rPr>
            </w:pPr>
            <w:r>
              <w:rPr>
                <w:rFonts w:ascii="Arial" w:cs="Arial" w:eastAsia="Arial" w:hAnsi="Arial"/>
                <w:sz w:val="10"/>
                <w:szCs w:val="10"/>
                <w:b w:val="1"/>
                <w:bCs w:val="1"/>
                <w:color w:val="auto"/>
              </w:rPr>
              <w:t>The Company</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2"/>
        </w:trPr>
        <w:tc>
          <w:tcPr>
            <w:tcW w:w="360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Tier 1 leverage ratio (to average assets)</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201,040</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9.73 %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rPr>
              <w:t>82,683</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w w:val="96"/>
              </w:rPr>
              <w:t>4.00 %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71"/>
              <w:spacing w:after="0"/>
              <w:rPr>
                <w:sz w:val="20"/>
                <w:szCs w:val="20"/>
                <w:color w:val="auto"/>
              </w:rPr>
            </w:pPr>
            <w:r>
              <w:rPr>
                <w:rFonts w:ascii="Arial" w:cs="Arial" w:eastAsia="Arial" w:hAnsi="Arial"/>
                <w:sz w:val="10"/>
                <w:szCs w:val="10"/>
                <w:color w:val="auto"/>
              </w:rPr>
              <w:t>N/A</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0"/>
                <w:szCs w:val="10"/>
                <w:color w:val="auto"/>
              </w:rPr>
              <w:t>N/A</w:t>
            </w:r>
          </w:p>
        </w:tc>
        <w:tc>
          <w:tcPr>
            <w:tcW w:w="1240" w:type="dxa"/>
            <w:vAlign w:val="bottom"/>
            <w:shd w:val="clear" w:color="auto" w:fill="CCEEFF"/>
          </w:tcPr>
          <w:p>
            <w:pPr>
              <w:jc w:val="right"/>
              <w:ind w:right="691"/>
              <w:spacing w:after="0"/>
              <w:rPr>
                <w:sz w:val="20"/>
                <w:szCs w:val="20"/>
                <w:color w:val="auto"/>
              </w:rPr>
            </w:pPr>
            <w:r>
              <w:rPr>
                <w:rFonts w:ascii="Arial" w:cs="Arial" w:eastAsia="Arial" w:hAnsi="Arial"/>
                <w:sz w:val="10"/>
                <w:szCs w:val="10"/>
                <w:color w:val="auto"/>
              </w:rPr>
              <w:t>N/A</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N/A</w:t>
            </w:r>
          </w:p>
        </w:tc>
      </w:tr>
      <w:tr>
        <w:trPr>
          <w:trHeight w:val="131"/>
        </w:trPr>
        <w:tc>
          <w:tcPr>
            <w:tcW w:w="3600" w:type="dxa"/>
            <w:vAlign w:val="bottom"/>
            <w:gridSpan w:val="2"/>
          </w:tcPr>
          <w:p>
            <w:pPr>
              <w:ind w:left="100"/>
              <w:spacing w:after="0"/>
              <w:rPr>
                <w:sz w:val="20"/>
                <w:szCs w:val="20"/>
                <w:color w:val="auto"/>
              </w:rPr>
            </w:pPr>
            <w:r>
              <w:rPr>
                <w:rFonts w:ascii="Arial" w:cs="Arial" w:eastAsia="Arial" w:hAnsi="Arial"/>
                <w:sz w:val="10"/>
                <w:szCs w:val="10"/>
                <w:color w:val="auto"/>
              </w:rPr>
              <w:t>Tier 1 capital (to risk-weighted assets)</w:t>
            </w:r>
          </w:p>
        </w:tc>
        <w:tc>
          <w:tcPr>
            <w:tcW w:w="160" w:type="dxa"/>
            <w:vAlign w:val="bottom"/>
          </w:tcPr>
          <w:p>
            <w:pPr>
              <w:spacing w:after="0"/>
              <w:rPr>
                <w:sz w:val="11"/>
                <w:szCs w:val="11"/>
                <w:color w:val="auto"/>
              </w:rPr>
            </w:pPr>
          </w:p>
        </w:tc>
        <w:tc>
          <w:tcPr>
            <w:tcW w:w="1020" w:type="dxa"/>
            <w:vAlign w:val="bottom"/>
          </w:tcPr>
          <w:p>
            <w:pPr>
              <w:jc w:val="right"/>
              <w:ind w:right="311"/>
              <w:spacing w:after="0"/>
              <w:rPr>
                <w:sz w:val="20"/>
                <w:szCs w:val="20"/>
                <w:color w:val="auto"/>
              </w:rPr>
            </w:pPr>
            <w:r>
              <w:rPr>
                <w:rFonts w:ascii="Arial" w:cs="Arial" w:eastAsia="Arial" w:hAnsi="Arial"/>
                <w:sz w:val="10"/>
                <w:szCs w:val="10"/>
                <w:color w:val="auto"/>
              </w:rPr>
              <w:t>201,040</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14.43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351"/>
              <w:spacing w:after="0"/>
              <w:rPr>
                <w:sz w:val="20"/>
                <w:szCs w:val="20"/>
                <w:color w:val="auto"/>
              </w:rPr>
            </w:pPr>
            <w:r>
              <w:rPr>
                <w:rFonts w:ascii="Arial" w:cs="Arial" w:eastAsia="Arial" w:hAnsi="Arial"/>
                <w:sz w:val="10"/>
                <w:szCs w:val="10"/>
                <w:color w:val="auto"/>
              </w:rPr>
              <w:t>83,596</w:t>
            </w:r>
          </w:p>
        </w:tc>
        <w:tc>
          <w:tcPr>
            <w:tcW w:w="620" w:type="dxa"/>
            <w:vAlign w:val="bottom"/>
          </w:tcPr>
          <w:p>
            <w:pPr>
              <w:ind w:left="300"/>
              <w:spacing w:after="0"/>
              <w:rPr>
                <w:sz w:val="20"/>
                <w:szCs w:val="20"/>
                <w:color w:val="auto"/>
              </w:rPr>
            </w:pPr>
            <w:r>
              <w:rPr>
                <w:rFonts w:ascii="Arial" w:cs="Arial" w:eastAsia="Arial" w:hAnsi="Arial"/>
                <w:sz w:val="10"/>
                <w:szCs w:val="10"/>
                <w:color w:val="auto"/>
              </w:rPr>
              <w:t>6.00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671"/>
              <w:spacing w:after="0"/>
              <w:rPr>
                <w:sz w:val="20"/>
                <w:szCs w:val="20"/>
                <w:color w:val="auto"/>
              </w:rPr>
            </w:pPr>
            <w:r>
              <w:rPr>
                <w:rFonts w:ascii="Arial" w:cs="Arial" w:eastAsia="Arial" w:hAnsi="Arial"/>
                <w:sz w:val="10"/>
                <w:szCs w:val="10"/>
                <w:color w:val="auto"/>
              </w:rPr>
              <w:t>N/A</w:t>
            </w:r>
          </w:p>
        </w:tc>
        <w:tc>
          <w:tcPr>
            <w:tcW w:w="720" w:type="dxa"/>
            <w:vAlign w:val="bottom"/>
            <w:gridSpan w:val="2"/>
          </w:tcPr>
          <w:p>
            <w:pPr>
              <w:jc w:val="center"/>
              <w:ind w:right="380"/>
              <w:spacing w:after="0"/>
              <w:rPr>
                <w:sz w:val="20"/>
                <w:szCs w:val="20"/>
                <w:color w:val="auto"/>
              </w:rPr>
            </w:pPr>
            <w:r>
              <w:rPr>
                <w:rFonts w:ascii="Arial" w:cs="Arial" w:eastAsia="Arial" w:hAnsi="Arial"/>
                <w:sz w:val="10"/>
                <w:szCs w:val="10"/>
                <w:color w:val="auto"/>
              </w:rPr>
              <w:t>N/A</w:t>
            </w:r>
          </w:p>
        </w:tc>
        <w:tc>
          <w:tcPr>
            <w:tcW w:w="1240" w:type="dxa"/>
            <w:vAlign w:val="bottom"/>
          </w:tcPr>
          <w:p>
            <w:pPr>
              <w:jc w:val="right"/>
              <w:ind w:right="391"/>
              <w:spacing w:after="0"/>
              <w:rPr>
                <w:sz w:val="20"/>
                <w:szCs w:val="20"/>
                <w:color w:val="auto"/>
              </w:rPr>
            </w:pPr>
            <w:r>
              <w:rPr>
                <w:rFonts w:ascii="Arial" w:cs="Arial" w:eastAsia="Arial" w:hAnsi="Arial"/>
                <w:sz w:val="10"/>
                <w:szCs w:val="10"/>
                <w:color w:val="auto"/>
              </w:rPr>
              <w:t>118,428</w:t>
            </w:r>
          </w:p>
        </w:tc>
        <w:tc>
          <w:tcPr>
            <w:tcW w:w="420" w:type="dxa"/>
            <w:vAlign w:val="bottom"/>
          </w:tcPr>
          <w:p>
            <w:pPr>
              <w:jc w:val="right"/>
              <w:spacing w:after="0"/>
              <w:rPr>
                <w:sz w:val="20"/>
                <w:szCs w:val="20"/>
                <w:color w:val="auto"/>
              </w:rPr>
            </w:pPr>
            <w:r>
              <w:rPr>
                <w:rFonts w:ascii="Arial" w:cs="Arial" w:eastAsia="Arial" w:hAnsi="Arial"/>
                <w:sz w:val="10"/>
                <w:szCs w:val="10"/>
                <w:color w:val="auto"/>
              </w:rPr>
              <w:t>8.5</w:t>
            </w:r>
          </w:p>
        </w:tc>
      </w:tr>
      <w:tr>
        <w:trPr>
          <w:trHeight w:val="145"/>
        </w:trPr>
        <w:tc>
          <w:tcPr>
            <w:tcW w:w="360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Common equity tier 1 capital ratio (to risk-weighted assets)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198,978</w:t>
            </w:r>
          </w:p>
        </w:tc>
        <w:tc>
          <w:tcPr>
            <w:tcW w:w="6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14.28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rPr>
              <w:t>62,697</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4.50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71"/>
              <w:spacing w:after="0"/>
              <w:rPr>
                <w:sz w:val="20"/>
                <w:szCs w:val="20"/>
                <w:color w:val="auto"/>
              </w:rPr>
            </w:pPr>
            <w:r>
              <w:rPr>
                <w:rFonts w:ascii="Arial" w:cs="Arial" w:eastAsia="Arial" w:hAnsi="Arial"/>
                <w:sz w:val="10"/>
                <w:szCs w:val="10"/>
                <w:color w:val="auto"/>
              </w:rPr>
              <w:t>N/A</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0"/>
                <w:szCs w:val="10"/>
                <w:color w:val="auto"/>
              </w:rPr>
              <w:t>N/A</w:t>
            </w:r>
          </w:p>
        </w:tc>
        <w:tc>
          <w:tcPr>
            <w:tcW w:w="124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97,529</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w:t>
            </w:r>
          </w:p>
        </w:tc>
      </w:tr>
      <w:tr>
        <w:trPr>
          <w:trHeight w:val="131"/>
        </w:trPr>
        <w:tc>
          <w:tcPr>
            <w:tcW w:w="3600" w:type="dxa"/>
            <w:vAlign w:val="bottom"/>
            <w:gridSpan w:val="2"/>
          </w:tcPr>
          <w:p>
            <w:pPr>
              <w:ind w:left="100"/>
              <w:spacing w:after="0"/>
              <w:rPr>
                <w:sz w:val="20"/>
                <w:szCs w:val="20"/>
                <w:color w:val="auto"/>
              </w:rPr>
            </w:pPr>
            <w:r>
              <w:rPr>
                <w:rFonts w:ascii="Arial" w:cs="Arial" w:eastAsia="Arial" w:hAnsi="Arial"/>
                <w:sz w:val="10"/>
                <w:szCs w:val="10"/>
                <w:color w:val="auto"/>
              </w:rPr>
              <w:t>Total capital ratio (to risk-weighted assets)</w:t>
            </w:r>
          </w:p>
        </w:tc>
        <w:tc>
          <w:tcPr>
            <w:tcW w:w="160" w:type="dxa"/>
            <w:vAlign w:val="bottom"/>
          </w:tcPr>
          <w:p>
            <w:pPr>
              <w:spacing w:after="0"/>
              <w:rPr>
                <w:sz w:val="11"/>
                <w:szCs w:val="11"/>
                <w:color w:val="auto"/>
              </w:rPr>
            </w:pPr>
          </w:p>
        </w:tc>
        <w:tc>
          <w:tcPr>
            <w:tcW w:w="1020" w:type="dxa"/>
            <w:vAlign w:val="bottom"/>
          </w:tcPr>
          <w:p>
            <w:pPr>
              <w:jc w:val="right"/>
              <w:ind w:right="311"/>
              <w:spacing w:after="0"/>
              <w:rPr>
                <w:sz w:val="20"/>
                <w:szCs w:val="20"/>
                <w:color w:val="auto"/>
              </w:rPr>
            </w:pPr>
            <w:r>
              <w:rPr>
                <w:rFonts w:ascii="Arial" w:cs="Arial" w:eastAsia="Arial" w:hAnsi="Arial"/>
                <w:sz w:val="10"/>
                <w:szCs w:val="10"/>
                <w:color w:val="auto"/>
              </w:rPr>
              <w:t>228,574</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16.41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351"/>
              <w:spacing w:after="0"/>
              <w:rPr>
                <w:sz w:val="20"/>
                <w:szCs w:val="20"/>
                <w:color w:val="auto"/>
              </w:rPr>
            </w:pPr>
            <w:r>
              <w:rPr>
                <w:rFonts w:ascii="Arial" w:cs="Arial" w:eastAsia="Arial" w:hAnsi="Arial"/>
                <w:sz w:val="10"/>
                <w:szCs w:val="10"/>
                <w:color w:val="auto"/>
              </w:rPr>
              <w:t>111,462</w:t>
            </w:r>
          </w:p>
        </w:tc>
        <w:tc>
          <w:tcPr>
            <w:tcW w:w="620" w:type="dxa"/>
            <w:vAlign w:val="bottom"/>
          </w:tcPr>
          <w:p>
            <w:pPr>
              <w:ind w:left="300"/>
              <w:spacing w:after="0"/>
              <w:rPr>
                <w:sz w:val="20"/>
                <w:szCs w:val="20"/>
                <w:color w:val="auto"/>
              </w:rPr>
            </w:pPr>
            <w:r>
              <w:rPr>
                <w:rFonts w:ascii="Arial" w:cs="Arial" w:eastAsia="Arial" w:hAnsi="Arial"/>
                <w:sz w:val="10"/>
                <w:szCs w:val="10"/>
                <w:color w:val="auto"/>
              </w:rPr>
              <w:t>8.00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671"/>
              <w:spacing w:after="0"/>
              <w:rPr>
                <w:sz w:val="20"/>
                <w:szCs w:val="20"/>
                <w:color w:val="auto"/>
              </w:rPr>
            </w:pPr>
            <w:r>
              <w:rPr>
                <w:rFonts w:ascii="Arial" w:cs="Arial" w:eastAsia="Arial" w:hAnsi="Arial"/>
                <w:sz w:val="10"/>
                <w:szCs w:val="10"/>
                <w:color w:val="auto"/>
              </w:rPr>
              <w:t>N/A</w:t>
            </w:r>
          </w:p>
        </w:tc>
        <w:tc>
          <w:tcPr>
            <w:tcW w:w="720" w:type="dxa"/>
            <w:vAlign w:val="bottom"/>
            <w:gridSpan w:val="2"/>
          </w:tcPr>
          <w:p>
            <w:pPr>
              <w:jc w:val="center"/>
              <w:ind w:right="380"/>
              <w:spacing w:after="0"/>
              <w:rPr>
                <w:sz w:val="20"/>
                <w:szCs w:val="20"/>
                <w:color w:val="auto"/>
              </w:rPr>
            </w:pPr>
            <w:r>
              <w:rPr>
                <w:rFonts w:ascii="Arial" w:cs="Arial" w:eastAsia="Arial" w:hAnsi="Arial"/>
                <w:sz w:val="10"/>
                <w:szCs w:val="10"/>
                <w:color w:val="auto"/>
              </w:rPr>
              <w:t>N/A</w:t>
            </w:r>
          </w:p>
        </w:tc>
        <w:tc>
          <w:tcPr>
            <w:tcW w:w="1240" w:type="dxa"/>
            <w:vAlign w:val="bottom"/>
          </w:tcPr>
          <w:p>
            <w:pPr>
              <w:jc w:val="right"/>
              <w:ind w:right="391"/>
              <w:spacing w:after="0"/>
              <w:rPr>
                <w:sz w:val="20"/>
                <w:szCs w:val="20"/>
                <w:color w:val="auto"/>
              </w:rPr>
            </w:pPr>
            <w:r>
              <w:rPr>
                <w:rFonts w:ascii="Arial" w:cs="Arial" w:eastAsia="Arial" w:hAnsi="Arial"/>
                <w:sz w:val="10"/>
                <w:szCs w:val="10"/>
                <w:color w:val="auto"/>
              </w:rPr>
              <w:t>146,294</w:t>
            </w:r>
          </w:p>
        </w:tc>
        <w:tc>
          <w:tcPr>
            <w:tcW w:w="420" w:type="dxa"/>
            <w:vAlign w:val="bottom"/>
          </w:tcPr>
          <w:p>
            <w:pPr>
              <w:jc w:val="right"/>
              <w:spacing w:after="0"/>
              <w:rPr>
                <w:sz w:val="20"/>
                <w:szCs w:val="20"/>
                <w:color w:val="auto"/>
              </w:rPr>
            </w:pPr>
            <w:r>
              <w:rPr>
                <w:rFonts w:ascii="Arial" w:cs="Arial" w:eastAsia="Arial" w:hAnsi="Arial"/>
                <w:sz w:val="10"/>
                <w:szCs w:val="10"/>
                <w:color w:val="auto"/>
              </w:rPr>
              <w:t>10.5</w:t>
            </w:r>
          </w:p>
        </w:tc>
      </w:tr>
      <w:tr>
        <w:trPr>
          <w:trHeight w:val="177"/>
        </w:trPr>
        <w:tc>
          <w:tcPr>
            <w:tcW w:w="900" w:type="dxa"/>
            <w:vAlign w:val="bottom"/>
            <w:tcBorders>
              <w:left w:val="single" w:sz="8" w:color="CCEEFF"/>
            </w:tcBorders>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r>
      <w:tr>
        <w:trPr>
          <w:trHeight w:val="131"/>
        </w:trPr>
        <w:tc>
          <w:tcPr>
            <w:tcW w:w="3600" w:type="dxa"/>
            <w:vAlign w:val="bottom"/>
            <w:gridSpan w:val="2"/>
          </w:tcPr>
          <w:p>
            <w:pPr>
              <w:ind w:left="20"/>
              <w:spacing w:after="0"/>
              <w:rPr>
                <w:sz w:val="20"/>
                <w:szCs w:val="20"/>
                <w:color w:val="auto"/>
              </w:rPr>
            </w:pPr>
            <w:r>
              <w:rPr>
                <w:rFonts w:ascii="Arial" w:cs="Arial" w:eastAsia="Arial" w:hAnsi="Arial"/>
                <w:sz w:val="10"/>
                <w:szCs w:val="10"/>
                <w:color w:val="auto"/>
              </w:rPr>
              <w:t>The Bank</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5"/>
        </w:trPr>
        <w:tc>
          <w:tcPr>
            <w:tcW w:w="360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Tier 1 leverage ratio (to average assets)</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169,384</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8.36 %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rPr>
              <w:t>81,070</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w w:val="96"/>
              </w:rPr>
              <w:t>4.00 %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rPr>
              <w:t>101,338</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5.00 %</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691"/>
              <w:spacing w:after="0"/>
              <w:rPr>
                <w:sz w:val="20"/>
                <w:szCs w:val="20"/>
                <w:color w:val="auto"/>
              </w:rPr>
            </w:pPr>
            <w:r>
              <w:rPr>
                <w:rFonts w:ascii="Arial" w:cs="Arial" w:eastAsia="Arial" w:hAnsi="Arial"/>
                <w:sz w:val="10"/>
                <w:szCs w:val="10"/>
                <w:color w:val="auto"/>
              </w:rPr>
              <w:t>N/A</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N/A</w:t>
            </w:r>
          </w:p>
        </w:tc>
      </w:tr>
      <w:tr>
        <w:trPr>
          <w:trHeight w:val="131"/>
        </w:trPr>
        <w:tc>
          <w:tcPr>
            <w:tcW w:w="3600" w:type="dxa"/>
            <w:vAlign w:val="bottom"/>
            <w:gridSpan w:val="2"/>
          </w:tcPr>
          <w:p>
            <w:pPr>
              <w:ind w:left="100"/>
              <w:spacing w:after="0"/>
              <w:rPr>
                <w:sz w:val="20"/>
                <w:szCs w:val="20"/>
                <w:color w:val="auto"/>
              </w:rPr>
            </w:pPr>
            <w:r>
              <w:rPr>
                <w:rFonts w:ascii="Arial" w:cs="Arial" w:eastAsia="Arial" w:hAnsi="Arial"/>
                <w:sz w:val="10"/>
                <w:szCs w:val="10"/>
                <w:color w:val="auto"/>
              </w:rPr>
              <w:t>Tier 1 capital (to risk-weighted assets)</w:t>
            </w:r>
          </w:p>
        </w:tc>
        <w:tc>
          <w:tcPr>
            <w:tcW w:w="160" w:type="dxa"/>
            <w:vAlign w:val="bottom"/>
          </w:tcPr>
          <w:p>
            <w:pPr>
              <w:spacing w:after="0"/>
              <w:rPr>
                <w:sz w:val="11"/>
                <w:szCs w:val="11"/>
                <w:color w:val="auto"/>
              </w:rPr>
            </w:pPr>
          </w:p>
        </w:tc>
        <w:tc>
          <w:tcPr>
            <w:tcW w:w="1020" w:type="dxa"/>
            <w:vAlign w:val="bottom"/>
          </w:tcPr>
          <w:p>
            <w:pPr>
              <w:jc w:val="right"/>
              <w:ind w:right="311"/>
              <w:spacing w:after="0"/>
              <w:rPr>
                <w:sz w:val="20"/>
                <w:szCs w:val="20"/>
                <w:color w:val="auto"/>
              </w:rPr>
            </w:pPr>
            <w:r>
              <w:rPr>
                <w:rFonts w:ascii="Arial" w:cs="Arial" w:eastAsia="Arial" w:hAnsi="Arial"/>
                <w:sz w:val="10"/>
                <w:szCs w:val="10"/>
                <w:color w:val="auto"/>
              </w:rPr>
              <w:t>169,384</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12.53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351"/>
              <w:spacing w:after="0"/>
              <w:rPr>
                <w:sz w:val="20"/>
                <w:szCs w:val="20"/>
                <w:color w:val="auto"/>
              </w:rPr>
            </w:pPr>
            <w:r>
              <w:rPr>
                <w:rFonts w:ascii="Arial" w:cs="Arial" w:eastAsia="Arial" w:hAnsi="Arial"/>
                <w:sz w:val="10"/>
                <w:szCs w:val="10"/>
                <w:color w:val="auto"/>
              </w:rPr>
              <w:t>81,097</w:t>
            </w:r>
          </w:p>
        </w:tc>
        <w:tc>
          <w:tcPr>
            <w:tcW w:w="620" w:type="dxa"/>
            <w:vAlign w:val="bottom"/>
          </w:tcPr>
          <w:p>
            <w:pPr>
              <w:ind w:left="300"/>
              <w:spacing w:after="0"/>
              <w:rPr>
                <w:sz w:val="20"/>
                <w:szCs w:val="20"/>
                <w:color w:val="auto"/>
              </w:rPr>
            </w:pPr>
            <w:r>
              <w:rPr>
                <w:rFonts w:ascii="Arial" w:cs="Arial" w:eastAsia="Arial" w:hAnsi="Arial"/>
                <w:sz w:val="10"/>
                <w:szCs w:val="10"/>
                <w:color w:val="auto"/>
              </w:rPr>
              <w:t>6.00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371"/>
              <w:spacing w:after="0"/>
              <w:rPr>
                <w:sz w:val="20"/>
                <w:szCs w:val="20"/>
                <w:color w:val="auto"/>
              </w:rPr>
            </w:pPr>
            <w:r>
              <w:rPr>
                <w:rFonts w:ascii="Arial" w:cs="Arial" w:eastAsia="Arial" w:hAnsi="Arial"/>
                <w:sz w:val="10"/>
                <w:szCs w:val="10"/>
                <w:color w:val="auto"/>
              </w:rPr>
              <w:t>108,130</w:t>
            </w: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8.00</w:t>
            </w:r>
          </w:p>
        </w:tc>
        <w:tc>
          <w:tcPr>
            <w:tcW w:w="120" w:type="dxa"/>
            <w:vAlign w:val="bottom"/>
          </w:tcPr>
          <w:p>
            <w:pPr>
              <w:spacing w:after="0"/>
              <w:rPr>
                <w:sz w:val="11"/>
                <w:szCs w:val="11"/>
                <w:color w:val="auto"/>
              </w:rPr>
            </w:pPr>
          </w:p>
        </w:tc>
        <w:tc>
          <w:tcPr>
            <w:tcW w:w="1240" w:type="dxa"/>
            <w:vAlign w:val="bottom"/>
          </w:tcPr>
          <w:p>
            <w:pPr>
              <w:jc w:val="right"/>
              <w:ind w:right="391"/>
              <w:spacing w:after="0"/>
              <w:rPr>
                <w:sz w:val="20"/>
                <w:szCs w:val="20"/>
                <w:color w:val="auto"/>
              </w:rPr>
            </w:pPr>
            <w:r>
              <w:rPr>
                <w:rFonts w:ascii="Arial" w:cs="Arial" w:eastAsia="Arial" w:hAnsi="Arial"/>
                <w:sz w:val="10"/>
                <w:szCs w:val="10"/>
                <w:color w:val="auto"/>
              </w:rPr>
              <w:t>114,888</w:t>
            </w:r>
          </w:p>
        </w:tc>
        <w:tc>
          <w:tcPr>
            <w:tcW w:w="420" w:type="dxa"/>
            <w:vAlign w:val="bottom"/>
          </w:tcPr>
          <w:p>
            <w:pPr>
              <w:jc w:val="right"/>
              <w:spacing w:after="0"/>
              <w:rPr>
                <w:sz w:val="20"/>
                <w:szCs w:val="20"/>
                <w:color w:val="auto"/>
              </w:rPr>
            </w:pPr>
            <w:r>
              <w:rPr>
                <w:rFonts w:ascii="Arial" w:cs="Arial" w:eastAsia="Arial" w:hAnsi="Arial"/>
                <w:sz w:val="10"/>
                <w:szCs w:val="10"/>
                <w:color w:val="auto"/>
              </w:rPr>
              <w:t>8.5</w:t>
            </w:r>
          </w:p>
        </w:tc>
      </w:tr>
      <w:tr>
        <w:trPr>
          <w:trHeight w:val="145"/>
        </w:trPr>
        <w:tc>
          <w:tcPr>
            <w:tcW w:w="360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Common equity tier 1 capital ratio (to risk-weighted assets)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rPr>
              <w:t>169,384</w:t>
            </w:r>
          </w:p>
        </w:tc>
        <w:tc>
          <w:tcPr>
            <w:tcW w:w="6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12.53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rPr>
              <w:t>60,823</w:t>
            </w:r>
          </w:p>
        </w:tc>
        <w:tc>
          <w:tcPr>
            <w:tcW w:w="6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4.50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rPr>
              <w:t>87,856</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6.50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rPr>
              <w:t>94,614</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w:t>
            </w:r>
          </w:p>
        </w:tc>
      </w:tr>
      <w:tr>
        <w:trPr>
          <w:trHeight w:val="123"/>
        </w:trPr>
        <w:tc>
          <w:tcPr>
            <w:tcW w:w="3600" w:type="dxa"/>
            <w:vAlign w:val="bottom"/>
            <w:gridSpan w:val="2"/>
          </w:tcPr>
          <w:p>
            <w:pPr>
              <w:ind w:left="100"/>
              <w:spacing w:after="0"/>
              <w:rPr>
                <w:sz w:val="20"/>
                <w:szCs w:val="20"/>
                <w:color w:val="auto"/>
              </w:rPr>
            </w:pPr>
            <w:r>
              <w:rPr>
                <w:rFonts w:ascii="Arial" w:cs="Arial" w:eastAsia="Arial" w:hAnsi="Arial"/>
                <w:sz w:val="10"/>
                <w:szCs w:val="10"/>
                <w:color w:val="auto"/>
              </w:rPr>
              <w:t>Total capital ratio (to risk-weighted assets)</w:t>
            </w:r>
          </w:p>
        </w:tc>
        <w:tc>
          <w:tcPr>
            <w:tcW w:w="160" w:type="dxa"/>
            <w:vAlign w:val="bottom"/>
          </w:tcPr>
          <w:p>
            <w:pPr>
              <w:spacing w:after="0"/>
              <w:rPr>
                <w:sz w:val="10"/>
                <w:szCs w:val="10"/>
                <w:color w:val="auto"/>
              </w:rPr>
            </w:pPr>
          </w:p>
        </w:tc>
        <w:tc>
          <w:tcPr>
            <w:tcW w:w="1020" w:type="dxa"/>
            <w:vAlign w:val="bottom"/>
          </w:tcPr>
          <w:p>
            <w:pPr>
              <w:jc w:val="right"/>
              <w:ind w:right="311"/>
              <w:spacing w:after="0"/>
              <w:rPr>
                <w:sz w:val="20"/>
                <w:szCs w:val="20"/>
                <w:color w:val="auto"/>
              </w:rPr>
            </w:pPr>
            <w:r>
              <w:rPr>
                <w:rFonts w:ascii="Arial" w:cs="Arial" w:eastAsia="Arial" w:hAnsi="Arial"/>
                <w:sz w:val="10"/>
                <w:szCs w:val="10"/>
                <w:color w:val="auto"/>
              </w:rPr>
              <w:t>186,397</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13.79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right"/>
              <w:ind w:right="351"/>
              <w:spacing w:after="0"/>
              <w:rPr>
                <w:sz w:val="20"/>
                <w:szCs w:val="20"/>
                <w:color w:val="auto"/>
              </w:rPr>
            </w:pPr>
            <w:r>
              <w:rPr>
                <w:rFonts w:ascii="Arial" w:cs="Arial" w:eastAsia="Arial" w:hAnsi="Arial"/>
                <w:sz w:val="10"/>
                <w:szCs w:val="10"/>
                <w:color w:val="auto"/>
              </w:rPr>
              <w:t>108,130</w:t>
            </w:r>
          </w:p>
        </w:tc>
        <w:tc>
          <w:tcPr>
            <w:tcW w:w="620" w:type="dxa"/>
            <w:vAlign w:val="bottom"/>
          </w:tcPr>
          <w:p>
            <w:pPr>
              <w:ind w:left="300"/>
              <w:spacing w:after="0"/>
              <w:rPr>
                <w:sz w:val="20"/>
                <w:szCs w:val="20"/>
                <w:color w:val="auto"/>
              </w:rPr>
            </w:pPr>
            <w:r>
              <w:rPr>
                <w:rFonts w:ascii="Arial" w:cs="Arial" w:eastAsia="Arial" w:hAnsi="Arial"/>
                <w:sz w:val="10"/>
                <w:szCs w:val="10"/>
                <w:color w:val="auto"/>
              </w:rPr>
              <w:t>8.00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ind w:right="371"/>
              <w:spacing w:after="0"/>
              <w:rPr>
                <w:sz w:val="20"/>
                <w:szCs w:val="20"/>
                <w:color w:val="auto"/>
              </w:rPr>
            </w:pPr>
            <w:r>
              <w:rPr>
                <w:rFonts w:ascii="Arial" w:cs="Arial" w:eastAsia="Arial" w:hAnsi="Arial"/>
                <w:sz w:val="10"/>
                <w:szCs w:val="10"/>
                <w:color w:val="auto"/>
              </w:rPr>
              <w:t>135,162</w:t>
            </w: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10.00</w:t>
            </w:r>
          </w:p>
        </w:tc>
        <w:tc>
          <w:tcPr>
            <w:tcW w:w="120" w:type="dxa"/>
            <w:vAlign w:val="bottom"/>
          </w:tcPr>
          <w:p>
            <w:pPr>
              <w:spacing w:after="0"/>
              <w:rPr>
                <w:sz w:val="10"/>
                <w:szCs w:val="10"/>
                <w:color w:val="auto"/>
              </w:rPr>
            </w:pPr>
          </w:p>
        </w:tc>
        <w:tc>
          <w:tcPr>
            <w:tcW w:w="1240" w:type="dxa"/>
            <w:vAlign w:val="bottom"/>
          </w:tcPr>
          <w:p>
            <w:pPr>
              <w:jc w:val="right"/>
              <w:ind w:right="391"/>
              <w:spacing w:after="0"/>
              <w:rPr>
                <w:sz w:val="20"/>
                <w:szCs w:val="20"/>
                <w:color w:val="auto"/>
              </w:rPr>
            </w:pPr>
            <w:r>
              <w:rPr>
                <w:rFonts w:ascii="Arial" w:cs="Arial" w:eastAsia="Arial" w:hAnsi="Arial"/>
                <w:sz w:val="10"/>
                <w:szCs w:val="10"/>
                <w:color w:val="auto"/>
              </w:rPr>
              <w:t>141,921</w:t>
            </w:r>
          </w:p>
        </w:tc>
        <w:tc>
          <w:tcPr>
            <w:tcW w:w="420" w:type="dxa"/>
            <w:vAlign w:val="bottom"/>
          </w:tcPr>
          <w:p>
            <w:pPr>
              <w:jc w:val="right"/>
              <w:spacing w:after="0"/>
              <w:rPr>
                <w:sz w:val="20"/>
                <w:szCs w:val="20"/>
                <w:color w:val="auto"/>
              </w:rPr>
            </w:pPr>
            <w:r>
              <w:rPr>
                <w:rFonts w:ascii="Arial" w:cs="Arial" w:eastAsia="Arial" w:hAnsi="Arial"/>
                <w:sz w:val="10"/>
                <w:szCs w:val="10"/>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201930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560" w:top="1327" w:right="239" w:bottom="1440" w:gutter="0" w:footer="0" w:header="0"/>
        </w:sectPr>
      </w:pPr>
    </w:p>
    <w:bookmarkStart w:id="51" w:name="page52"/>
    <w:bookmarkEnd w:id="51"/>
    <w:p>
      <w:pPr>
        <w:ind w:left="260"/>
        <w:spacing w:after="0"/>
        <w:rPr>
          <w:sz w:val="20"/>
          <w:szCs w:val="20"/>
          <w:color w:val="auto"/>
        </w:rPr>
      </w:pPr>
      <w:r>
        <w:rPr>
          <w:rFonts w:ascii="Arial" w:cs="Arial" w:eastAsia="Arial" w:hAnsi="Arial"/>
          <w:sz w:val="14"/>
          <w:szCs w:val="14"/>
          <w:b w:val="1"/>
          <w:bCs w:val="1"/>
          <w:color w:val="auto"/>
        </w:rPr>
        <w:t>Contractual Obligations</w:t>
      </w:r>
    </w:p>
    <w:p>
      <w:pPr>
        <w:spacing w:after="0" w:line="197"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We have contractual obligations to make future payments on debt and lease agreements. Our liquidity monitoring and management consider both present and future demands for and sources of liquidity. The following table of contractual commitments focuses only on future obligations and summarizes our contractual obligations as of December 31, 2022.</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080" w:type="dxa"/>
            <w:vAlign w:val="bottom"/>
          </w:tcPr>
          <w:p>
            <w:pPr>
              <w:spacing w:after="0"/>
              <w:rPr>
                <w:sz w:val="10"/>
                <w:szCs w:val="10"/>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Due in One Year or Less</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Due After One Through</w:t>
            </w:r>
          </w:p>
        </w:tc>
        <w:tc>
          <w:tcPr>
            <w:tcW w:w="100" w:type="dxa"/>
            <w:vAlign w:val="bottom"/>
          </w:tcPr>
          <w:p>
            <w:pPr>
              <w:spacing w:after="0"/>
              <w:rPr>
                <w:sz w:val="10"/>
                <w:szCs w:val="10"/>
                <w:color w:val="auto"/>
              </w:rPr>
            </w:pPr>
          </w:p>
        </w:tc>
        <w:tc>
          <w:tcPr>
            <w:tcW w:w="1580" w:type="dxa"/>
            <w:vAlign w:val="bottom"/>
            <w:gridSpan w:val="2"/>
          </w:tcPr>
          <w:p>
            <w:pPr>
              <w:ind w:left="20"/>
              <w:spacing w:after="0"/>
              <w:rPr>
                <w:sz w:val="20"/>
                <w:szCs w:val="20"/>
                <w:color w:val="auto"/>
              </w:rPr>
            </w:pPr>
            <w:r>
              <w:rPr>
                <w:rFonts w:ascii="Arial" w:cs="Arial" w:eastAsia="Arial" w:hAnsi="Arial"/>
                <w:sz w:val="11"/>
                <w:szCs w:val="11"/>
                <w:b w:val="1"/>
                <w:bCs w:val="1"/>
                <w:color w:val="auto"/>
              </w:rPr>
              <w:t>Due After Three Through</w:t>
            </w:r>
          </w:p>
        </w:tc>
        <w:tc>
          <w:tcPr>
            <w:tcW w:w="80" w:type="dxa"/>
            <w:vAlign w:val="bottom"/>
          </w:tcPr>
          <w:p>
            <w:pPr>
              <w:spacing w:after="0"/>
              <w:rPr>
                <w:sz w:val="10"/>
                <w:szCs w:val="10"/>
                <w:color w:val="auto"/>
              </w:rPr>
            </w:pPr>
          </w:p>
        </w:tc>
        <w:tc>
          <w:tcPr>
            <w:tcW w:w="106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Due After 5 Years</w:t>
            </w:r>
          </w:p>
        </w:tc>
        <w:tc>
          <w:tcPr>
            <w:tcW w:w="1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jc w:val="right"/>
              <w:ind w:right="42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4080" w:type="dxa"/>
            <w:vAlign w:val="bottom"/>
            <w:tcBorders>
              <w:bottom w:val="single" w:sz="8" w:color="CCEEFF"/>
            </w:tcBorders>
          </w:tcPr>
          <w:p>
            <w:pPr>
              <w:spacing w:after="0"/>
              <w:rPr>
                <w:sz w:val="20"/>
                <w:szCs w:val="20"/>
                <w:color w:val="auto"/>
              </w:rPr>
            </w:pPr>
            <w:r>
              <w:rPr>
                <w:rFonts w:ascii="Arial" w:cs="Arial" w:eastAsia="Arial" w:hAnsi="Arial"/>
                <w:sz w:val="8"/>
                <w:szCs w:val="8"/>
                <w:i w:val="1"/>
                <w:iCs w:val="1"/>
                <w:color w:val="auto"/>
              </w:rPr>
              <w:t>(in thousands)</w:t>
            </w:r>
          </w:p>
        </w:tc>
        <w:tc>
          <w:tcPr>
            <w:tcW w:w="136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Three Years</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Five Years</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080" w:type="dxa"/>
            <w:vAlign w:val="bottom"/>
            <w:shd w:val="clear" w:color="auto" w:fill="CCEEFF"/>
          </w:tcPr>
          <w:p>
            <w:pPr>
              <w:spacing w:after="0"/>
              <w:rPr>
                <w:sz w:val="20"/>
                <w:szCs w:val="20"/>
                <w:color w:val="auto"/>
              </w:rPr>
            </w:pPr>
            <w:r>
              <w:rPr>
                <w:rFonts w:ascii="Arial" w:cs="Arial" w:eastAsia="Arial" w:hAnsi="Arial"/>
                <w:sz w:val="11"/>
                <w:szCs w:val="11"/>
                <w:color w:val="auto"/>
              </w:rPr>
              <w:t>FHLB advances</w:t>
            </w:r>
          </w:p>
        </w:tc>
        <w:tc>
          <w:tcPr>
            <w:tcW w:w="50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107,000</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1"/>
                <w:szCs w:val="11"/>
                <w:color w:val="auto"/>
              </w:rPr>
              <w:t>Certificates of deposit $250,000 or more</w:t>
            </w: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36,623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58,656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1,012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96,291</w:t>
            </w: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spacing w:after="0"/>
              <w:rPr>
                <w:sz w:val="20"/>
                <w:szCs w:val="20"/>
                <w:color w:val="auto"/>
              </w:rPr>
            </w:pPr>
            <w:r>
              <w:rPr>
                <w:rFonts w:ascii="Arial" w:cs="Arial" w:eastAsia="Arial" w:hAnsi="Arial"/>
                <w:sz w:val="11"/>
                <w:szCs w:val="11"/>
                <w:color w:val="auto"/>
              </w:rPr>
              <w:t>Certificates of deposit less than $250,000</w:t>
            </w: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142,316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51,576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194,362</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1"/>
                <w:szCs w:val="11"/>
                <w:color w:val="auto"/>
              </w:rPr>
              <w:t>Lease payments</w:t>
            </w: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1,056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973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392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2,421</w:t>
            </w:r>
          </w:p>
        </w:tc>
        <w:tc>
          <w:tcPr>
            <w:tcW w:w="0" w:type="dxa"/>
            <w:vAlign w:val="bottom"/>
          </w:tcPr>
          <w:p>
            <w:pPr>
              <w:spacing w:after="0"/>
              <w:rPr>
                <w:sz w:val="1"/>
                <w:szCs w:val="1"/>
                <w:color w:val="auto"/>
              </w:rPr>
            </w:pPr>
          </w:p>
        </w:tc>
      </w:tr>
      <w:tr>
        <w:trPr>
          <w:trHeight w:val="159"/>
        </w:trPr>
        <w:tc>
          <w:tcPr>
            <w:tcW w:w="4080" w:type="dxa"/>
            <w:vAlign w:val="bottom"/>
            <w:shd w:val="clear" w:color="auto" w:fill="CCEEFF"/>
          </w:tcPr>
          <w:p>
            <w:pPr>
              <w:spacing w:after="0"/>
              <w:rPr>
                <w:sz w:val="20"/>
                <w:szCs w:val="20"/>
                <w:color w:val="auto"/>
              </w:rPr>
            </w:pPr>
            <w:r>
              <w:rPr>
                <w:rFonts w:ascii="Arial" w:cs="Arial" w:eastAsia="Arial" w:hAnsi="Arial"/>
                <w:sz w:val="11"/>
                <w:szCs w:val="11"/>
                <w:color w:val="auto"/>
              </w:rPr>
              <w:t>Subordinated debt</w:t>
            </w:r>
          </w:p>
        </w:tc>
        <w:tc>
          <w:tcPr>
            <w:tcW w:w="5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12,062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12,062</w:t>
            </w:r>
          </w:p>
        </w:tc>
        <w:tc>
          <w:tcPr>
            <w:tcW w:w="0" w:type="dxa"/>
            <w:vAlign w:val="bottom"/>
          </w:tcPr>
          <w:p>
            <w:pPr>
              <w:spacing w:after="0"/>
              <w:rPr>
                <w:sz w:val="1"/>
                <w:szCs w:val="1"/>
                <w:color w:val="auto"/>
              </w:rPr>
            </w:pPr>
          </w:p>
        </w:tc>
      </w:tr>
      <w:tr>
        <w:trPr>
          <w:trHeight w:val="154"/>
        </w:trPr>
        <w:tc>
          <w:tcPr>
            <w:tcW w:w="4080" w:type="dxa"/>
            <w:vAlign w:val="bottom"/>
          </w:tcPr>
          <w:p>
            <w:pPr>
              <w:spacing w:after="0"/>
              <w:rPr>
                <w:sz w:val="20"/>
                <w:szCs w:val="20"/>
                <w:color w:val="auto"/>
              </w:rPr>
            </w:pPr>
            <w:r>
              <w:rPr>
                <w:rFonts w:ascii="Arial" w:cs="Arial" w:eastAsia="Arial" w:hAnsi="Arial"/>
                <w:sz w:val="11"/>
                <w:szCs w:val="11"/>
                <w:color w:val="auto"/>
              </w:rPr>
              <w:t>Total</w:t>
            </w:r>
          </w:p>
        </w:tc>
        <w:tc>
          <w:tcPr>
            <w:tcW w:w="50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264,995</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111,205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23,854</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12,082</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412,136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Off-Balance Sheet Items</w:t>
      </w:r>
    </w:p>
    <w:p>
      <w:pPr>
        <w:spacing w:after="0" w:line="193" w:lineRule="exact"/>
        <w:rPr>
          <w:sz w:val="20"/>
          <w:szCs w:val="20"/>
          <w:color w:val="auto"/>
        </w:rPr>
      </w:pPr>
    </w:p>
    <w:p>
      <w:pPr>
        <w:jc w:val="both"/>
        <w:ind w:right="80" w:firstLine="255"/>
        <w:spacing w:after="0" w:line="255" w:lineRule="auto"/>
        <w:rPr>
          <w:sz w:val="20"/>
          <w:szCs w:val="20"/>
          <w:color w:val="auto"/>
        </w:rPr>
      </w:pPr>
      <w:r>
        <w:rPr>
          <w:rFonts w:ascii="Arial" w:cs="Arial" w:eastAsia="Arial" w:hAnsi="Arial"/>
          <w:sz w:val="14"/>
          <w:szCs w:val="14"/>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162" w:lineRule="exact"/>
        <w:rPr>
          <w:sz w:val="20"/>
          <w:szCs w:val="20"/>
          <w:color w:val="auto"/>
        </w:rPr>
      </w:pPr>
    </w:p>
    <w:p>
      <w:pPr>
        <w:jc w:val="both"/>
        <w:ind w:right="80" w:firstLine="255"/>
        <w:spacing w:after="0" w:line="259" w:lineRule="auto"/>
        <w:rPr>
          <w:sz w:val="20"/>
          <w:szCs w:val="20"/>
          <w:color w:val="auto"/>
        </w:rPr>
      </w:pPr>
      <w:r>
        <w:rPr>
          <w:rFonts w:ascii="Arial" w:cs="Arial" w:eastAsia="Arial" w:hAnsi="Arial"/>
          <w:sz w:val="14"/>
          <w:szCs w:val="14"/>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actual future cash funding requirements.</w:t>
      </w:r>
    </w:p>
    <w:p>
      <w:pPr>
        <w:spacing w:after="0" w:line="180" w:lineRule="exact"/>
        <w:rPr>
          <w:sz w:val="20"/>
          <w:szCs w:val="20"/>
          <w:color w:val="auto"/>
        </w:rPr>
      </w:pPr>
    </w:p>
    <w:p>
      <w:pPr>
        <w:ind w:left="9720"/>
        <w:spacing w:after="0"/>
        <w:rPr>
          <w:sz w:val="20"/>
          <w:szCs w:val="20"/>
          <w:color w:val="auto"/>
        </w:rPr>
      </w:pPr>
      <w:r>
        <w:rPr>
          <w:rFonts w:ascii="Arial" w:cs="Arial" w:eastAsia="Arial" w:hAnsi="Arial"/>
          <w:sz w:val="11"/>
          <w:szCs w:val="11"/>
          <w:b w:val="1"/>
          <w:bCs w:val="1"/>
          <w:color w:val="auto"/>
        </w:rPr>
        <w:t>December 31,</w:t>
      </w:r>
    </w:p>
    <w:p>
      <w:pPr>
        <w:spacing w:after="0" w:line="24"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840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2021</w:t>
            </w:r>
          </w:p>
        </w:tc>
      </w:tr>
      <w:tr>
        <w:trPr>
          <w:trHeight w:val="149"/>
        </w:trPr>
        <w:tc>
          <w:tcPr>
            <w:tcW w:w="8400" w:type="dxa"/>
            <w:vAlign w:val="bottom"/>
          </w:tcPr>
          <w:p>
            <w:pPr>
              <w:ind w:left="20"/>
              <w:spacing w:after="0"/>
              <w:rPr>
                <w:sz w:val="20"/>
                <w:szCs w:val="20"/>
                <w:color w:val="auto"/>
              </w:rPr>
            </w:pPr>
            <w:r>
              <w:rPr>
                <w:rFonts w:ascii="Arial" w:cs="Arial" w:eastAsia="Arial" w:hAnsi="Arial"/>
                <w:sz w:val="11"/>
                <w:szCs w:val="11"/>
                <w:color w:val="auto"/>
              </w:rPr>
              <w:t>Unfunded lines of credit</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345,063</w:t>
            </w:r>
          </w:p>
        </w:tc>
        <w:tc>
          <w:tcPr>
            <w:tcW w:w="100" w:type="dxa"/>
            <w:vAlign w:val="bottom"/>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360,3</w:t>
            </w:r>
          </w:p>
        </w:tc>
      </w:tr>
      <w:tr>
        <w:trPr>
          <w:trHeight w:val="163"/>
        </w:trPr>
        <w:tc>
          <w:tcPr>
            <w:tcW w:w="8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Commitments to originate residential loans held for sale</w:t>
            </w:r>
          </w:p>
        </w:tc>
        <w:tc>
          <w:tcPr>
            <w:tcW w:w="3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r>
      <w:tr>
        <w:trPr>
          <w:trHeight w:val="155"/>
        </w:trPr>
        <w:tc>
          <w:tcPr>
            <w:tcW w:w="8400" w:type="dxa"/>
            <w:vAlign w:val="bottom"/>
          </w:tcPr>
          <w:p>
            <w:pPr>
              <w:ind w:left="20"/>
              <w:spacing w:after="0"/>
              <w:rPr>
                <w:sz w:val="20"/>
                <w:szCs w:val="20"/>
                <w:color w:val="auto"/>
              </w:rPr>
            </w:pPr>
            <w:r>
              <w:rPr>
                <w:rFonts w:ascii="Arial" w:cs="Arial" w:eastAsia="Arial" w:hAnsi="Arial"/>
                <w:sz w:val="11"/>
                <w:szCs w:val="11"/>
                <w:color w:val="auto"/>
              </w:rPr>
              <w:t>Letters of credit</w:t>
            </w: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5,105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5,1</w:t>
            </w:r>
          </w:p>
        </w:tc>
      </w:tr>
      <w:tr>
        <w:trPr>
          <w:trHeight w:val="159"/>
        </w:trPr>
        <w:tc>
          <w:tcPr>
            <w:tcW w:w="8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Commitment to fund other investments</w:t>
            </w: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4,365</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r>
      <w:tr>
        <w:trPr>
          <w:trHeight w:val="154"/>
        </w:trPr>
        <w:tc>
          <w:tcPr>
            <w:tcW w:w="8400" w:type="dxa"/>
            <w:vAlign w:val="bottom"/>
          </w:tcPr>
          <w:p>
            <w:pPr>
              <w:ind w:left="100"/>
              <w:spacing w:after="0"/>
              <w:rPr>
                <w:sz w:val="20"/>
                <w:szCs w:val="20"/>
                <w:color w:val="auto"/>
              </w:rPr>
            </w:pPr>
            <w:r>
              <w:rPr>
                <w:rFonts w:ascii="Arial" w:cs="Arial" w:eastAsia="Arial" w:hAnsi="Arial"/>
                <w:sz w:val="11"/>
                <w:szCs w:val="11"/>
                <w:color w:val="auto"/>
              </w:rPr>
              <w:t>Total credit extension commitments</w:t>
            </w: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354,533</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373,2</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80" w:firstLine="255"/>
        <w:spacing w:after="0" w:line="255" w:lineRule="auto"/>
        <w:rPr>
          <w:sz w:val="20"/>
          <w:szCs w:val="20"/>
          <w:color w:val="auto"/>
        </w:rPr>
      </w:pPr>
      <w:r>
        <w:rPr>
          <w:rFonts w:ascii="Arial" w:cs="Arial" w:eastAsia="Arial" w:hAnsi="Arial"/>
          <w:sz w:val="14"/>
          <w:szCs w:val="14"/>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customer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We believe the credit risk associated with issuing letters of credit is substantially the same as the risk involved in extending loan facilities to our customers.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309" w:right="239" w:bottom="1440" w:gutter="0" w:footer="0" w:header="0"/>
        </w:sectPr>
      </w:pPr>
    </w:p>
    <w:bookmarkStart w:id="52" w:name="page53"/>
    <w:bookmarkEnd w:id="52"/>
    <w:p>
      <w:pPr>
        <w:jc w:val="both"/>
        <w:ind w:firstLine="255"/>
        <w:spacing w:after="0" w:line="259" w:lineRule="auto"/>
        <w:rPr>
          <w:sz w:val="20"/>
          <w:szCs w:val="20"/>
          <w:color w:val="auto"/>
        </w:rPr>
      </w:pPr>
      <w:r>
        <w:rPr>
          <w:rFonts w:ascii="Arial" w:cs="Arial" w:eastAsia="Arial" w:hAnsi="Arial"/>
          <w:sz w:val="14"/>
          <w:szCs w:val="14"/>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spacing w:after="0" w:line="158"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15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commitment to fund other investments reflects an obligation to make an investment in a Small Business Investment Company.</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Impact of Inflation</w:t>
      </w:r>
    </w:p>
    <w:p>
      <w:pPr>
        <w:spacing w:after="0" w:line="19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15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most other operating expenses are sensitive to changes in levels of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auto"/>
        </w:rPr>
        <w:t>ITEM 7A. QUANTITATIVE AND QUALITATIVE DISCLOSURES ABOUT MARKET RISK</w:t>
      </w:r>
    </w:p>
    <w:p>
      <w:pPr>
        <w:spacing w:after="0" w:line="197" w:lineRule="exact"/>
        <w:rPr>
          <w:sz w:val="20"/>
          <w:szCs w:val="20"/>
          <w:color w:val="auto"/>
        </w:rPr>
      </w:pPr>
    </w:p>
    <w:p>
      <w:pPr>
        <w:jc w:val="both"/>
        <w:ind w:right="80" w:firstLine="255"/>
        <w:spacing w:after="0" w:line="256" w:lineRule="auto"/>
        <w:rPr>
          <w:sz w:val="20"/>
          <w:szCs w:val="20"/>
          <w:color w:val="auto"/>
        </w:rPr>
      </w:pPr>
      <w:r>
        <w:rPr>
          <w:rFonts w:ascii="Arial" w:cs="Arial" w:eastAsia="Arial" w:hAnsi="Arial"/>
          <w:sz w:val="14"/>
          <w:szCs w:val="14"/>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60"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The following table summarizes the results of our EAR analysis in simulating the change in net interest income and fair value of equity over a 12-month horizon as of December 31, 2022:</w:t>
      </w:r>
    </w:p>
    <w:p>
      <w:pPr>
        <w:spacing w:after="0" w:line="13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IMPACT ON NET INTEREST INCOME UNDER A STATIC BALANCE SHEET, PARALLEL INTEREST RATE SHOCK</w:t>
      </w: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127"/>
        </w:trPr>
        <w:tc>
          <w:tcPr>
            <w:tcW w:w="2280" w:type="dxa"/>
            <w:vAlign w:val="bottom"/>
            <w:gridSpan w:val="3"/>
          </w:tcPr>
          <w:p>
            <w:pPr>
              <w:ind w:left="20"/>
              <w:spacing w:after="0"/>
              <w:rPr>
                <w:sz w:val="20"/>
                <w:szCs w:val="20"/>
                <w:color w:val="auto"/>
              </w:rPr>
            </w:pPr>
            <w:r>
              <w:rPr>
                <w:rFonts w:ascii="Arial" w:cs="Arial" w:eastAsia="Arial" w:hAnsi="Arial"/>
                <w:sz w:val="11"/>
                <w:szCs w:val="11"/>
                <w:b w:val="1"/>
                <w:bCs w:val="1"/>
                <w:color w:val="auto"/>
              </w:rPr>
              <w:t>Earnings at Risk</w:t>
            </w:r>
          </w:p>
        </w:tc>
        <w:tc>
          <w:tcPr>
            <w:tcW w:w="1280" w:type="dxa"/>
            <w:vAlign w:val="bottom"/>
            <w:gridSpan w:val="2"/>
          </w:tcPr>
          <w:p>
            <w:pPr>
              <w:ind w:left="360"/>
              <w:spacing w:after="0"/>
              <w:rPr>
                <w:sz w:val="20"/>
                <w:szCs w:val="20"/>
                <w:color w:val="auto"/>
              </w:rPr>
            </w:pPr>
            <w:r>
              <w:rPr>
                <w:rFonts w:ascii="Arial" w:cs="Arial" w:eastAsia="Arial" w:hAnsi="Arial"/>
                <w:sz w:val="11"/>
                <w:szCs w:val="11"/>
                <w:b w:val="1"/>
                <w:bCs w:val="1"/>
                <w:color w:val="auto"/>
              </w:rPr>
              <w:t>-300 bps</w:t>
            </w:r>
          </w:p>
        </w:tc>
        <w:tc>
          <w:tcPr>
            <w:tcW w:w="1280" w:type="dxa"/>
            <w:vAlign w:val="bottom"/>
            <w:gridSpan w:val="2"/>
          </w:tcPr>
          <w:p>
            <w:pPr>
              <w:ind w:left="360"/>
              <w:spacing w:after="0"/>
              <w:rPr>
                <w:sz w:val="20"/>
                <w:szCs w:val="20"/>
                <w:color w:val="auto"/>
              </w:rPr>
            </w:pPr>
            <w:r>
              <w:rPr>
                <w:rFonts w:ascii="Arial" w:cs="Arial" w:eastAsia="Arial" w:hAnsi="Arial"/>
                <w:sz w:val="11"/>
                <w:szCs w:val="11"/>
                <w:b w:val="1"/>
                <w:bCs w:val="1"/>
                <w:color w:val="auto"/>
              </w:rPr>
              <w:t>-200 bps</w:t>
            </w:r>
          </w:p>
        </w:tc>
        <w:tc>
          <w:tcPr>
            <w:tcW w:w="1300" w:type="dxa"/>
            <w:vAlign w:val="bottom"/>
            <w:gridSpan w:val="2"/>
          </w:tcPr>
          <w:p>
            <w:pPr>
              <w:ind w:left="380"/>
              <w:spacing w:after="0"/>
              <w:rPr>
                <w:sz w:val="20"/>
                <w:szCs w:val="20"/>
                <w:color w:val="auto"/>
              </w:rPr>
            </w:pPr>
            <w:r>
              <w:rPr>
                <w:rFonts w:ascii="Arial" w:cs="Arial" w:eastAsia="Arial" w:hAnsi="Arial"/>
                <w:sz w:val="11"/>
                <w:szCs w:val="11"/>
                <w:b w:val="1"/>
                <w:bCs w:val="1"/>
                <w:color w:val="auto"/>
              </w:rPr>
              <w:t>-100 bps</w:t>
            </w:r>
          </w:p>
        </w:tc>
        <w:tc>
          <w:tcPr>
            <w:tcW w:w="1300" w:type="dxa"/>
            <w:vAlign w:val="bottom"/>
            <w:gridSpan w:val="2"/>
          </w:tcPr>
          <w:p>
            <w:pPr>
              <w:ind w:left="500"/>
              <w:spacing w:after="0"/>
              <w:rPr>
                <w:sz w:val="20"/>
                <w:szCs w:val="20"/>
                <w:color w:val="auto"/>
              </w:rPr>
            </w:pPr>
            <w:r>
              <w:rPr>
                <w:rFonts w:ascii="Arial" w:cs="Arial" w:eastAsia="Arial" w:hAnsi="Arial"/>
                <w:sz w:val="11"/>
                <w:szCs w:val="11"/>
                <w:b w:val="1"/>
                <w:bCs w:val="1"/>
                <w:color w:val="auto"/>
              </w:rPr>
              <w:t>Flat</w:t>
            </w:r>
          </w:p>
        </w:tc>
        <w:tc>
          <w:tcPr>
            <w:tcW w:w="1320" w:type="dxa"/>
            <w:vAlign w:val="bottom"/>
            <w:gridSpan w:val="2"/>
          </w:tcPr>
          <w:p>
            <w:pPr>
              <w:ind w:left="360"/>
              <w:spacing w:after="0"/>
              <w:rPr>
                <w:sz w:val="20"/>
                <w:szCs w:val="20"/>
                <w:color w:val="auto"/>
              </w:rPr>
            </w:pPr>
            <w:r>
              <w:rPr>
                <w:rFonts w:ascii="Arial" w:cs="Arial" w:eastAsia="Arial" w:hAnsi="Arial"/>
                <w:sz w:val="11"/>
                <w:szCs w:val="11"/>
                <w:b w:val="1"/>
                <w:bCs w:val="1"/>
                <w:color w:val="auto"/>
              </w:rPr>
              <w:t>+100 bps</w:t>
            </w:r>
          </w:p>
        </w:tc>
        <w:tc>
          <w:tcPr>
            <w:tcW w:w="1300" w:type="dxa"/>
            <w:vAlign w:val="bottom"/>
            <w:gridSpan w:val="2"/>
          </w:tcPr>
          <w:p>
            <w:pPr>
              <w:ind w:left="340"/>
              <w:spacing w:after="0"/>
              <w:rPr>
                <w:sz w:val="20"/>
                <w:szCs w:val="20"/>
                <w:color w:val="auto"/>
              </w:rPr>
            </w:pPr>
            <w:r>
              <w:rPr>
                <w:rFonts w:ascii="Arial" w:cs="Arial" w:eastAsia="Arial" w:hAnsi="Arial"/>
                <w:sz w:val="11"/>
                <w:szCs w:val="11"/>
                <w:b w:val="1"/>
                <w:bCs w:val="1"/>
                <w:color w:val="auto"/>
              </w:rPr>
              <w:t>+200 bps</w:t>
            </w:r>
          </w:p>
        </w:tc>
        <w:tc>
          <w:tcPr>
            <w:tcW w:w="1040" w:type="dxa"/>
            <w:vAlign w:val="bottom"/>
          </w:tcPr>
          <w:p>
            <w:pPr>
              <w:jc w:val="right"/>
              <w:ind w:right="143"/>
              <w:spacing w:after="0"/>
              <w:rPr>
                <w:sz w:val="20"/>
                <w:szCs w:val="20"/>
                <w:color w:val="auto"/>
              </w:rPr>
            </w:pPr>
            <w:r>
              <w:rPr>
                <w:rFonts w:ascii="Arial" w:cs="Arial" w:eastAsia="Arial" w:hAnsi="Arial"/>
                <w:sz w:val="11"/>
                <w:szCs w:val="11"/>
                <w:b w:val="1"/>
                <w:bCs w:val="1"/>
                <w:color w:val="auto"/>
              </w:rPr>
              <w:t>+300 bps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2"/>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December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0.0 %</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2.3 %</w:t>
            </w: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5.5 %</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r>
    </w:tbl>
    <w:p>
      <w:pPr>
        <w:spacing w:after="0" w:line="243" w:lineRule="exact"/>
        <w:rPr>
          <w:sz w:val="20"/>
          <w:szCs w:val="20"/>
          <w:color w:val="auto"/>
        </w:rPr>
      </w:pPr>
    </w:p>
    <w:p>
      <w:pPr>
        <w:jc w:val="both"/>
        <w:ind w:right="80" w:firstLine="255"/>
        <w:spacing w:after="0" w:line="259" w:lineRule="auto"/>
        <w:rPr>
          <w:sz w:val="20"/>
          <w:szCs w:val="20"/>
          <w:color w:val="auto"/>
        </w:rPr>
      </w:pPr>
      <w:r>
        <w:rPr>
          <w:rFonts w:ascii="Arial" w:cs="Arial" w:eastAsia="Arial" w:hAnsi="Arial"/>
          <w:sz w:val="14"/>
          <w:szCs w:val="14"/>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illustrates the results of our EVE analysis as of December 31, 2022.</w:t>
      </w:r>
    </w:p>
    <w:p>
      <w:pPr>
        <w:spacing w:after="0" w:line="16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ECONOMIC VALUE OF EQUITY ANALYSIS UNDER A STATIC BALANCE SHEET, PARALLEL INTEREST RATE SHOCK</w:t>
      </w: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127"/>
        </w:trPr>
        <w:tc>
          <w:tcPr>
            <w:tcW w:w="2280" w:type="dxa"/>
            <w:vAlign w:val="bottom"/>
            <w:gridSpan w:val="3"/>
          </w:tcPr>
          <w:p>
            <w:pPr>
              <w:ind w:left="20"/>
              <w:spacing w:after="0"/>
              <w:rPr>
                <w:sz w:val="20"/>
                <w:szCs w:val="20"/>
                <w:color w:val="auto"/>
              </w:rPr>
            </w:pPr>
            <w:r>
              <w:rPr>
                <w:rFonts w:ascii="Arial" w:cs="Arial" w:eastAsia="Arial" w:hAnsi="Arial"/>
                <w:sz w:val="11"/>
                <w:szCs w:val="11"/>
                <w:b w:val="1"/>
                <w:bCs w:val="1"/>
                <w:color w:val="auto"/>
              </w:rPr>
              <w:t>Economic Value of Equity</w:t>
            </w:r>
          </w:p>
        </w:tc>
        <w:tc>
          <w:tcPr>
            <w:tcW w:w="1280" w:type="dxa"/>
            <w:vAlign w:val="bottom"/>
            <w:gridSpan w:val="2"/>
          </w:tcPr>
          <w:p>
            <w:pPr>
              <w:ind w:left="360"/>
              <w:spacing w:after="0"/>
              <w:rPr>
                <w:sz w:val="20"/>
                <w:szCs w:val="20"/>
                <w:color w:val="auto"/>
              </w:rPr>
            </w:pPr>
            <w:r>
              <w:rPr>
                <w:rFonts w:ascii="Arial" w:cs="Arial" w:eastAsia="Arial" w:hAnsi="Arial"/>
                <w:sz w:val="11"/>
                <w:szCs w:val="11"/>
                <w:b w:val="1"/>
                <w:bCs w:val="1"/>
                <w:color w:val="auto"/>
              </w:rPr>
              <w:t>-300 bps</w:t>
            </w:r>
          </w:p>
        </w:tc>
        <w:tc>
          <w:tcPr>
            <w:tcW w:w="1280" w:type="dxa"/>
            <w:vAlign w:val="bottom"/>
            <w:gridSpan w:val="2"/>
          </w:tcPr>
          <w:p>
            <w:pPr>
              <w:ind w:left="360"/>
              <w:spacing w:after="0"/>
              <w:rPr>
                <w:sz w:val="20"/>
                <w:szCs w:val="20"/>
                <w:color w:val="auto"/>
              </w:rPr>
            </w:pPr>
            <w:r>
              <w:rPr>
                <w:rFonts w:ascii="Arial" w:cs="Arial" w:eastAsia="Arial" w:hAnsi="Arial"/>
                <w:sz w:val="11"/>
                <w:szCs w:val="11"/>
                <w:b w:val="1"/>
                <w:bCs w:val="1"/>
                <w:color w:val="auto"/>
              </w:rPr>
              <w:t>-200 bps</w:t>
            </w:r>
          </w:p>
        </w:tc>
        <w:tc>
          <w:tcPr>
            <w:tcW w:w="1300" w:type="dxa"/>
            <w:vAlign w:val="bottom"/>
            <w:gridSpan w:val="2"/>
          </w:tcPr>
          <w:p>
            <w:pPr>
              <w:ind w:left="380"/>
              <w:spacing w:after="0"/>
              <w:rPr>
                <w:sz w:val="20"/>
                <w:szCs w:val="20"/>
                <w:color w:val="auto"/>
              </w:rPr>
            </w:pPr>
            <w:r>
              <w:rPr>
                <w:rFonts w:ascii="Arial" w:cs="Arial" w:eastAsia="Arial" w:hAnsi="Arial"/>
                <w:sz w:val="11"/>
                <w:szCs w:val="11"/>
                <w:b w:val="1"/>
                <w:bCs w:val="1"/>
                <w:color w:val="auto"/>
              </w:rPr>
              <w:t>-100 bps</w:t>
            </w:r>
          </w:p>
        </w:tc>
        <w:tc>
          <w:tcPr>
            <w:tcW w:w="1300" w:type="dxa"/>
            <w:vAlign w:val="bottom"/>
            <w:gridSpan w:val="2"/>
          </w:tcPr>
          <w:p>
            <w:pPr>
              <w:ind w:left="500"/>
              <w:spacing w:after="0"/>
              <w:rPr>
                <w:sz w:val="20"/>
                <w:szCs w:val="20"/>
                <w:color w:val="auto"/>
              </w:rPr>
            </w:pPr>
            <w:r>
              <w:rPr>
                <w:rFonts w:ascii="Arial" w:cs="Arial" w:eastAsia="Arial" w:hAnsi="Arial"/>
                <w:sz w:val="11"/>
                <w:szCs w:val="11"/>
                <w:b w:val="1"/>
                <w:bCs w:val="1"/>
                <w:color w:val="auto"/>
              </w:rPr>
              <w:t>Flat</w:t>
            </w:r>
          </w:p>
        </w:tc>
        <w:tc>
          <w:tcPr>
            <w:tcW w:w="1320" w:type="dxa"/>
            <w:vAlign w:val="bottom"/>
            <w:gridSpan w:val="2"/>
          </w:tcPr>
          <w:p>
            <w:pPr>
              <w:ind w:left="360"/>
              <w:spacing w:after="0"/>
              <w:rPr>
                <w:sz w:val="20"/>
                <w:szCs w:val="20"/>
                <w:color w:val="auto"/>
              </w:rPr>
            </w:pPr>
            <w:r>
              <w:rPr>
                <w:rFonts w:ascii="Arial" w:cs="Arial" w:eastAsia="Arial" w:hAnsi="Arial"/>
                <w:sz w:val="11"/>
                <w:szCs w:val="11"/>
                <w:b w:val="1"/>
                <w:bCs w:val="1"/>
                <w:color w:val="auto"/>
              </w:rPr>
              <w:t>+100 bps</w:t>
            </w:r>
          </w:p>
        </w:tc>
        <w:tc>
          <w:tcPr>
            <w:tcW w:w="1300" w:type="dxa"/>
            <w:vAlign w:val="bottom"/>
            <w:gridSpan w:val="2"/>
          </w:tcPr>
          <w:p>
            <w:pPr>
              <w:ind w:left="340"/>
              <w:spacing w:after="0"/>
              <w:rPr>
                <w:sz w:val="20"/>
                <w:szCs w:val="20"/>
                <w:color w:val="auto"/>
              </w:rPr>
            </w:pPr>
            <w:r>
              <w:rPr>
                <w:rFonts w:ascii="Arial" w:cs="Arial" w:eastAsia="Arial" w:hAnsi="Arial"/>
                <w:sz w:val="11"/>
                <w:szCs w:val="11"/>
                <w:b w:val="1"/>
                <w:bCs w:val="1"/>
                <w:color w:val="auto"/>
              </w:rPr>
              <w:t>+200 bps</w:t>
            </w:r>
          </w:p>
        </w:tc>
        <w:tc>
          <w:tcPr>
            <w:tcW w:w="1040" w:type="dxa"/>
            <w:vAlign w:val="bottom"/>
          </w:tcPr>
          <w:p>
            <w:pPr>
              <w:jc w:val="right"/>
              <w:ind w:right="143"/>
              <w:spacing w:after="0"/>
              <w:rPr>
                <w:sz w:val="20"/>
                <w:szCs w:val="20"/>
                <w:color w:val="auto"/>
              </w:rPr>
            </w:pPr>
            <w:r>
              <w:rPr>
                <w:rFonts w:ascii="Arial" w:cs="Arial" w:eastAsia="Arial" w:hAnsi="Arial"/>
                <w:sz w:val="11"/>
                <w:szCs w:val="11"/>
                <w:b w:val="1"/>
                <w:bCs w:val="1"/>
                <w:color w:val="auto"/>
              </w:rPr>
              <w:t>+300 bps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2"/>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December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0.0 %</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309" w:right="239" w:bottom="1440" w:gutter="0" w:footer="0" w:header="0"/>
        </w:sectPr>
      </w:pPr>
    </w:p>
    <w:bookmarkStart w:id="54" w:name="page55"/>
    <w:bookmarkEnd w:id="54"/>
    <w:p>
      <w:pPr>
        <w:ind w:left="260"/>
        <w:spacing w:after="0"/>
        <w:rPr>
          <w:sz w:val="20"/>
          <w:szCs w:val="20"/>
          <w:color w:val="auto"/>
        </w:rPr>
      </w:pPr>
      <w:r>
        <w:rPr>
          <w:rFonts w:ascii="Arial" w:cs="Arial" w:eastAsia="Arial" w:hAnsi="Arial"/>
          <w:sz w:val="14"/>
          <w:szCs w:val="14"/>
          <w:b w:val="1"/>
          <w:bCs w:val="1"/>
          <w:color w:val="auto"/>
        </w:rPr>
        <w:t>Interest Rate Sensitivity and Market Risk</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4"/>
          <w:szCs w:val="14"/>
          <w:b w:val="1"/>
          <w:bCs w:val="1"/>
          <w:color w:val="auto"/>
        </w:rPr>
        <w:t>.</w:t>
      </w:r>
      <w:r>
        <w:rPr>
          <w:rFonts w:ascii="Arial" w:cs="Arial" w:eastAsia="Arial" w:hAnsi="Arial"/>
          <w:sz w:val="14"/>
          <w:szCs w:val="14"/>
          <w:color w:val="auto"/>
        </w:rPr>
        <w:t xml:space="preserve"> We endeavor to manage our sensitivity position within our established guidelines.</w:t>
      </w:r>
    </w:p>
    <w:p>
      <w:pPr>
        <w:spacing w:after="0" w:line="158"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mitigate the inherent risk while at the same time maximizing income.</w:t>
      </w:r>
    </w:p>
    <w:p>
      <w:pPr>
        <w:spacing w:after="0" w:line="15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endeavor to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spacing w:after="0" w:line="15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w:t>
      </w:r>
    </w:p>
    <w:p>
      <w:pPr>
        <w:spacing w:after="0" w:line="161"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INTEREST SENSITIVITY GAP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9"/>
              </w:rPr>
              <w:t>After One Month</w:t>
            </w:r>
          </w:p>
        </w:tc>
        <w:tc>
          <w:tcPr>
            <w:tcW w:w="100" w:type="dxa"/>
            <w:vAlign w:val="bottom"/>
          </w:tcPr>
          <w:p>
            <w:pPr>
              <w:spacing w:after="0"/>
              <w:rPr>
                <w:sz w:val="10"/>
                <w:szCs w:val="1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After Three Through</w:t>
            </w: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39"/>
        </w:trPr>
        <w:tc>
          <w:tcPr>
            <w:tcW w:w="3460" w:type="dxa"/>
            <w:vAlign w:val="bottom"/>
          </w:tcPr>
          <w:p>
            <w:pPr>
              <w:ind w:left="20"/>
              <w:spacing w:after="0"/>
              <w:rPr>
                <w:sz w:val="20"/>
                <w:szCs w:val="20"/>
                <w:color w:val="auto"/>
              </w:rPr>
            </w:pPr>
            <w:r>
              <w:rPr>
                <w:rFonts w:ascii="Arial" w:cs="Arial" w:eastAsia="Arial" w:hAnsi="Arial"/>
                <w:sz w:val="10"/>
                <w:szCs w:val="10"/>
                <w:b w:val="1"/>
                <w:bCs w:val="1"/>
                <w:color w:val="auto"/>
              </w:rPr>
              <w:t>December 31, 2022</w:t>
            </w:r>
          </w:p>
        </w:tc>
        <w:tc>
          <w:tcPr>
            <w:tcW w:w="12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0"/>
                <w:szCs w:val="10"/>
                <w:b w:val="1"/>
                <w:bCs w:val="1"/>
                <w:color w:val="auto"/>
              </w:rPr>
              <w:t>Within One Month</w:t>
            </w:r>
          </w:p>
        </w:tc>
        <w:tc>
          <w:tcPr>
            <w:tcW w:w="132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9"/>
              </w:rPr>
              <w:t>Through Three Months</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Twelve Months</w:t>
            </w:r>
          </w:p>
        </w:tc>
        <w:tc>
          <w:tcPr>
            <w:tcW w:w="160" w:type="dxa"/>
            <w:vAlign w:val="bottom"/>
          </w:tcPr>
          <w:p>
            <w:pPr>
              <w:spacing w:after="0"/>
              <w:rPr>
                <w:sz w:val="12"/>
                <w:szCs w:val="12"/>
                <w:color w:val="auto"/>
              </w:rPr>
            </w:pPr>
          </w:p>
        </w:tc>
        <w:tc>
          <w:tcPr>
            <w:tcW w:w="1160" w:type="dxa"/>
            <w:vAlign w:val="bottom"/>
            <w:gridSpan w:val="2"/>
          </w:tcPr>
          <w:p>
            <w:pPr>
              <w:ind w:left="80"/>
              <w:spacing w:after="0"/>
              <w:rPr>
                <w:sz w:val="20"/>
                <w:szCs w:val="20"/>
                <w:color w:val="auto"/>
              </w:rPr>
            </w:pPr>
            <w:r>
              <w:rPr>
                <w:rFonts w:ascii="Arial" w:cs="Arial" w:eastAsia="Arial" w:hAnsi="Arial"/>
                <w:sz w:val="10"/>
                <w:szCs w:val="10"/>
                <w:b w:val="1"/>
                <w:bCs w:val="1"/>
                <w:color w:val="auto"/>
              </w:rPr>
              <w:t>Within One Year</w:t>
            </w:r>
          </w:p>
        </w:tc>
        <w:tc>
          <w:tcPr>
            <w:tcW w:w="80" w:type="dxa"/>
            <w:vAlign w:val="bottom"/>
          </w:tcPr>
          <w:p>
            <w:pPr>
              <w:spacing w:after="0"/>
              <w:rPr>
                <w:sz w:val="12"/>
                <w:szCs w:val="12"/>
                <w:color w:val="auto"/>
              </w:rPr>
            </w:pPr>
          </w:p>
        </w:tc>
        <w:tc>
          <w:tcPr>
            <w:tcW w:w="1260" w:type="dxa"/>
            <w:vAlign w:val="bottom"/>
            <w:gridSpan w:val="2"/>
          </w:tcPr>
          <w:p>
            <w:pPr>
              <w:spacing w:after="0"/>
              <w:rPr>
                <w:sz w:val="20"/>
                <w:szCs w:val="20"/>
                <w:color w:val="auto"/>
              </w:rPr>
            </w:pPr>
            <w:r>
              <w:rPr>
                <w:rFonts w:ascii="Arial" w:cs="Arial" w:eastAsia="Arial" w:hAnsi="Arial"/>
                <w:sz w:val="10"/>
                <w:szCs w:val="10"/>
                <w:b w:val="1"/>
                <w:bCs w:val="1"/>
                <w:color w:val="auto"/>
              </w:rPr>
              <w:t>Greater Than One Year</w:t>
            </w:r>
          </w:p>
        </w:tc>
        <w:tc>
          <w:tcPr>
            <w:tcW w:w="260" w:type="dxa"/>
            <w:vAlign w:val="bottom"/>
          </w:tcPr>
          <w:p>
            <w:pPr>
              <w:spacing w:after="0"/>
              <w:rPr>
                <w:sz w:val="12"/>
                <w:szCs w:val="12"/>
                <w:color w:val="auto"/>
              </w:rPr>
            </w:pPr>
          </w:p>
        </w:tc>
        <w:tc>
          <w:tcPr>
            <w:tcW w:w="860" w:type="dxa"/>
            <w:vAlign w:val="bottom"/>
          </w:tcPr>
          <w:p>
            <w:pPr>
              <w:jc w:val="right"/>
              <w:ind w:right="391"/>
              <w:spacing w:after="0"/>
              <w:rPr>
                <w:sz w:val="20"/>
                <w:szCs w:val="20"/>
                <w:color w:val="auto"/>
              </w:rPr>
            </w:pPr>
            <w:r>
              <w:rPr>
                <w:rFonts w:ascii="Arial" w:cs="Arial" w:eastAsia="Arial" w:hAnsi="Arial"/>
                <w:sz w:val="10"/>
                <w:szCs w:val="10"/>
                <w:b w:val="1"/>
                <w:bCs w:val="1"/>
                <w:color w:val="auto"/>
              </w:rPr>
              <w:t>Total</w:t>
            </w:r>
          </w:p>
        </w:tc>
      </w:tr>
      <w:tr>
        <w:trPr>
          <w:trHeight w:val="107"/>
        </w:trPr>
        <w:tc>
          <w:tcPr>
            <w:tcW w:w="34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r>
      <w:tr>
        <w:trPr>
          <w:trHeight w:val="147"/>
        </w:trPr>
        <w:tc>
          <w:tcPr>
            <w:tcW w:w="3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Assets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1"/>
        </w:trPr>
        <w:tc>
          <w:tcPr>
            <w:tcW w:w="3460" w:type="dxa"/>
            <w:vAlign w:val="bottom"/>
          </w:tcPr>
          <w:p>
            <w:pPr>
              <w:ind w:left="20"/>
              <w:spacing w:after="0"/>
              <w:rPr>
                <w:sz w:val="20"/>
                <w:szCs w:val="20"/>
                <w:color w:val="auto"/>
              </w:rPr>
            </w:pPr>
            <w:r>
              <w:rPr>
                <w:rFonts w:ascii="Arial" w:cs="Arial" w:eastAsia="Arial" w:hAnsi="Arial"/>
                <w:sz w:val="10"/>
                <w:szCs w:val="10"/>
                <w:color w:val="auto"/>
              </w:rPr>
              <w:t>Interest earning assets</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5"/>
        </w:trPr>
        <w:tc>
          <w:tcPr>
            <w:tcW w:w="34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 xml:space="preserve">Loans </w:t>
            </w:r>
            <w:r>
              <w:rPr>
                <w:rFonts w:ascii="Arial" w:cs="Arial" w:eastAsia="Arial" w:hAnsi="Arial"/>
                <w:sz w:val="12"/>
                <w:szCs w:val="12"/>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397,979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346,564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248,165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992,708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719,078</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1,711,786</w:t>
            </w:r>
          </w:p>
        </w:tc>
      </w:tr>
      <w:tr>
        <w:trPr>
          <w:trHeight w:val="131"/>
        </w:trPr>
        <w:tc>
          <w:tcPr>
            <w:tcW w:w="3460" w:type="dxa"/>
            <w:vAlign w:val="bottom"/>
          </w:tcPr>
          <w:p>
            <w:pPr>
              <w:ind w:left="120"/>
              <w:spacing w:after="0"/>
              <w:rPr>
                <w:sz w:val="20"/>
                <w:szCs w:val="20"/>
                <w:color w:val="auto"/>
              </w:rPr>
            </w:pPr>
            <w:r>
              <w:rPr>
                <w:rFonts w:ascii="Arial" w:cs="Arial" w:eastAsia="Arial" w:hAnsi="Arial"/>
                <w:sz w:val="10"/>
                <w:szCs w:val="10"/>
                <w:color w:val="auto"/>
              </w:rPr>
              <w:t>Securities</w:t>
            </w:r>
          </w:p>
        </w:tc>
        <w:tc>
          <w:tcPr>
            <w:tcW w:w="120" w:type="dxa"/>
            <w:vAlign w:val="bottom"/>
          </w:tcPr>
          <w:p>
            <w:pPr>
              <w:spacing w:after="0"/>
              <w:rPr>
                <w:sz w:val="11"/>
                <w:szCs w:val="11"/>
                <w:color w:val="auto"/>
              </w:rPr>
            </w:pPr>
          </w:p>
        </w:tc>
        <w:tc>
          <w:tcPr>
            <w:tcW w:w="1100" w:type="dxa"/>
            <w:vAlign w:val="bottom"/>
          </w:tcPr>
          <w:p>
            <w:pPr>
              <w:jc w:val="right"/>
              <w:ind w:right="91"/>
              <w:spacing w:after="0"/>
              <w:rPr>
                <w:sz w:val="20"/>
                <w:szCs w:val="20"/>
                <w:color w:val="auto"/>
              </w:rPr>
            </w:pPr>
            <w:r>
              <w:rPr>
                <w:rFonts w:ascii="Arial" w:cs="Arial" w:eastAsia="Arial" w:hAnsi="Arial"/>
                <w:sz w:val="10"/>
                <w:szCs w:val="10"/>
                <w:color w:val="auto"/>
              </w:rPr>
              <w:t>9,828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7,448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91"/>
              <w:spacing w:after="0"/>
              <w:rPr>
                <w:sz w:val="20"/>
                <w:szCs w:val="20"/>
                <w:color w:val="auto"/>
              </w:rPr>
            </w:pPr>
            <w:r>
              <w:rPr>
                <w:rFonts w:ascii="Arial" w:cs="Arial" w:eastAsia="Arial" w:hAnsi="Arial"/>
                <w:sz w:val="10"/>
                <w:szCs w:val="10"/>
                <w:color w:val="auto"/>
              </w:rPr>
              <w:t>59,390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76,666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71"/>
              <w:spacing w:after="0"/>
              <w:rPr>
                <w:sz w:val="20"/>
                <w:szCs w:val="20"/>
                <w:color w:val="auto"/>
              </w:rPr>
            </w:pPr>
            <w:r>
              <w:rPr>
                <w:rFonts w:ascii="Arial" w:cs="Arial" w:eastAsia="Arial" w:hAnsi="Arial"/>
                <w:sz w:val="10"/>
                <w:szCs w:val="10"/>
                <w:color w:val="auto"/>
              </w:rPr>
              <w:t>183,177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259,843</w:t>
            </w:r>
          </w:p>
        </w:tc>
      </w:tr>
      <w:tr>
        <w:trPr>
          <w:trHeight w:val="145"/>
        </w:trPr>
        <w:tc>
          <w:tcPr>
            <w:tcW w:w="34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 deposits at other financial institutions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39,764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39,764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19,963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59,727</w:t>
            </w:r>
          </w:p>
        </w:tc>
      </w:tr>
      <w:tr>
        <w:trPr>
          <w:trHeight w:val="131"/>
        </w:trPr>
        <w:tc>
          <w:tcPr>
            <w:tcW w:w="3460" w:type="dxa"/>
            <w:vAlign w:val="bottom"/>
          </w:tcPr>
          <w:p>
            <w:pPr>
              <w:ind w:left="120"/>
              <w:spacing w:after="0"/>
              <w:rPr>
                <w:sz w:val="20"/>
                <w:szCs w:val="20"/>
                <w:color w:val="auto"/>
              </w:rPr>
            </w:pPr>
            <w:r>
              <w:rPr>
                <w:rFonts w:ascii="Arial" w:cs="Arial" w:eastAsia="Arial" w:hAnsi="Arial"/>
                <w:sz w:val="10"/>
                <w:szCs w:val="10"/>
                <w:color w:val="auto"/>
              </w:rPr>
              <w:t>Federal funds sold</w:t>
            </w:r>
          </w:p>
        </w:tc>
        <w:tc>
          <w:tcPr>
            <w:tcW w:w="120" w:type="dxa"/>
            <w:vAlign w:val="bottom"/>
          </w:tcPr>
          <w:p>
            <w:pPr>
              <w:spacing w:after="0"/>
              <w:rPr>
                <w:sz w:val="11"/>
                <w:szCs w:val="11"/>
                <w:color w:val="auto"/>
              </w:rPr>
            </w:pPr>
          </w:p>
        </w:tc>
        <w:tc>
          <w:tcPr>
            <w:tcW w:w="1100" w:type="dxa"/>
            <w:vAlign w:val="bottom"/>
          </w:tcPr>
          <w:p>
            <w:pPr>
              <w:jc w:val="right"/>
              <w:ind w:right="91"/>
              <w:spacing w:after="0"/>
              <w:rPr>
                <w:sz w:val="20"/>
                <w:szCs w:val="20"/>
                <w:color w:val="auto"/>
              </w:rPr>
            </w:pPr>
            <w:r>
              <w:rPr>
                <w:rFonts w:ascii="Arial" w:cs="Arial" w:eastAsia="Arial" w:hAnsi="Arial"/>
                <w:sz w:val="10"/>
                <w:szCs w:val="10"/>
                <w:color w:val="auto"/>
              </w:rPr>
              <w:t>20,688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20,688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20,688</w:t>
            </w:r>
          </w:p>
        </w:tc>
      </w:tr>
      <w:tr>
        <w:trPr>
          <w:trHeight w:val="161"/>
        </w:trPr>
        <w:tc>
          <w:tcPr>
            <w:tcW w:w="34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rPr>
              <w:t>Total earning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468,259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354,012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307,555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1,129,826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922,218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2,052,044</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38"/>
        </w:trPr>
        <w:tc>
          <w:tcPr>
            <w:tcW w:w="34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Liabilities</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1"/>
        </w:trPr>
        <w:tc>
          <w:tcPr>
            <w:tcW w:w="3460" w:type="dxa"/>
            <w:vAlign w:val="bottom"/>
          </w:tcPr>
          <w:p>
            <w:pPr>
              <w:ind w:left="20"/>
              <w:spacing w:after="0"/>
              <w:rPr>
                <w:sz w:val="20"/>
                <w:szCs w:val="20"/>
                <w:color w:val="auto"/>
              </w:rPr>
            </w:pPr>
            <w:r>
              <w:rPr>
                <w:rFonts w:ascii="Arial" w:cs="Arial" w:eastAsia="Arial" w:hAnsi="Arial"/>
                <w:sz w:val="10"/>
                <w:szCs w:val="10"/>
                <w:color w:val="auto"/>
              </w:rPr>
              <w:t>Interest-bearing liabilities</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5"/>
        </w:trPr>
        <w:tc>
          <w:tcPr>
            <w:tcW w:w="34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11,755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23,510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105,797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141,062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649,282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790,344</w:t>
            </w:r>
          </w:p>
        </w:tc>
      </w:tr>
      <w:tr>
        <w:trPr>
          <w:trHeight w:val="131"/>
        </w:trPr>
        <w:tc>
          <w:tcPr>
            <w:tcW w:w="346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Time deposits</w:t>
            </w: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3,991</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36,826</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140,637</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181,454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111,961</w:t>
            </w: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293,415</w:t>
            </w:r>
          </w:p>
        </w:tc>
      </w:tr>
      <w:tr>
        <w:trPr>
          <w:trHeight w:val="136"/>
        </w:trPr>
        <w:tc>
          <w:tcPr>
            <w:tcW w:w="346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Total Interest-bearing deposits</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15,746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60,336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246,434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322,516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761,243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1,083,759</w:t>
            </w:r>
          </w:p>
        </w:tc>
      </w:tr>
      <w:tr>
        <w:trPr>
          <w:trHeight w:val="131"/>
        </w:trPr>
        <w:tc>
          <w:tcPr>
            <w:tcW w:w="3460" w:type="dxa"/>
            <w:vAlign w:val="bottom"/>
          </w:tcPr>
          <w:p>
            <w:pPr>
              <w:ind w:left="120"/>
              <w:spacing w:after="0"/>
              <w:rPr>
                <w:sz w:val="20"/>
                <w:szCs w:val="20"/>
                <w:color w:val="auto"/>
              </w:rPr>
            </w:pPr>
            <w:r>
              <w:rPr>
                <w:rFonts w:ascii="Arial" w:cs="Arial" w:eastAsia="Arial" w:hAnsi="Arial"/>
                <w:sz w:val="10"/>
                <w:szCs w:val="10"/>
                <w:color w:val="auto"/>
              </w:rPr>
              <w:t>FHLB Advances</w:t>
            </w:r>
          </w:p>
        </w:tc>
        <w:tc>
          <w:tcPr>
            <w:tcW w:w="120" w:type="dxa"/>
            <w:vAlign w:val="bottom"/>
          </w:tcPr>
          <w:p>
            <w:pPr>
              <w:spacing w:after="0"/>
              <w:rPr>
                <w:sz w:val="11"/>
                <w:szCs w:val="11"/>
                <w:color w:val="auto"/>
              </w:rPr>
            </w:pPr>
          </w:p>
        </w:tc>
        <w:tc>
          <w:tcPr>
            <w:tcW w:w="1100" w:type="dxa"/>
            <w:vAlign w:val="bottom"/>
          </w:tcPr>
          <w:p>
            <w:pPr>
              <w:jc w:val="right"/>
              <w:ind w:right="91"/>
              <w:spacing w:after="0"/>
              <w:rPr>
                <w:sz w:val="20"/>
                <w:szCs w:val="20"/>
                <w:color w:val="auto"/>
              </w:rPr>
            </w:pPr>
            <w:r>
              <w:rPr>
                <w:rFonts w:ascii="Arial" w:cs="Arial" w:eastAsia="Arial" w:hAnsi="Arial"/>
                <w:sz w:val="10"/>
                <w:szCs w:val="10"/>
                <w:color w:val="auto"/>
              </w:rPr>
              <w:t>35,000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50,000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85,000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71"/>
              <w:spacing w:after="0"/>
              <w:rPr>
                <w:sz w:val="20"/>
                <w:szCs w:val="20"/>
                <w:color w:val="auto"/>
              </w:rPr>
            </w:pPr>
            <w:r>
              <w:rPr>
                <w:rFonts w:ascii="Arial" w:cs="Arial" w:eastAsia="Arial" w:hAnsi="Arial"/>
                <w:sz w:val="10"/>
                <w:szCs w:val="10"/>
                <w:color w:val="auto"/>
              </w:rPr>
              <w:t>22,000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107,000</w:t>
            </w:r>
          </w:p>
        </w:tc>
      </w:tr>
      <w:tr>
        <w:trPr>
          <w:trHeight w:val="138"/>
        </w:trPr>
        <w:tc>
          <w:tcPr>
            <w:tcW w:w="34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borrowed funds</w:t>
            </w:r>
          </w:p>
        </w:tc>
        <w:tc>
          <w:tcPr>
            <w:tcW w:w="1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12,062</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12,062</w:t>
            </w:r>
          </w:p>
        </w:tc>
      </w:tr>
      <w:tr>
        <w:trPr>
          <w:trHeight w:val="136"/>
        </w:trPr>
        <w:tc>
          <w:tcPr>
            <w:tcW w:w="3460" w:type="dxa"/>
            <w:vAlign w:val="bottom"/>
          </w:tcPr>
          <w:p>
            <w:pPr>
              <w:ind w:left="280"/>
              <w:spacing w:after="0"/>
              <w:rPr>
                <w:sz w:val="20"/>
                <w:szCs w:val="20"/>
                <w:color w:val="auto"/>
              </w:rPr>
            </w:pPr>
            <w:r>
              <w:rPr>
                <w:rFonts w:ascii="Arial" w:cs="Arial" w:eastAsia="Arial" w:hAnsi="Arial"/>
                <w:sz w:val="10"/>
                <w:szCs w:val="10"/>
                <w:color w:val="auto"/>
              </w:rPr>
              <w:t>Total Interest-bearing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50,746</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110,336</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246,434</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407,516</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795,305</w:t>
            </w:r>
          </w:p>
        </w:tc>
        <w:tc>
          <w:tcPr>
            <w:tcW w:w="12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1,202,821</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31"/>
        </w:trPr>
        <w:tc>
          <w:tcPr>
            <w:tcW w:w="3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1"/>
        </w:trPr>
        <w:tc>
          <w:tcPr>
            <w:tcW w:w="3460" w:type="dxa"/>
            <w:vAlign w:val="bottom"/>
          </w:tcPr>
          <w:p>
            <w:pPr>
              <w:ind w:left="20"/>
              <w:spacing w:after="0"/>
              <w:rPr>
                <w:sz w:val="20"/>
                <w:szCs w:val="20"/>
                <w:color w:val="auto"/>
              </w:rPr>
            </w:pPr>
            <w:r>
              <w:rPr>
                <w:rFonts w:ascii="Arial" w:cs="Arial" w:eastAsia="Arial" w:hAnsi="Arial"/>
                <w:sz w:val="10"/>
                <w:szCs w:val="10"/>
                <w:color w:val="auto"/>
              </w:rPr>
              <w:t>Period gap</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91"/>
              <w:spacing w:after="0"/>
              <w:rPr>
                <w:sz w:val="20"/>
                <w:szCs w:val="20"/>
                <w:color w:val="auto"/>
              </w:rPr>
            </w:pPr>
            <w:r>
              <w:rPr>
                <w:rFonts w:ascii="Arial" w:cs="Arial" w:eastAsia="Arial" w:hAnsi="Arial"/>
                <w:sz w:val="10"/>
                <w:szCs w:val="10"/>
                <w:color w:val="auto"/>
              </w:rPr>
              <w:t>417,513</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243,676</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91"/>
              <w:spacing w:after="0"/>
              <w:rPr>
                <w:sz w:val="20"/>
                <w:szCs w:val="20"/>
                <w:color w:val="auto"/>
              </w:rPr>
            </w:pPr>
            <w:r>
              <w:rPr>
                <w:rFonts w:ascii="Arial" w:cs="Arial" w:eastAsia="Arial" w:hAnsi="Arial"/>
                <w:sz w:val="10"/>
                <w:szCs w:val="10"/>
                <w:color w:val="auto"/>
              </w:rPr>
              <w:t>61,121</w:t>
            </w:r>
          </w:p>
        </w:tc>
        <w:tc>
          <w:tcPr>
            <w:tcW w:w="100" w:type="dxa"/>
            <w:vAlign w:val="bottom"/>
          </w:tcPr>
          <w:p>
            <w:pPr>
              <w:spacing w:after="0"/>
              <w:rPr>
                <w:sz w:val="11"/>
                <w:szCs w:val="11"/>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91"/>
              <w:spacing w:after="0"/>
              <w:rPr>
                <w:sz w:val="20"/>
                <w:szCs w:val="20"/>
                <w:color w:val="auto"/>
              </w:rPr>
            </w:pPr>
            <w:r>
              <w:rPr>
                <w:rFonts w:ascii="Arial" w:cs="Arial" w:eastAsia="Arial" w:hAnsi="Arial"/>
                <w:sz w:val="10"/>
                <w:szCs w:val="10"/>
                <w:color w:val="auto"/>
              </w:rPr>
              <w:t>722,310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71"/>
              <w:spacing w:after="0"/>
              <w:rPr>
                <w:sz w:val="20"/>
                <w:szCs w:val="20"/>
                <w:color w:val="auto"/>
              </w:rPr>
            </w:pPr>
            <w:r>
              <w:rPr>
                <w:rFonts w:ascii="Arial" w:cs="Arial" w:eastAsia="Arial" w:hAnsi="Arial"/>
                <w:sz w:val="10"/>
                <w:szCs w:val="10"/>
                <w:color w:val="auto"/>
              </w:rPr>
              <w:t>126,913</w:t>
            </w:r>
          </w:p>
        </w:tc>
        <w:tc>
          <w:tcPr>
            <w:tcW w:w="120" w:type="dxa"/>
            <w:vAlign w:val="bottom"/>
          </w:tcPr>
          <w:p>
            <w:pPr>
              <w:spacing w:after="0"/>
              <w:rPr>
                <w:sz w:val="11"/>
                <w:szCs w:val="11"/>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849,223</w:t>
            </w:r>
          </w:p>
        </w:tc>
      </w:tr>
      <w:tr>
        <w:trPr>
          <w:trHeight w:val="145"/>
        </w:trPr>
        <w:tc>
          <w:tcPr>
            <w:tcW w:w="3460" w:type="dxa"/>
            <w:vAlign w:val="bottom"/>
            <w:shd w:val="clear" w:color="auto" w:fill="CCEEFF"/>
          </w:tcPr>
          <w:p>
            <w:pPr>
              <w:ind w:left="20"/>
              <w:spacing w:after="0"/>
              <w:rPr>
                <w:sz w:val="20"/>
                <w:szCs w:val="20"/>
                <w:color w:val="auto"/>
              </w:rPr>
            </w:pPr>
            <w:r>
              <w:rPr>
                <w:rFonts w:ascii="Arial" w:cs="Arial" w:eastAsia="Arial" w:hAnsi="Arial"/>
                <w:sz w:val="10"/>
                <w:szCs w:val="10"/>
                <w:color w:val="auto"/>
              </w:rPr>
              <w:t>Cumulative gap</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417,513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661,189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722,310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722,310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849,223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23"/>
        </w:trPr>
        <w:tc>
          <w:tcPr>
            <w:tcW w:w="3460" w:type="dxa"/>
            <w:vAlign w:val="bottom"/>
          </w:tcPr>
          <w:p>
            <w:pPr>
              <w:ind w:left="20"/>
              <w:spacing w:after="0"/>
              <w:rPr>
                <w:sz w:val="20"/>
                <w:szCs w:val="20"/>
                <w:color w:val="auto"/>
              </w:rPr>
            </w:pPr>
            <w:r>
              <w:rPr>
                <w:rFonts w:ascii="Arial" w:cs="Arial" w:eastAsia="Arial" w:hAnsi="Arial"/>
                <w:sz w:val="10"/>
                <w:szCs w:val="10"/>
                <w:color w:val="auto"/>
              </w:rPr>
              <w:t>Ratio of cumulative gap to total earning assets</w:t>
            </w:r>
          </w:p>
        </w:tc>
        <w:tc>
          <w:tcPr>
            <w:tcW w:w="12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20.35 %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32.22 %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35.20 %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35.20 %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41.38 %</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260" w:hanging="255"/>
        <w:spacing w:after="0" w:line="206" w:lineRule="auto"/>
        <w:tabs>
          <w:tab w:leader="none" w:pos="260" w:val="left"/>
        </w:tabs>
        <w:numPr>
          <w:ilvl w:val="0"/>
          <w:numId w:val="16"/>
        </w:numPr>
        <w:rPr>
          <w:rFonts w:ascii="Arial" w:cs="Arial" w:eastAsia="Arial" w:hAnsi="Arial"/>
          <w:sz w:val="13"/>
          <w:szCs w:val="13"/>
          <w:color w:val="auto"/>
          <w:vertAlign w:val="superscript"/>
        </w:rPr>
      </w:pPr>
      <w:r>
        <w:rPr>
          <w:rFonts w:ascii="Arial" w:cs="Arial" w:eastAsia="Arial" w:hAnsi="Arial"/>
          <w:sz w:val="10"/>
          <w:szCs w:val="10"/>
          <w:color w:val="auto"/>
        </w:rPr>
        <w:t>Includes loans held for sale.</w:t>
      </w:r>
    </w:p>
    <w:p>
      <w:pPr>
        <w:spacing w:after="0" w:line="36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15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44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09" w:right="1440" w:bottom="1440" w:gutter="0" w:footer="0" w:header="0"/>
        </w:sectPr>
      </w:pPr>
    </w:p>
    <w:bookmarkStart w:id="57" w:name="page58"/>
    <w:bookmarkEnd w:id="57"/>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Capital Bancorp, Inc.</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audited the accompanying consolidated balance sheets of Capital Bancorp, Inc. and Subsidiaries (the Company) as of December 31, 2022 and 2021, the related consolidated statements of income, comprehensive income,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 Elliott Davis, PLLC</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2017.</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1489075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58" w:name="page59"/>
    <w:bookmarkEnd w:id="58"/>
    <w:p>
      <w:pPr>
        <w:ind w:left="2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355600</wp:posOffset>
            </wp:positionH>
            <wp:positionV relativeFrom="page">
              <wp:posOffset>102235</wp:posOffset>
            </wp:positionV>
            <wp:extent cx="704850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48500" cy="13335"/>
                    </a:xfrm>
                    <a:prstGeom prst="rect">
                      <a:avLst/>
                    </a:prstGeom>
                    <a:noFill/>
                  </pic:spPr>
                </pic:pic>
              </a:graphicData>
            </a:graphic>
          </wp:anchor>
        </w:drawing>
        <w:t>Capital Bancorp, Inc. and Subsidiaries</w:t>
      </w:r>
    </w:p>
    <w:p>
      <w:pPr>
        <w:ind w:left="280"/>
        <w:spacing w:after="0" w:line="212" w:lineRule="auto"/>
        <w:rPr>
          <w:sz w:val="20"/>
          <w:szCs w:val="20"/>
          <w:color w:val="auto"/>
        </w:rPr>
      </w:pPr>
      <w:r>
        <w:rPr>
          <w:rFonts w:ascii="Arial" w:cs="Arial" w:eastAsia="Arial" w:hAnsi="Arial"/>
          <w:sz w:val="14"/>
          <w:szCs w:val="14"/>
          <w:b w:val="1"/>
          <w:bCs w:val="1"/>
          <w:i w:val="1"/>
          <w:iCs w:val="1"/>
          <w:color w:val="auto"/>
        </w:rPr>
        <w:t>Consolidated Balance Sheets</w:t>
      </w:r>
    </w:p>
    <w:p>
      <w:pPr>
        <w:ind w:left="280"/>
        <w:spacing w:after="0"/>
        <w:rPr>
          <w:sz w:val="20"/>
          <w:szCs w:val="20"/>
          <w:color w:val="auto"/>
        </w:rPr>
      </w:pPr>
      <w:r>
        <w:rPr>
          <w:rFonts w:ascii="Arial" w:cs="Arial" w:eastAsia="Arial" w:hAnsi="Arial"/>
          <w:sz w:val="11"/>
          <w:szCs w:val="11"/>
          <w:b w:val="1"/>
          <w:bCs w:val="1"/>
          <w:i w:val="1"/>
          <w:iCs w:val="1"/>
          <w:color w:val="auto"/>
        </w:rPr>
        <w:t>As of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11430</wp:posOffset>
            </wp:positionV>
            <wp:extent cx="704850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4850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(dollars 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r>
      <w:tr>
        <w:trPr>
          <w:trHeight w:val="141"/>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5"/>
        </w:trPr>
        <w:tc>
          <w:tcPr>
            <w:tcW w:w="8040" w:type="dxa"/>
            <w:vAlign w:val="bottom"/>
          </w:tcPr>
          <w:p>
            <w:pPr>
              <w:ind w:left="20"/>
              <w:spacing w:after="0"/>
              <w:rPr>
                <w:sz w:val="20"/>
                <w:szCs w:val="20"/>
                <w:color w:val="auto"/>
              </w:rPr>
            </w:pPr>
            <w:r>
              <w:rPr>
                <w:rFonts w:ascii="Arial" w:cs="Arial" w:eastAsia="Arial" w:hAnsi="Arial"/>
                <w:sz w:val="11"/>
                <w:szCs w:val="11"/>
                <w:color w:val="auto"/>
              </w:rPr>
              <w:t>Cash and due from banks</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19,963</w:t>
            </w:r>
          </w:p>
        </w:tc>
        <w:tc>
          <w:tcPr>
            <w:tcW w:w="12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42,914</w:t>
            </w:r>
          </w:p>
        </w:tc>
      </w:tr>
      <w:tr>
        <w:trPr>
          <w:trHeight w:val="163"/>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Interest-bearing deposits at other financial institutions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39,764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136,824</w:t>
            </w:r>
          </w:p>
        </w:tc>
      </w:tr>
      <w:tr>
        <w:trPr>
          <w:trHeight w:val="15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Federal funds sold</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20,688</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3,657</w:t>
            </w:r>
          </w:p>
        </w:tc>
      </w:tr>
      <w:tr>
        <w:trPr>
          <w:trHeight w:val="154"/>
        </w:trPr>
        <w:tc>
          <w:tcPr>
            <w:tcW w:w="804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cash and cash equivalents</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80,415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183,395</w:t>
            </w:r>
          </w:p>
        </w:tc>
      </w:tr>
      <w:tr>
        <w:trPr>
          <w:trHeight w:val="155"/>
        </w:trPr>
        <w:tc>
          <w:tcPr>
            <w:tcW w:w="8040" w:type="dxa"/>
            <w:vAlign w:val="bottom"/>
          </w:tcPr>
          <w:p>
            <w:pPr>
              <w:ind w:left="20"/>
              <w:spacing w:after="0"/>
              <w:rPr>
                <w:sz w:val="20"/>
                <w:szCs w:val="20"/>
                <w:color w:val="auto"/>
              </w:rPr>
            </w:pPr>
            <w:r>
              <w:rPr>
                <w:rFonts w:ascii="Arial" w:cs="Arial" w:eastAsia="Arial" w:hAnsi="Arial"/>
                <w:sz w:val="11"/>
                <w:szCs w:val="11"/>
                <w:color w:val="auto"/>
              </w:rPr>
              <w:t>Investment securities available for sale</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252,481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184,455</w:t>
            </w:r>
          </w:p>
        </w:tc>
      </w:tr>
      <w:tr>
        <w:trPr>
          <w:trHeight w:val="163"/>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Marketable equity securities</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w:t>
            </w:r>
          </w:p>
        </w:tc>
      </w:tr>
      <w:tr>
        <w:trPr>
          <w:trHeight w:val="155"/>
        </w:trPr>
        <w:tc>
          <w:tcPr>
            <w:tcW w:w="8040" w:type="dxa"/>
            <w:vAlign w:val="bottom"/>
          </w:tcPr>
          <w:p>
            <w:pPr>
              <w:ind w:left="20"/>
              <w:spacing w:after="0"/>
              <w:rPr>
                <w:sz w:val="20"/>
                <w:szCs w:val="20"/>
                <w:color w:val="auto"/>
              </w:rPr>
            </w:pPr>
            <w:r>
              <w:rPr>
                <w:rFonts w:ascii="Arial" w:cs="Arial" w:eastAsia="Arial" w:hAnsi="Arial"/>
                <w:sz w:val="11"/>
                <w:szCs w:val="11"/>
                <w:color w:val="auto"/>
              </w:rPr>
              <w:t>Restricted investments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7,362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3,498</w:t>
            </w:r>
          </w:p>
        </w:tc>
      </w:tr>
      <w:tr>
        <w:trPr>
          <w:trHeight w:val="163"/>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Loans held for sale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7,416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15,989</w:t>
            </w:r>
          </w:p>
        </w:tc>
      </w:tr>
      <w:tr>
        <w:trPr>
          <w:trHeight w:val="155"/>
        </w:trPr>
        <w:tc>
          <w:tcPr>
            <w:tcW w:w="8040" w:type="dxa"/>
            <w:vAlign w:val="bottom"/>
          </w:tcPr>
          <w:p>
            <w:pPr>
              <w:ind w:left="60"/>
              <w:spacing w:after="0"/>
              <w:rPr>
                <w:sz w:val="20"/>
                <w:szCs w:val="20"/>
                <w:color w:val="auto"/>
              </w:rPr>
            </w:pPr>
            <w:r>
              <w:rPr>
                <w:rFonts w:ascii="Arial" w:cs="Arial" w:eastAsia="Arial" w:hAnsi="Arial"/>
                <w:sz w:val="11"/>
                <w:szCs w:val="11"/>
                <w:color w:val="auto"/>
              </w:rPr>
              <w:t>U.S. Small Business Administration ("SBA") Payroll Protection Program ("PPP") loans receivable, net of deferred fees and costs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2,163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108,285</w:t>
            </w:r>
          </w:p>
        </w:tc>
      </w:tr>
      <w:tr>
        <w:trPr>
          <w:trHeight w:val="163"/>
        </w:trPr>
        <w:tc>
          <w:tcPr>
            <w:tcW w:w="8040" w:type="dxa"/>
            <w:vAlign w:val="bottom"/>
            <w:shd w:val="clear" w:color="auto" w:fill="CCEEFF"/>
          </w:tcPr>
          <w:p>
            <w:pPr>
              <w:ind w:left="60"/>
              <w:spacing w:after="0"/>
              <w:rPr>
                <w:sz w:val="20"/>
                <w:szCs w:val="20"/>
                <w:color w:val="auto"/>
              </w:rPr>
            </w:pPr>
            <w:r>
              <w:rPr>
                <w:rFonts w:ascii="Arial" w:cs="Arial" w:eastAsia="Arial" w:hAnsi="Arial"/>
                <w:sz w:val="11"/>
                <w:szCs w:val="11"/>
                <w:color w:val="auto"/>
              </w:rPr>
              <w:t>Portfolio loans receivable, net of deferred fees and costs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1,728,592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1,523,982</w:t>
            </w:r>
          </w:p>
        </w:tc>
      </w:tr>
      <w:tr>
        <w:trPr>
          <w:trHeight w:val="15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Less allowance for loan losses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(26,385)</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(25,181)</w:t>
            </w:r>
          </w:p>
        </w:tc>
      </w:tr>
      <w:tr>
        <w:trPr>
          <w:trHeight w:val="154"/>
        </w:trPr>
        <w:tc>
          <w:tcPr>
            <w:tcW w:w="804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portfolio loans held for investment, net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1,702,207</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1,498,801</w:t>
            </w:r>
          </w:p>
        </w:tc>
      </w:tr>
      <w:tr>
        <w:trPr>
          <w:trHeight w:val="155"/>
        </w:trPr>
        <w:tc>
          <w:tcPr>
            <w:tcW w:w="8040" w:type="dxa"/>
            <w:vAlign w:val="bottom"/>
          </w:tcPr>
          <w:p>
            <w:pPr>
              <w:ind w:left="20"/>
              <w:spacing w:after="0"/>
              <w:rPr>
                <w:sz w:val="20"/>
                <w:szCs w:val="20"/>
                <w:color w:val="auto"/>
              </w:rPr>
            </w:pPr>
            <w:r>
              <w:rPr>
                <w:rFonts w:ascii="Arial" w:cs="Arial" w:eastAsia="Arial" w:hAnsi="Arial"/>
                <w:sz w:val="11"/>
                <w:szCs w:val="11"/>
                <w:color w:val="auto"/>
              </w:rPr>
              <w:t>Premises and equipment, net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3,386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3,282</w:t>
            </w:r>
          </w:p>
        </w:tc>
      </w:tr>
      <w:tr>
        <w:trPr>
          <w:trHeight w:val="163"/>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Accrued interest receivable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9,489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7,901</w:t>
            </w:r>
          </w:p>
        </w:tc>
      </w:tr>
      <w:tr>
        <w:trPr>
          <w:trHeight w:val="155"/>
        </w:trPr>
        <w:tc>
          <w:tcPr>
            <w:tcW w:w="8040" w:type="dxa"/>
            <w:vAlign w:val="bottom"/>
          </w:tcPr>
          <w:p>
            <w:pPr>
              <w:ind w:left="20"/>
              <w:spacing w:after="0"/>
              <w:rPr>
                <w:sz w:val="20"/>
                <w:szCs w:val="20"/>
                <w:color w:val="auto"/>
              </w:rPr>
            </w:pPr>
            <w:r>
              <w:rPr>
                <w:rFonts w:ascii="Arial" w:cs="Arial" w:eastAsia="Arial" w:hAnsi="Arial"/>
                <w:sz w:val="11"/>
                <w:szCs w:val="11"/>
                <w:color w:val="auto"/>
              </w:rPr>
              <w:t>Deferred tax asset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13,777</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9,793</w:t>
            </w:r>
          </w:p>
        </w:tc>
      </w:tr>
      <w:tr>
        <w:trPr>
          <w:trHeight w:val="163"/>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Foreclosed real estate</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r>
      <w:tr>
        <w:trPr>
          <w:trHeight w:val="155"/>
        </w:trPr>
        <w:tc>
          <w:tcPr>
            <w:tcW w:w="8040" w:type="dxa"/>
            <w:vAlign w:val="bottom"/>
          </w:tcPr>
          <w:p>
            <w:pPr>
              <w:ind w:left="20"/>
              <w:spacing w:after="0"/>
              <w:rPr>
                <w:sz w:val="20"/>
                <w:szCs w:val="20"/>
                <w:color w:val="auto"/>
              </w:rPr>
            </w:pPr>
            <w:r>
              <w:rPr>
                <w:rFonts w:ascii="Arial" w:cs="Arial" w:eastAsia="Arial" w:hAnsi="Arial"/>
                <w:sz w:val="11"/>
                <w:szCs w:val="11"/>
                <w:color w:val="auto"/>
              </w:rPr>
              <w:t>Bank owned life insurance</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36,524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35,506</w:t>
            </w:r>
          </w:p>
        </w:tc>
      </w:tr>
      <w:tr>
        <w:trPr>
          <w:trHeight w:val="159"/>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8,435</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4,064</w:t>
            </w:r>
          </w:p>
        </w:tc>
      </w:tr>
      <w:tr>
        <w:trPr>
          <w:trHeight w:val="154"/>
        </w:trPr>
        <w:tc>
          <w:tcPr>
            <w:tcW w:w="8040" w:type="dxa"/>
            <w:vAlign w:val="bottom"/>
          </w:tcPr>
          <w:p>
            <w:pPr>
              <w:ind w:left="400"/>
              <w:spacing w:after="0"/>
              <w:rPr>
                <w:sz w:val="20"/>
                <w:szCs w:val="20"/>
                <w:color w:val="auto"/>
              </w:rPr>
            </w:pPr>
            <w:r>
              <w:rPr>
                <w:rFonts w:ascii="Arial" w:cs="Arial" w:eastAsia="Arial" w:hAnsi="Arial"/>
                <w:sz w:val="11"/>
                <w:szCs w:val="11"/>
                <w:color w:val="auto"/>
              </w:rPr>
              <w:t>Total assets</w:t>
            </w: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2,123,655</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2,055,300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1"/>
        </w:trPr>
        <w:tc>
          <w:tcPr>
            <w:tcW w:w="80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5"/>
        </w:trPr>
        <w:tc>
          <w:tcPr>
            <w:tcW w:w="8040" w:type="dxa"/>
            <w:vAlign w:val="bottom"/>
          </w:tcPr>
          <w:p>
            <w:pPr>
              <w:ind w:left="20"/>
              <w:spacing w:after="0"/>
              <w:rPr>
                <w:sz w:val="20"/>
                <w:szCs w:val="20"/>
                <w:color w:val="auto"/>
              </w:rPr>
            </w:pPr>
            <w:r>
              <w:rPr>
                <w:rFonts w:ascii="Arial" w:cs="Arial" w:eastAsia="Arial" w:hAnsi="Arial"/>
                <w:sz w:val="11"/>
                <w:szCs w:val="11"/>
                <w:b w:val="1"/>
                <w:bCs w:val="1"/>
                <w:color w:val="auto"/>
              </w:rPr>
              <w:t>Liabilities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3"/>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Deposits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55"/>
        </w:trPr>
        <w:tc>
          <w:tcPr>
            <w:tcW w:w="8040" w:type="dxa"/>
            <w:vAlign w:val="bottom"/>
          </w:tcPr>
          <w:p>
            <w:pPr>
              <w:ind w:left="180"/>
              <w:spacing w:after="0"/>
              <w:rPr>
                <w:sz w:val="20"/>
                <w:szCs w:val="20"/>
                <w:color w:val="auto"/>
              </w:rPr>
            </w:pPr>
            <w:r>
              <w:rPr>
                <w:rFonts w:ascii="Arial" w:cs="Arial" w:eastAsia="Arial" w:hAnsi="Arial"/>
                <w:sz w:val="11"/>
                <w:szCs w:val="11"/>
                <w:color w:val="auto"/>
              </w:rPr>
              <w:t>Noninterest-bearing</w:t>
            </w:r>
          </w:p>
        </w:tc>
        <w:tc>
          <w:tcPr>
            <w:tcW w:w="360" w:type="dxa"/>
            <w:vAlign w:val="bottom"/>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674,313</w:t>
            </w:r>
          </w:p>
        </w:tc>
        <w:tc>
          <w:tcPr>
            <w:tcW w:w="12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787,650</w:t>
            </w:r>
          </w:p>
        </w:tc>
      </w:tr>
      <w:tr>
        <w:trPr>
          <w:trHeight w:val="159"/>
        </w:trPr>
        <w:tc>
          <w:tcPr>
            <w:tcW w:w="80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Interest-bearing</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1,083,759</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1,009,487</w:t>
            </w:r>
          </w:p>
        </w:tc>
      </w:tr>
      <w:tr>
        <w:trPr>
          <w:trHeight w:val="150"/>
        </w:trPr>
        <w:tc>
          <w:tcPr>
            <w:tcW w:w="8040" w:type="dxa"/>
            <w:vAlign w:val="bottom"/>
          </w:tcPr>
          <w:p>
            <w:pPr>
              <w:ind w:left="400"/>
              <w:spacing w:after="0"/>
              <w:rPr>
                <w:sz w:val="20"/>
                <w:szCs w:val="20"/>
                <w:color w:val="auto"/>
              </w:rPr>
            </w:pPr>
            <w:r>
              <w:rPr>
                <w:rFonts w:ascii="Arial" w:cs="Arial" w:eastAsia="Arial" w:hAnsi="Arial"/>
                <w:sz w:val="11"/>
                <w:szCs w:val="11"/>
                <w:color w:val="auto"/>
              </w:rPr>
              <w:t>Total deposits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1,758,072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1,797,137</w:t>
            </w:r>
          </w:p>
        </w:tc>
      </w:tr>
      <w:tr>
        <w:trPr>
          <w:trHeight w:val="163"/>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Federal Home Loan Bank advances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107,000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22,000</w:t>
            </w:r>
          </w:p>
        </w:tc>
      </w:tr>
      <w:tr>
        <w:trPr>
          <w:trHeight w:val="155"/>
        </w:trPr>
        <w:tc>
          <w:tcPr>
            <w:tcW w:w="8040" w:type="dxa"/>
            <w:vAlign w:val="bottom"/>
          </w:tcPr>
          <w:p>
            <w:pPr>
              <w:ind w:left="20"/>
              <w:spacing w:after="0"/>
              <w:rPr>
                <w:sz w:val="20"/>
                <w:szCs w:val="20"/>
                <w:color w:val="auto"/>
              </w:rPr>
            </w:pPr>
            <w:r>
              <w:rPr>
                <w:rFonts w:ascii="Arial" w:cs="Arial" w:eastAsia="Arial" w:hAnsi="Arial"/>
                <w:sz w:val="11"/>
                <w:szCs w:val="11"/>
                <w:color w:val="auto"/>
              </w:rPr>
              <w:t>Other borrowed funds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12,062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12,062</w:t>
            </w:r>
          </w:p>
        </w:tc>
      </w:tr>
      <w:tr>
        <w:trPr>
          <w:trHeight w:val="163"/>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Accrued interest payable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1,031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w:t>
            </w:r>
          </w:p>
        </w:tc>
      </w:tr>
      <w:tr>
        <w:trPr>
          <w:trHeight w:val="15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21,475</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25,725</w:t>
            </w:r>
          </w:p>
        </w:tc>
      </w:tr>
      <w:tr>
        <w:trPr>
          <w:trHeight w:val="150"/>
        </w:trPr>
        <w:tc>
          <w:tcPr>
            <w:tcW w:w="804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liabilities</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1,899,640</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1,857,397</w:t>
            </w:r>
          </w:p>
        </w:tc>
      </w:tr>
      <w:tr>
        <w:trPr>
          <w:trHeight w:val="154"/>
        </w:trPr>
        <w:tc>
          <w:tcPr>
            <w:tcW w:w="8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5"/>
        </w:trPr>
        <w:tc>
          <w:tcPr>
            <w:tcW w:w="8040" w:type="dxa"/>
            <w:vAlign w:val="bottom"/>
          </w:tcPr>
          <w:p>
            <w:pPr>
              <w:ind w:left="100"/>
              <w:spacing w:after="0"/>
              <w:rPr>
                <w:sz w:val="20"/>
                <w:szCs w:val="20"/>
                <w:color w:val="auto"/>
              </w:rPr>
            </w:pPr>
            <w:r>
              <w:rPr>
                <w:rFonts w:ascii="Arial" w:cs="Arial" w:eastAsia="Arial" w:hAnsi="Arial"/>
                <w:sz w:val="11"/>
                <w:szCs w:val="11"/>
                <w:color w:val="auto"/>
              </w:rPr>
              <w:t>Common stock, $.01 par value; 49,000,000 shares authorized; 14,138,829 and 13,962,334 issued and outstanding</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141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140</w:t>
            </w:r>
          </w:p>
        </w:tc>
      </w:tr>
      <w:tr>
        <w:trPr>
          <w:trHeight w:val="163"/>
        </w:trPr>
        <w:tc>
          <w:tcPr>
            <w:tcW w:w="80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Additional paid-in capital</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58,190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54,306</w:t>
            </w:r>
          </w:p>
        </w:tc>
      </w:tr>
      <w:tr>
        <w:trPr>
          <w:trHeight w:val="155"/>
        </w:trPr>
        <w:tc>
          <w:tcPr>
            <w:tcW w:w="8040" w:type="dxa"/>
            <w:vAlign w:val="bottom"/>
          </w:tcPr>
          <w:p>
            <w:pPr>
              <w:ind w:left="120"/>
              <w:spacing w:after="0"/>
              <w:rPr>
                <w:sz w:val="20"/>
                <w:szCs w:val="20"/>
                <w:color w:val="auto"/>
              </w:rPr>
            </w:pPr>
            <w:r>
              <w:rPr>
                <w:rFonts w:ascii="Arial" w:cs="Arial" w:eastAsia="Arial" w:hAnsi="Arial"/>
                <w:sz w:val="11"/>
                <w:szCs w:val="11"/>
                <w:color w:val="auto"/>
              </w:rPr>
              <w:t>Retained earnings</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182,435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144,533</w:t>
            </w:r>
          </w:p>
        </w:tc>
      </w:tr>
      <w:tr>
        <w:trPr>
          <w:trHeight w:val="159"/>
        </w:trPr>
        <w:tc>
          <w:tcPr>
            <w:tcW w:w="80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Accumulated other comprehensive loss</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(16,751)</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(1,076)</w:t>
            </w:r>
          </w:p>
        </w:tc>
      </w:tr>
      <w:tr>
        <w:trPr>
          <w:trHeight w:val="150"/>
        </w:trPr>
        <w:tc>
          <w:tcPr>
            <w:tcW w:w="804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Total stockholders' equity</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224,015</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197,903</w:t>
            </w:r>
          </w:p>
        </w:tc>
      </w:tr>
      <w:tr>
        <w:trPr>
          <w:trHeight w:val="179"/>
        </w:trPr>
        <w:tc>
          <w:tcPr>
            <w:tcW w:w="8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Total liabilities and stockholders' equity</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2,123,655</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2,055,300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6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59" w:name="page60"/>
    <w:bookmarkEnd w:id="59"/>
    <w:p>
      <w:pPr>
        <w:ind w:left="2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355600</wp:posOffset>
            </wp:positionH>
            <wp:positionV relativeFrom="page">
              <wp:posOffset>102235</wp:posOffset>
            </wp:positionV>
            <wp:extent cx="704850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48500" cy="13335"/>
                    </a:xfrm>
                    <a:prstGeom prst="rect">
                      <a:avLst/>
                    </a:prstGeom>
                    <a:noFill/>
                  </pic:spPr>
                </pic:pic>
              </a:graphicData>
            </a:graphic>
          </wp:anchor>
        </w:drawing>
        <w:t>Capital Bancorp, Inc. and Subsidiaries</w:t>
      </w:r>
    </w:p>
    <w:p>
      <w:pPr>
        <w:ind w:left="280"/>
        <w:spacing w:after="0" w:line="212" w:lineRule="auto"/>
        <w:rPr>
          <w:sz w:val="20"/>
          <w:szCs w:val="20"/>
          <w:color w:val="auto"/>
        </w:rPr>
      </w:pPr>
      <w:r>
        <w:rPr>
          <w:rFonts w:ascii="Arial" w:cs="Arial" w:eastAsia="Arial" w:hAnsi="Arial"/>
          <w:sz w:val="14"/>
          <w:szCs w:val="14"/>
          <w:b w:val="1"/>
          <w:bCs w:val="1"/>
          <w:i w:val="1"/>
          <w:iCs w:val="1"/>
          <w:color w:val="auto"/>
        </w:rPr>
        <w:t>Consolidated Statements of Income</w:t>
      </w:r>
    </w:p>
    <w:p>
      <w:pPr>
        <w:ind w:left="280"/>
        <w:spacing w:after="0"/>
        <w:rPr>
          <w:sz w:val="20"/>
          <w:szCs w:val="20"/>
          <w:color w:val="auto"/>
        </w:rPr>
      </w:pPr>
      <w:r>
        <w:rPr>
          <w:rFonts w:ascii="Arial" w:cs="Arial" w:eastAsia="Arial" w:hAnsi="Arial"/>
          <w:sz w:val="11"/>
          <w:szCs w:val="11"/>
          <w:b w:val="1"/>
          <w:bCs w:val="1"/>
          <w:i w:val="1"/>
          <w:iCs w:val="1"/>
          <w:color w:val="auto"/>
        </w:rPr>
        <w:t>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11430</wp:posOffset>
            </wp:positionV>
            <wp:extent cx="704850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4850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(dollars in thousands except per share data)</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r>
      <w:tr>
        <w:trPr>
          <w:trHeight w:val="15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Interest income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9"/>
        </w:trPr>
        <w:tc>
          <w:tcPr>
            <w:tcW w:w="7840" w:type="dxa"/>
            <w:vAlign w:val="bottom"/>
          </w:tcPr>
          <w:p>
            <w:pPr>
              <w:ind w:left="120"/>
              <w:spacing w:after="0"/>
              <w:rPr>
                <w:sz w:val="20"/>
                <w:szCs w:val="20"/>
                <w:color w:val="auto"/>
              </w:rPr>
            </w:pPr>
            <w:r>
              <w:rPr>
                <w:rFonts w:ascii="Arial" w:cs="Arial" w:eastAsia="Arial" w:hAnsi="Arial"/>
                <w:sz w:val="13"/>
                <w:szCs w:val="13"/>
                <w:color w:val="auto"/>
              </w:rPr>
              <w:t>Loans, including fees</w:t>
            </w:r>
          </w:p>
        </w:tc>
        <w:tc>
          <w:tcPr>
            <w:tcW w:w="360" w:type="dxa"/>
            <w:vAlign w:val="bottom"/>
          </w:tcPr>
          <w:p>
            <w:pPr>
              <w:jc w:val="right"/>
              <w:ind w:right="196"/>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144,408</w:t>
            </w:r>
          </w:p>
        </w:tc>
        <w:tc>
          <w:tcPr>
            <w:tcW w:w="12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120,784</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Investment securities available for sale</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3,912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w:t>
            </w:r>
          </w:p>
        </w:tc>
      </w:tr>
      <w:tr>
        <w:trPr>
          <w:trHeight w:val="169"/>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Federal funds sold and other</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2,326</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w:t>
            </w:r>
          </w:p>
        </w:tc>
      </w:tr>
      <w:tr>
        <w:trPr>
          <w:trHeight w:val="160"/>
        </w:trPr>
        <w:tc>
          <w:tcPr>
            <w:tcW w:w="78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interest income</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150,646</w:t>
            </w:r>
          </w:p>
        </w:tc>
        <w:tc>
          <w:tcPr>
            <w:tcW w:w="1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123,243</w:t>
            </w:r>
          </w:p>
        </w:tc>
      </w:tr>
      <w:tr>
        <w:trPr>
          <w:trHeight w:val="150"/>
        </w:trPr>
        <w:tc>
          <w:tcPr>
            <w:tcW w:w="7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Interest expense</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9"/>
        </w:trPr>
        <w:tc>
          <w:tcPr>
            <w:tcW w:w="7840" w:type="dxa"/>
            <w:vAlign w:val="bottom"/>
          </w:tcPr>
          <w:p>
            <w:pPr>
              <w:ind w:left="120"/>
              <w:spacing w:after="0"/>
              <w:rPr>
                <w:sz w:val="20"/>
                <w:szCs w:val="20"/>
                <w:color w:val="auto"/>
              </w:rPr>
            </w:pPr>
            <w:r>
              <w:rPr>
                <w:rFonts w:ascii="Arial" w:cs="Arial" w:eastAsia="Arial" w:hAnsi="Arial"/>
                <w:sz w:val="13"/>
                <w:szCs w:val="13"/>
                <w:color w:val="auto"/>
              </w:rPr>
              <w:t>Deposits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7,611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5,808</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Borrowed funds</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2,428</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742</w:t>
            </w:r>
          </w:p>
        </w:tc>
      </w:tr>
      <w:tr>
        <w:trPr>
          <w:trHeight w:val="160"/>
        </w:trPr>
        <w:tc>
          <w:tcPr>
            <w:tcW w:w="784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interest expense</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10,039</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6,550</w:t>
            </w:r>
          </w:p>
        </w:tc>
      </w:tr>
      <w:tr>
        <w:trPr>
          <w:trHeight w:val="150"/>
        </w:trPr>
        <w:tc>
          <w:tcPr>
            <w:tcW w:w="7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9"/>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Net interest income</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140,607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116,693</w:t>
            </w:r>
          </w:p>
        </w:tc>
      </w:tr>
      <w:tr>
        <w:trPr>
          <w:trHeight w:val="170"/>
        </w:trPr>
        <w:tc>
          <w:tcPr>
            <w:tcW w:w="7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loan losses</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6,631</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3,359</w:t>
            </w:r>
          </w:p>
        </w:tc>
      </w:tr>
      <w:tr>
        <w:trPr>
          <w:trHeight w:val="16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interest income after provision for loan losses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133,976</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113,334</w:t>
            </w:r>
          </w:p>
        </w:tc>
      </w:tr>
      <w:tr>
        <w:trPr>
          <w:trHeight w:val="150"/>
        </w:trPr>
        <w:tc>
          <w:tcPr>
            <w:tcW w:w="7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9"/>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Noninterest income</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Service charges on deposits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767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r>
      <w:tr>
        <w:trPr>
          <w:trHeight w:val="169"/>
        </w:trPr>
        <w:tc>
          <w:tcPr>
            <w:tcW w:w="7840" w:type="dxa"/>
            <w:vAlign w:val="bottom"/>
          </w:tcPr>
          <w:p>
            <w:pPr>
              <w:ind w:left="120"/>
              <w:spacing w:after="0"/>
              <w:rPr>
                <w:sz w:val="20"/>
                <w:szCs w:val="20"/>
                <w:color w:val="auto"/>
              </w:rPr>
            </w:pPr>
            <w:r>
              <w:rPr>
                <w:rFonts w:ascii="Arial" w:cs="Arial" w:eastAsia="Arial" w:hAnsi="Arial"/>
                <w:sz w:val="13"/>
                <w:szCs w:val="13"/>
                <w:color w:val="auto"/>
              </w:rPr>
              <w:t>Credit card fees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21,972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27,884</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Mortgage banking revenue</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4,866</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20,843</w:t>
            </w:r>
          </w:p>
        </w:tc>
      </w:tr>
      <w:tr>
        <w:trPr>
          <w:trHeight w:val="169"/>
        </w:trPr>
        <w:tc>
          <w:tcPr>
            <w:tcW w:w="7840" w:type="dxa"/>
            <w:vAlign w:val="bottom"/>
          </w:tcPr>
          <w:p>
            <w:pPr>
              <w:ind w:left="120"/>
              <w:spacing w:after="0"/>
              <w:rPr>
                <w:sz w:val="20"/>
                <w:szCs w:val="20"/>
                <w:color w:val="auto"/>
              </w:rPr>
            </w:pPr>
            <w:r>
              <w:rPr>
                <w:rFonts w:ascii="Arial" w:cs="Arial" w:eastAsia="Arial" w:hAnsi="Arial"/>
                <w:sz w:val="13"/>
                <w:szCs w:val="13"/>
                <w:color w:val="auto"/>
              </w:rPr>
              <w:t>Gain on sale of investment securities available for sale, net</w:t>
            </w:r>
          </w:p>
        </w:tc>
        <w:tc>
          <w:tcPr>
            <w:tcW w:w="36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153</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income</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1,767</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1,147</w:t>
            </w:r>
          </w:p>
        </w:tc>
      </w:tr>
      <w:tr>
        <w:trPr>
          <w:trHeight w:val="160"/>
        </w:trPr>
        <w:tc>
          <w:tcPr>
            <w:tcW w:w="784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noninterest income</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29,372</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50,636</w:t>
            </w:r>
          </w:p>
        </w:tc>
      </w:tr>
      <w:tr>
        <w:trPr>
          <w:trHeight w:val="150"/>
        </w:trPr>
        <w:tc>
          <w:tcPr>
            <w:tcW w:w="7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9"/>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Noninterest expenses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Salaries and employee benefits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42,898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37,843</w:t>
            </w:r>
          </w:p>
        </w:tc>
      </w:tr>
      <w:tr>
        <w:trPr>
          <w:trHeight w:val="169"/>
        </w:trPr>
        <w:tc>
          <w:tcPr>
            <w:tcW w:w="7840" w:type="dxa"/>
            <w:vAlign w:val="bottom"/>
          </w:tcPr>
          <w:p>
            <w:pPr>
              <w:ind w:left="120"/>
              <w:spacing w:after="0"/>
              <w:rPr>
                <w:sz w:val="20"/>
                <w:szCs w:val="20"/>
                <w:color w:val="auto"/>
              </w:rPr>
            </w:pPr>
            <w:r>
              <w:rPr>
                <w:rFonts w:ascii="Arial" w:cs="Arial" w:eastAsia="Arial" w:hAnsi="Arial"/>
                <w:sz w:val="13"/>
                <w:szCs w:val="13"/>
                <w:color w:val="auto"/>
              </w:rPr>
              <w:t>Occupancy and equipment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4,865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4,327</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Professional fees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11,012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6,996</w:t>
            </w:r>
          </w:p>
        </w:tc>
      </w:tr>
      <w:tr>
        <w:trPr>
          <w:trHeight w:val="169"/>
        </w:trPr>
        <w:tc>
          <w:tcPr>
            <w:tcW w:w="7840" w:type="dxa"/>
            <w:vAlign w:val="bottom"/>
          </w:tcPr>
          <w:p>
            <w:pPr>
              <w:ind w:left="120"/>
              <w:spacing w:after="0"/>
              <w:rPr>
                <w:sz w:val="20"/>
                <w:szCs w:val="20"/>
                <w:color w:val="auto"/>
              </w:rPr>
            </w:pPr>
            <w:r>
              <w:rPr>
                <w:rFonts w:ascii="Arial" w:cs="Arial" w:eastAsia="Arial" w:hAnsi="Arial"/>
                <w:sz w:val="13"/>
                <w:szCs w:val="13"/>
                <w:color w:val="auto"/>
              </w:rPr>
              <w:t>Data processing</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29,418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39,237</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Advertising</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6,220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4,803</w:t>
            </w:r>
          </w:p>
        </w:tc>
      </w:tr>
      <w:tr>
        <w:trPr>
          <w:trHeight w:val="169"/>
        </w:trPr>
        <w:tc>
          <w:tcPr>
            <w:tcW w:w="7840" w:type="dxa"/>
            <w:vAlign w:val="bottom"/>
          </w:tcPr>
          <w:p>
            <w:pPr>
              <w:ind w:left="120"/>
              <w:spacing w:after="0"/>
              <w:rPr>
                <w:sz w:val="20"/>
                <w:szCs w:val="20"/>
                <w:color w:val="auto"/>
              </w:rPr>
            </w:pPr>
            <w:r>
              <w:rPr>
                <w:rFonts w:ascii="Arial" w:cs="Arial" w:eastAsia="Arial" w:hAnsi="Arial"/>
                <w:sz w:val="13"/>
                <w:szCs w:val="13"/>
                <w:color w:val="auto"/>
              </w:rPr>
              <w:t>Loan processing</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1,702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3,527</w:t>
            </w:r>
          </w:p>
        </w:tc>
      </w:tr>
      <w:tr>
        <w:trPr>
          <w:trHeight w:val="170"/>
        </w:trPr>
        <w:tc>
          <w:tcPr>
            <w:tcW w:w="7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real estate expenses (income), net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(183)</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r>
      <w:tr>
        <w:trPr>
          <w:trHeight w:val="169"/>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operating</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13,182</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12,993</w:t>
            </w:r>
          </w:p>
        </w:tc>
      </w:tr>
      <w:tr>
        <w:trPr>
          <w:trHeight w:val="160"/>
        </w:trPr>
        <w:tc>
          <w:tcPr>
            <w:tcW w:w="78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noninterest expenses</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109,114</w:t>
            </w:r>
          </w:p>
        </w:tc>
        <w:tc>
          <w:tcPr>
            <w:tcW w:w="1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110,094</w:t>
            </w:r>
          </w:p>
        </w:tc>
      </w:tr>
      <w:tr>
        <w:trPr>
          <w:trHeight w:val="160"/>
        </w:trPr>
        <w:tc>
          <w:tcPr>
            <w:tcW w:w="784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54,234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53,876</w:t>
            </w: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12,430</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13,898</w:t>
            </w:r>
          </w:p>
        </w:tc>
      </w:tr>
      <w:tr>
        <w:trPr>
          <w:trHeight w:val="161"/>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41,804</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39,978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31"/>
        </w:trPr>
        <w:tc>
          <w:tcPr>
            <w:tcW w:w="78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70"/>
        </w:trPr>
        <w:tc>
          <w:tcPr>
            <w:tcW w:w="7840" w:type="dxa"/>
            <w:vAlign w:val="bottom"/>
          </w:tcPr>
          <w:p>
            <w:pPr>
              <w:ind w:left="20"/>
              <w:spacing w:after="0"/>
              <w:rPr>
                <w:sz w:val="20"/>
                <w:szCs w:val="20"/>
                <w:color w:val="auto"/>
              </w:rPr>
            </w:pPr>
            <w:r>
              <w:rPr>
                <w:rFonts w:ascii="Arial" w:cs="Arial" w:eastAsia="Arial" w:hAnsi="Arial"/>
                <w:sz w:val="13"/>
                <w:szCs w:val="13"/>
                <w:color w:val="auto"/>
              </w:rPr>
              <w:t>Basic earnings per share</w:t>
            </w: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2.98</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share</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2.91</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0"/>
        </w:trPr>
        <w:tc>
          <w:tcPr>
            <w:tcW w:w="7840" w:type="dxa"/>
            <w:vAlign w:val="bottom"/>
          </w:tcPr>
          <w:p>
            <w:pPr>
              <w:ind w:left="120"/>
              <w:spacing w:after="0"/>
              <w:rPr>
                <w:sz w:val="20"/>
                <w:szCs w:val="20"/>
                <w:color w:val="auto"/>
              </w:rPr>
            </w:pPr>
            <w:r>
              <w:rPr>
                <w:rFonts w:ascii="Arial" w:cs="Arial" w:eastAsia="Arial" w:hAnsi="Arial"/>
                <w:sz w:val="13"/>
                <w:szCs w:val="13"/>
                <w:color w:val="auto"/>
              </w:rPr>
              <w:t>Basic</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14,024,598</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13,798,620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14,362,203</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14,081,403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6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66" w:right="57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149225</wp:posOffset>
            </wp:positionV>
            <wp:extent cx="71615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12" w:lineRule="auto"/>
        <w:rPr>
          <w:sz w:val="20"/>
          <w:szCs w:val="20"/>
          <w:color w:val="auto"/>
        </w:rPr>
      </w:pPr>
      <w:r>
        <w:rPr>
          <w:rFonts w:ascii="Arial" w:cs="Arial" w:eastAsia="Arial" w:hAnsi="Arial"/>
          <w:sz w:val="14"/>
          <w:szCs w:val="14"/>
          <w:b w:val="1"/>
          <w:bCs w:val="1"/>
          <w:i w:val="1"/>
          <w:iCs w:val="1"/>
          <w:color w:val="auto"/>
        </w:rPr>
        <w:t>Consolidated Statements of Comprehensive Income</w:t>
      </w:r>
    </w:p>
    <w:p>
      <w:pPr>
        <w:spacing w:after="0"/>
        <w:rPr>
          <w:sz w:val="20"/>
          <w:szCs w:val="20"/>
          <w:color w:val="auto"/>
        </w:rPr>
      </w:pPr>
      <w:r>
        <w:rPr>
          <w:rFonts w:ascii="Arial" w:cs="Arial" w:eastAsia="Arial" w:hAnsi="Arial"/>
          <w:sz w:val="11"/>
          <w:szCs w:val="11"/>
          <w:b w:val="1"/>
          <w:bCs w:val="1"/>
          <w:i w:val="1"/>
          <w:iCs w:val="1"/>
          <w:color w:val="auto"/>
        </w:rPr>
        <w:t>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wp:posOffset>
            </wp:positionV>
            <wp:extent cx="71615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r>
      <w:tr>
        <w:trPr>
          <w:trHeight w:val="162"/>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41,804</w:t>
            </w: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w:t>
            </w:r>
          </w:p>
        </w:tc>
      </w:tr>
      <w:tr>
        <w:trPr>
          <w:trHeight w:val="150"/>
        </w:trPr>
        <w:tc>
          <w:tcPr>
            <w:tcW w:w="7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(loss):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9"/>
        </w:trPr>
        <w:tc>
          <w:tcPr>
            <w:tcW w:w="7860" w:type="dxa"/>
            <w:vAlign w:val="bottom"/>
          </w:tcPr>
          <w:p>
            <w:pPr>
              <w:ind w:left="100"/>
              <w:spacing w:after="0"/>
              <w:rPr>
                <w:sz w:val="20"/>
                <w:szCs w:val="20"/>
                <w:color w:val="auto"/>
              </w:rPr>
            </w:pPr>
            <w:r>
              <w:rPr>
                <w:rFonts w:ascii="Arial" w:cs="Arial" w:eastAsia="Arial" w:hAnsi="Arial"/>
                <w:sz w:val="13"/>
                <w:szCs w:val="13"/>
                <w:color w:val="auto"/>
              </w:rPr>
              <w:t>Unrealized loss on investment securities available for sale</w:t>
            </w: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(20,912)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70"/>
        </w:trPr>
        <w:tc>
          <w:tcPr>
            <w:tcW w:w="7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Reclassification of realized gain on sales of investment securities available for sale</w:t>
            </w:r>
          </w:p>
        </w:tc>
        <w:tc>
          <w:tcPr>
            <w:tcW w:w="3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0"/>
        </w:trPr>
        <w:tc>
          <w:tcPr>
            <w:tcW w:w="78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(20,912)</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w:t>
            </w:r>
          </w:p>
        </w:tc>
      </w:tr>
      <w:tr>
        <w:trPr>
          <w:trHeight w:val="17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relating to the items above</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5,237</w:t>
            </w: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comprehensive loss</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(15,675)</w:t>
            </w: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r>
      <w:tr>
        <w:trPr>
          <w:trHeight w:val="18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26,129</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6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195580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320" w:top="240" w:right="239" w:bottom="1440" w:gutter="0" w:footer="0" w:header="0"/>
        </w:sectPr>
      </w:pPr>
    </w:p>
    <w:bookmarkStart w:id="61" w:name="page62"/>
    <w:bookmarkEnd w:id="61"/>
    <w:p>
      <w:pPr>
        <w:ind w:left="2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355600</wp:posOffset>
            </wp:positionH>
            <wp:positionV relativeFrom="page">
              <wp:posOffset>102235</wp:posOffset>
            </wp:positionV>
            <wp:extent cx="704850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48500" cy="13335"/>
                    </a:xfrm>
                    <a:prstGeom prst="rect">
                      <a:avLst/>
                    </a:prstGeom>
                    <a:noFill/>
                  </pic:spPr>
                </pic:pic>
              </a:graphicData>
            </a:graphic>
          </wp:anchor>
        </w:drawing>
        <w:t>Capital Bancorp, Inc. and Subsidiaries</w:t>
      </w:r>
    </w:p>
    <w:p>
      <w:pPr>
        <w:ind w:left="260"/>
        <w:spacing w:after="0" w:line="212" w:lineRule="auto"/>
        <w:rPr>
          <w:sz w:val="20"/>
          <w:szCs w:val="20"/>
          <w:color w:val="auto"/>
        </w:rPr>
      </w:pPr>
      <w:r>
        <w:rPr>
          <w:rFonts w:ascii="Arial" w:cs="Arial" w:eastAsia="Arial" w:hAnsi="Arial"/>
          <w:sz w:val="14"/>
          <w:szCs w:val="14"/>
          <w:b w:val="1"/>
          <w:bCs w:val="1"/>
          <w:color w:val="auto"/>
        </w:rPr>
        <w:t>Consolidated Statements of Changes in Stockholders’ Equity</w:t>
      </w:r>
    </w:p>
    <w:p>
      <w:pPr>
        <w:ind w:left="260"/>
        <w:spacing w:after="0"/>
        <w:rPr>
          <w:sz w:val="20"/>
          <w:szCs w:val="20"/>
          <w:color w:val="auto"/>
        </w:rPr>
      </w:pPr>
      <w:r>
        <w:rPr>
          <w:rFonts w:ascii="Arial" w:cs="Arial" w:eastAsia="Arial" w:hAnsi="Arial"/>
          <w:sz w:val="11"/>
          <w:szCs w:val="11"/>
          <w:b w:val="1"/>
          <w:bCs w:val="1"/>
          <w:i w:val="1"/>
          <w:iCs w:val="1"/>
          <w:color w:val="auto"/>
        </w:rPr>
        <w:t>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11430</wp:posOffset>
            </wp:positionV>
            <wp:extent cx="704850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4850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920" w:type="dxa"/>
            <w:vAlign w:val="bottom"/>
          </w:tcPr>
          <w:p>
            <w:pPr>
              <w:spacing w:after="0"/>
              <w:rPr>
                <w:sz w:val="11"/>
                <w:szCs w:val="1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Common Stock</w:t>
            </w: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Additional</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Accumulated Other</w:t>
            </w:r>
          </w:p>
        </w:tc>
        <w:tc>
          <w:tcPr>
            <w:tcW w:w="200" w:type="dxa"/>
            <w:vAlign w:val="bottom"/>
          </w:tcPr>
          <w:p>
            <w:pPr>
              <w:spacing w:after="0"/>
              <w:rPr>
                <w:sz w:val="11"/>
                <w:szCs w:val="11"/>
                <w:color w:val="auto"/>
              </w:rPr>
            </w:pPr>
          </w:p>
        </w:tc>
        <w:tc>
          <w:tcPr>
            <w:tcW w:w="1080" w:type="dxa"/>
            <w:vAlign w:val="bottom"/>
          </w:tcPr>
          <w:p>
            <w:pPr>
              <w:jc w:val="center"/>
              <w:ind w:right="145"/>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5"/>
        </w:trPr>
        <w:tc>
          <w:tcPr>
            <w:tcW w:w="3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w w:val="95"/>
              </w:rPr>
              <w:t>Paid-in</w:t>
            </w:r>
          </w:p>
        </w:tc>
        <w:tc>
          <w:tcPr>
            <w:tcW w:w="180" w:type="dxa"/>
            <w:vAlign w:val="bottom"/>
          </w:tcPr>
          <w:p>
            <w:pPr>
              <w:spacing w:after="0"/>
              <w:rPr>
                <w:sz w:val="8"/>
                <w:szCs w:val="8"/>
                <w:color w:val="auto"/>
              </w:rPr>
            </w:pPr>
          </w:p>
        </w:tc>
        <w:tc>
          <w:tcPr>
            <w:tcW w:w="880" w:type="dxa"/>
            <w:vAlign w:val="bottom"/>
            <w:gridSpan w:val="2"/>
          </w:tcPr>
          <w:p>
            <w:pPr>
              <w:ind w:left="100"/>
              <w:spacing w:after="0" w:line="96"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8"/>
                <w:szCs w:val="8"/>
                <w:color w:val="auto"/>
              </w:rPr>
            </w:pPr>
          </w:p>
        </w:tc>
        <w:tc>
          <w:tcPr>
            <w:tcW w:w="1440" w:type="dxa"/>
            <w:vAlign w:val="bottom"/>
            <w:gridSpan w:val="2"/>
          </w:tcPr>
          <w:p>
            <w:pPr>
              <w:jc w:val="center"/>
              <w:ind w:right="220"/>
              <w:spacing w:after="0" w:line="96" w:lineRule="exact"/>
              <w:rPr>
                <w:sz w:val="20"/>
                <w:szCs w:val="20"/>
                <w:color w:val="auto"/>
              </w:rPr>
            </w:pPr>
            <w:r>
              <w:rPr>
                <w:rFonts w:ascii="Arial" w:cs="Arial" w:eastAsia="Arial" w:hAnsi="Arial"/>
                <w:sz w:val="10"/>
                <w:szCs w:val="10"/>
                <w:b w:val="1"/>
                <w:bCs w:val="1"/>
                <w:color w:val="auto"/>
                <w:w w:val="97"/>
              </w:rPr>
              <w:t>Comprehensive Income</w:t>
            </w:r>
          </w:p>
        </w:tc>
        <w:tc>
          <w:tcPr>
            <w:tcW w:w="200" w:type="dxa"/>
            <w:vAlign w:val="bottom"/>
          </w:tcPr>
          <w:p>
            <w:pPr>
              <w:spacing w:after="0"/>
              <w:rPr>
                <w:sz w:val="8"/>
                <w:szCs w:val="8"/>
                <w:color w:val="auto"/>
              </w:rPr>
            </w:pPr>
          </w:p>
        </w:tc>
        <w:tc>
          <w:tcPr>
            <w:tcW w:w="1080" w:type="dxa"/>
            <w:vAlign w:val="bottom"/>
          </w:tcPr>
          <w:p>
            <w:pPr>
              <w:jc w:val="center"/>
              <w:ind w:right="145"/>
              <w:spacing w:after="0" w:line="96" w:lineRule="exact"/>
              <w:rPr>
                <w:sz w:val="20"/>
                <w:szCs w:val="20"/>
                <w:color w:val="auto"/>
              </w:rPr>
            </w:pPr>
            <w:r>
              <w:rPr>
                <w:rFonts w:ascii="Arial" w:cs="Arial" w:eastAsia="Arial" w:hAnsi="Arial"/>
                <w:sz w:val="10"/>
                <w:szCs w:val="10"/>
                <w:b w:val="1"/>
                <w:bCs w:val="1"/>
                <w:color w:val="auto"/>
                <w:w w:val="97"/>
              </w:rPr>
              <w:t>Stockholders'</w:t>
            </w:r>
          </w:p>
        </w:tc>
        <w:tc>
          <w:tcPr>
            <w:tcW w:w="0" w:type="dxa"/>
            <w:vAlign w:val="bottom"/>
          </w:tcPr>
          <w:p>
            <w:pPr>
              <w:spacing w:after="0"/>
              <w:rPr>
                <w:sz w:val="1"/>
                <w:szCs w:val="1"/>
                <w:color w:val="auto"/>
              </w:rPr>
            </w:pPr>
          </w:p>
        </w:tc>
      </w:tr>
      <w:tr>
        <w:trPr>
          <w:trHeight w:val="141"/>
        </w:trPr>
        <w:tc>
          <w:tcPr>
            <w:tcW w:w="3920" w:type="dxa"/>
            <w:vAlign w:val="bottom"/>
          </w:tcPr>
          <w:p>
            <w:pPr>
              <w:ind w:left="20"/>
              <w:spacing w:after="0"/>
              <w:rPr>
                <w:sz w:val="20"/>
                <w:szCs w:val="20"/>
                <w:color w:val="auto"/>
              </w:rPr>
            </w:pPr>
            <w:r>
              <w:rPr>
                <w:rFonts w:ascii="Arial" w:cs="Arial" w:eastAsia="Arial" w:hAnsi="Arial"/>
                <w:sz w:val="8"/>
                <w:szCs w:val="8"/>
                <w:i w:val="1"/>
                <w:iCs w:val="1"/>
                <w:color w:val="auto"/>
              </w:rPr>
              <w:t>(dollars in thousands, except per share data)</w:t>
            </w:r>
          </w:p>
        </w:tc>
        <w:tc>
          <w:tcPr>
            <w:tcW w:w="1280" w:type="dxa"/>
            <w:vAlign w:val="bottom"/>
            <w:gridSpan w:val="2"/>
          </w:tcPr>
          <w:p>
            <w:pPr>
              <w:ind w:left="4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Capital</w:t>
            </w:r>
          </w:p>
        </w:tc>
        <w:tc>
          <w:tcPr>
            <w:tcW w:w="18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Arial" w:cs="Arial" w:eastAsia="Arial" w:hAnsi="Arial"/>
                <w:sz w:val="10"/>
                <w:szCs w:val="10"/>
                <w:b w:val="1"/>
                <w:bCs w:val="1"/>
                <w:color w:val="auto"/>
              </w:rPr>
              <w:t>Earnings</w:t>
            </w:r>
          </w:p>
        </w:tc>
        <w:tc>
          <w:tcPr>
            <w:tcW w:w="120" w:type="dxa"/>
            <w:vAlign w:val="bottom"/>
          </w:tcPr>
          <w:p>
            <w:pPr>
              <w:spacing w:after="0"/>
              <w:rPr>
                <w:sz w:val="12"/>
                <w:szCs w:val="12"/>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(Loss)</w:t>
            </w:r>
          </w:p>
        </w:tc>
        <w:tc>
          <w:tcPr>
            <w:tcW w:w="200" w:type="dxa"/>
            <w:vAlign w:val="bottom"/>
          </w:tcPr>
          <w:p>
            <w:pPr>
              <w:spacing w:after="0"/>
              <w:rPr>
                <w:sz w:val="12"/>
                <w:szCs w:val="12"/>
                <w:color w:val="auto"/>
              </w:rPr>
            </w:pPr>
          </w:p>
        </w:tc>
        <w:tc>
          <w:tcPr>
            <w:tcW w:w="1080" w:type="dxa"/>
            <w:vAlign w:val="bottom"/>
          </w:tcPr>
          <w:p>
            <w:pPr>
              <w:jc w:val="center"/>
              <w:ind w:right="145"/>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5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13,753,529</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50,602</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106,854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1,717</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159,311</w:t>
            </w:r>
          </w:p>
        </w:tc>
        <w:tc>
          <w:tcPr>
            <w:tcW w:w="0" w:type="dxa"/>
            <w:vAlign w:val="bottom"/>
          </w:tcPr>
          <w:p>
            <w:pPr>
              <w:spacing w:after="0"/>
              <w:rPr>
                <w:sz w:val="1"/>
                <w:szCs w:val="1"/>
                <w:color w:val="auto"/>
              </w:rPr>
            </w:pPr>
          </w:p>
        </w:tc>
      </w:tr>
      <w:tr>
        <w:trPr>
          <w:trHeight w:val="154"/>
        </w:trPr>
        <w:tc>
          <w:tcPr>
            <w:tcW w:w="3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39,978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39,978</w:t>
            </w:r>
          </w:p>
        </w:tc>
        <w:tc>
          <w:tcPr>
            <w:tcW w:w="0" w:type="dxa"/>
            <w:vAlign w:val="bottom"/>
          </w:tcPr>
          <w:p>
            <w:pPr>
              <w:spacing w:after="0"/>
              <w:rPr>
                <w:sz w:val="1"/>
                <w:szCs w:val="1"/>
                <w:color w:val="auto"/>
              </w:rPr>
            </w:pPr>
          </w:p>
        </w:tc>
      </w:tr>
      <w:tr>
        <w:trPr>
          <w:trHeight w:val="131"/>
        </w:trPr>
        <w:tc>
          <w:tcPr>
            <w:tcW w:w="3920" w:type="dxa"/>
            <w:vAlign w:val="bottom"/>
          </w:tcPr>
          <w:p>
            <w:pPr>
              <w:ind w:left="20"/>
              <w:spacing w:after="0"/>
              <w:rPr>
                <w:sz w:val="20"/>
                <w:szCs w:val="20"/>
                <w:color w:val="auto"/>
              </w:rPr>
            </w:pPr>
            <w:r>
              <w:rPr>
                <w:rFonts w:ascii="Arial" w:cs="Arial" w:eastAsia="Arial" w:hAnsi="Arial"/>
                <w:sz w:val="11"/>
                <w:szCs w:val="11"/>
                <w:color w:val="auto"/>
              </w:rPr>
              <w:t>Unrealized loss on investment securities available for sale, net of income</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1"/>
                <w:szCs w:val="11"/>
                <w:color w:val="auto"/>
              </w:rPr>
              <w:t>(2,793)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(2,793)</w:t>
            </w:r>
          </w:p>
        </w:tc>
        <w:tc>
          <w:tcPr>
            <w:tcW w:w="0" w:type="dxa"/>
            <w:vAlign w:val="bottom"/>
          </w:tcPr>
          <w:p>
            <w:pPr>
              <w:spacing w:after="0"/>
              <w:rPr>
                <w:sz w:val="1"/>
                <w:szCs w:val="1"/>
                <w:color w:val="auto"/>
              </w:rPr>
            </w:pPr>
          </w:p>
        </w:tc>
      </w:tr>
      <w:tr>
        <w:trPr>
          <w:trHeight w:val="134"/>
        </w:trPr>
        <w:tc>
          <w:tcPr>
            <w:tcW w:w="3920" w:type="dxa"/>
            <w:vAlign w:val="bottom"/>
          </w:tcPr>
          <w:p>
            <w:pPr>
              <w:ind w:left="140"/>
              <w:spacing w:after="0"/>
              <w:rPr>
                <w:sz w:val="20"/>
                <w:szCs w:val="20"/>
                <w:color w:val="auto"/>
              </w:rPr>
            </w:pPr>
            <w:r>
              <w:rPr>
                <w:rFonts w:ascii="Arial" w:cs="Arial" w:eastAsia="Arial" w:hAnsi="Arial"/>
                <w:sz w:val="11"/>
                <w:szCs w:val="11"/>
                <w:color w:val="auto"/>
              </w:rPr>
              <w:t>taxes</w:t>
            </w: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options exercised, net of shares withheld for purchase price</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186,461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1,838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967</w:t>
            </w:r>
          </w:p>
        </w:tc>
        <w:tc>
          <w:tcPr>
            <w:tcW w:w="0" w:type="dxa"/>
            <w:vAlign w:val="bottom"/>
          </w:tcPr>
          <w:p>
            <w:pPr>
              <w:spacing w:after="0"/>
              <w:rPr>
                <w:sz w:val="1"/>
                <w:szCs w:val="1"/>
                <w:color w:val="auto"/>
              </w:rPr>
            </w:pPr>
          </w:p>
        </w:tc>
      </w:tr>
      <w:tr>
        <w:trPr>
          <w:trHeight w:val="155"/>
        </w:trPr>
        <w:tc>
          <w:tcPr>
            <w:tcW w:w="3920" w:type="dxa"/>
            <w:vAlign w:val="bottom"/>
          </w:tcPr>
          <w:p>
            <w:pPr>
              <w:ind w:left="20"/>
              <w:spacing w:after="0"/>
              <w:rPr>
                <w:sz w:val="20"/>
                <w:szCs w:val="20"/>
                <w:color w:val="auto"/>
              </w:rPr>
            </w:pPr>
            <w:r>
              <w:rPr>
                <w:rFonts w:ascii="Arial" w:cs="Arial" w:eastAsia="Arial" w:hAnsi="Arial"/>
                <w:sz w:val="11"/>
                <w:szCs w:val="11"/>
                <w:color w:val="auto"/>
              </w:rPr>
              <w:t>Shares issued as compensation</w:t>
            </w:r>
          </w:p>
        </w:tc>
        <w:tc>
          <w:tcPr>
            <w:tcW w:w="1160" w:type="dxa"/>
            <w:vAlign w:val="bottom"/>
          </w:tcPr>
          <w:p>
            <w:pPr>
              <w:jc w:val="right"/>
              <w:spacing w:after="0"/>
              <w:rPr>
                <w:sz w:val="20"/>
                <w:szCs w:val="20"/>
                <w:color w:val="auto"/>
              </w:rPr>
            </w:pPr>
            <w:r>
              <w:rPr>
                <w:rFonts w:ascii="Arial" w:cs="Arial" w:eastAsia="Arial" w:hAnsi="Arial"/>
                <w:sz w:val="11"/>
                <w:szCs w:val="11"/>
                <w:color w:val="auto"/>
              </w:rPr>
              <w:t>22,344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519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475</w:t>
            </w: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1,347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1,347</w:t>
            </w:r>
          </w:p>
        </w:tc>
        <w:tc>
          <w:tcPr>
            <w:tcW w:w="0" w:type="dxa"/>
            <w:vAlign w:val="bottom"/>
          </w:tcPr>
          <w:p>
            <w:pPr>
              <w:spacing w:after="0"/>
              <w:rPr>
                <w:sz w:val="1"/>
                <w:szCs w:val="1"/>
                <w:color w:val="auto"/>
              </w:rPr>
            </w:pPr>
          </w:p>
        </w:tc>
      </w:tr>
      <w:tr>
        <w:trPr>
          <w:trHeight w:val="155"/>
        </w:trPr>
        <w:tc>
          <w:tcPr>
            <w:tcW w:w="3920" w:type="dxa"/>
            <w:vAlign w:val="bottom"/>
          </w:tcPr>
          <w:p>
            <w:pPr>
              <w:ind w:left="20"/>
              <w:spacing w:after="0"/>
              <w:rPr>
                <w:sz w:val="20"/>
                <w:szCs w:val="20"/>
                <w:color w:val="auto"/>
              </w:rPr>
            </w:pPr>
            <w:r>
              <w:rPr>
                <w:rFonts w:ascii="Arial" w:cs="Arial" w:eastAsia="Arial" w:hAnsi="Arial"/>
                <w:sz w:val="11"/>
                <w:szCs w:val="11"/>
                <w:color w:val="auto"/>
              </w:rPr>
              <w:t>Cash dividends to stockholders ($0.10 per share)</w:t>
            </w: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(1,382)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(1,382)</w:t>
            </w:r>
          </w:p>
        </w:tc>
        <w:tc>
          <w:tcPr>
            <w:tcW w:w="0" w:type="dxa"/>
            <w:vAlign w:val="bottom"/>
          </w:tcPr>
          <w:p>
            <w:pPr>
              <w:spacing w:after="0"/>
              <w:rPr>
                <w:sz w:val="1"/>
                <w:szCs w:val="1"/>
                <w:color w:val="auto"/>
              </w:rPr>
            </w:pPr>
          </w:p>
        </w:tc>
      </w:tr>
      <w:tr>
        <w:trPr>
          <w:trHeight w:val="15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13,962,334</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54,306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144,533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197,903</w:t>
            </w:r>
          </w:p>
        </w:tc>
        <w:tc>
          <w:tcPr>
            <w:tcW w:w="0" w:type="dxa"/>
            <w:vAlign w:val="bottom"/>
          </w:tcPr>
          <w:p>
            <w:pPr>
              <w:spacing w:after="0"/>
              <w:rPr>
                <w:sz w:val="1"/>
                <w:szCs w:val="1"/>
                <w:color w:val="auto"/>
              </w:rPr>
            </w:pPr>
          </w:p>
        </w:tc>
      </w:tr>
      <w:tr>
        <w:trPr>
          <w:trHeight w:val="154"/>
        </w:trPr>
        <w:tc>
          <w:tcPr>
            <w:tcW w:w="3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41,804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41,804</w:t>
            </w:r>
          </w:p>
        </w:tc>
        <w:tc>
          <w:tcPr>
            <w:tcW w:w="0" w:type="dxa"/>
            <w:vAlign w:val="bottom"/>
          </w:tcPr>
          <w:p>
            <w:pPr>
              <w:spacing w:after="0"/>
              <w:rPr>
                <w:sz w:val="1"/>
                <w:szCs w:val="1"/>
                <w:color w:val="auto"/>
              </w:rPr>
            </w:pPr>
          </w:p>
        </w:tc>
      </w:tr>
      <w:tr>
        <w:trPr>
          <w:trHeight w:val="131"/>
        </w:trPr>
        <w:tc>
          <w:tcPr>
            <w:tcW w:w="3920" w:type="dxa"/>
            <w:vAlign w:val="bottom"/>
          </w:tcPr>
          <w:p>
            <w:pPr>
              <w:ind w:left="20"/>
              <w:spacing w:after="0"/>
              <w:rPr>
                <w:sz w:val="20"/>
                <w:szCs w:val="20"/>
                <w:color w:val="auto"/>
              </w:rPr>
            </w:pPr>
            <w:r>
              <w:rPr>
                <w:rFonts w:ascii="Arial" w:cs="Arial" w:eastAsia="Arial" w:hAnsi="Arial"/>
                <w:sz w:val="11"/>
                <w:szCs w:val="11"/>
                <w:color w:val="auto"/>
              </w:rPr>
              <w:t>Unrealized loss on investment securities available for sale, net of income</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1"/>
                <w:szCs w:val="11"/>
                <w:color w:val="auto"/>
              </w:rPr>
              <w:t>(15,675)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(15,675)</w:t>
            </w:r>
          </w:p>
        </w:tc>
        <w:tc>
          <w:tcPr>
            <w:tcW w:w="0" w:type="dxa"/>
            <w:vAlign w:val="bottom"/>
          </w:tcPr>
          <w:p>
            <w:pPr>
              <w:spacing w:after="0"/>
              <w:rPr>
                <w:sz w:val="1"/>
                <w:szCs w:val="1"/>
                <w:color w:val="auto"/>
              </w:rPr>
            </w:pPr>
          </w:p>
        </w:tc>
      </w:tr>
      <w:tr>
        <w:trPr>
          <w:trHeight w:val="134"/>
        </w:trPr>
        <w:tc>
          <w:tcPr>
            <w:tcW w:w="3920" w:type="dxa"/>
            <w:vAlign w:val="bottom"/>
          </w:tcPr>
          <w:p>
            <w:pPr>
              <w:ind w:left="140"/>
              <w:spacing w:after="0"/>
              <w:rPr>
                <w:sz w:val="20"/>
                <w:szCs w:val="20"/>
                <w:color w:val="auto"/>
              </w:rPr>
            </w:pPr>
            <w:r>
              <w:rPr>
                <w:rFonts w:ascii="Arial" w:cs="Arial" w:eastAsia="Arial" w:hAnsi="Arial"/>
                <w:sz w:val="11"/>
                <w:szCs w:val="11"/>
                <w:color w:val="auto"/>
              </w:rPr>
              <w:t>taxes</w:t>
            </w: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options exercised, net of shares withheld for purchase price</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160,590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1,999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1,235</w:t>
            </w:r>
          </w:p>
        </w:tc>
        <w:tc>
          <w:tcPr>
            <w:tcW w:w="0" w:type="dxa"/>
            <w:vAlign w:val="bottom"/>
          </w:tcPr>
          <w:p>
            <w:pPr>
              <w:spacing w:after="0"/>
              <w:rPr>
                <w:sz w:val="1"/>
                <w:szCs w:val="1"/>
                <w:color w:val="auto"/>
              </w:rPr>
            </w:pPr>
          </w:p>
        </w:tc>
      </w:tr>
      <w:tr>
        <w:trPr>
          <w:trHeight w:val="155"/>
        </w:trPr>
        <w:tc>
          <w:tcPr>
            <w:tcW w:w="3920" w:type="dxa"/>
            <w:vAlign w:val="bottom"/>
          </w:tcPr>
          <w:p>
            <w:pPr>
              <w:ind w:left="20"/>
              <w:spacing w:after="0"/>
              <w:rPr>
                <w:sz w:val="20"/>
                <w:szCs w:val="20"/>
                <w:color w:val="auto"/>
              </w:rPr>
            </w:pPr>
            <w:r>
              <w:rPr>
                <w:rFonts w:ascii="Arial" w:cs="Arial" w:eastAsia="Arial" w:hAnsi="Arial"/>
                <w:sz w:val="11"/>
                <w:szCs w:val="11"/>
                <w:color w:val="auto"/>
              </w:rPr>
              <w:t>Shares issued as compensation</w:t>
            </w:r>
          </w:p>
        </w:tc>
        <w:tc>
          <w:tcPr>
            <w:tcW w:w="1160" w:type="dxa"/>
            <w:vAlign w:val="bottom"/>
          </w:tcPr>
          <w:p>
            <w:pPr>
              <w:jc w:val="right"/>
              <w:spacing w:after="0"/>
              <w:rPr>
                <w:sz w:val="20"/>
                <w:szCs w:val="20"/>
                <w:color w:val="auto"/>
              </w:rPr>
            </w:pPr>
            <w:r>
              <w:rPr>
                <w:rFonts w:ascii="Arial" w:cs="Arial" w:eastAsia="Arial" w:hAnsi="Arial"/>
                <w:sz w:val="11"/>
                <w:szCs w:val="11"/>
                <w:color w:val="auto"/>
              </w:rPr>
              <w:t>15,905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223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1,662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1,662</w:t>
            </w:r>
          </w:p>
        </w:tc>
        <w:tc>
          <w:tcPr>
            <w:tcW w:w="0" w:type="dxa"/>
            <w:vAlign w:val="bottom"/>
          </w:tcPr>
          <w:p>
            <w:pPr>
              <w:spacing w:after="0"/>
              <w:rPr>
                <w:sz w:val="1"/>
                <w:szCs w:val="1"/>
                <w:color w:val="auto"/>
              </w:rPr>
            </w:pPr>
          </w:p>
        </w:tc>
      </w:tr>
      <w:tr>
        <w:trPr>
          <w:trHeight w:val="155"/>
        </w:trPr>
        <w:tc>
          <w:tcPr>
            <w:tcW w:w="3920" w:type="dxa"/>
            <w:vAlign w:val="bottom"/>
          </w:tcPr>
          <w:p>
            <w:pPr>
              <w:ind w:left="20"/>
              <w:spacing w:after="0"/>
              <w:rPr>
                <w:sz w:val="20"/>
                <w:szCs w:val="20"/>
                <w:color w:val="auto"/>
              </w:rPr>
            </w:pPr>
            <w:r>
              <w:rPr>
                <w:rFonts w:ascii="Arial" w:cs="Arial" w:eastAsia="Arial" w:hAnsi="Arial"/>
                <w:sz w:val="11"/>
                <w:szCs w:val="11"/>
                <w:color w:val="auto"/>
              </w:rPr>
              <w:t>Cash dividends to stockholders ($0.22 per share)</w:t>
            </w:r>
          </w:p>
        </w:tc>
        <w:tc>
          <w:tcPr>
            <w:tcW w:w="12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(3,085)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(3,085)</w:t>
            </w:r>
          </w:p>
        </w:tc>
        <w:tc>
          <w:tcPr>
            <w:tcW w:w="0" w:type="dxa"/>
            <w:vAlign w:val="bottom"/>
          </w:tcPr>
          <w:p>
            <w:pPr>
              <w:spacing w:after="0"/>
              <w:rPr>
                <w:sz w:val="1"/>
                <w:szCs w:val="1"/>
                <w:color w:val="auto"/>
              </w:rPr>
            </w:pPr>
          </w:p>
        </w:tc>
      </w:tr>
      <w:tr>
        <w:trPr>
          <w:trHeight w:val="179"/>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14,138,829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58,190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182,435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224,015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6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201930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149225</wp:posOffset>
            </wp:positionV>
            <wp:extent cx="71615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12" w:lineRule="auto"/>
        <w:rPr>
          <w:sz w:val="20"/>
          <w:szCs w:val="20"/>
          <w:color w:val="auto"/>
        </w:rPr>
      </w:pPr>
      <w:r>
        <w:rPr>
          <w:rFonts w:ascii="Arial" w:cs="Arial" w:eastAsia="Arial" w:hAnsi="Arial"/>
          <w:sz w:val="14"/>
          <w:szCs w:val="14"/>
          <w:b w:val="1"/>
          <w:bCs w:val="1"/>
          <w:i w:val="1"/>
          <w:iCs w:val="1"/>
          <w:color w:val="auto"/>
        </w:rPr>
        <w:t>Consolidated Statements of Cash Flows</w:t>
      </w:r>
    </w:p>
    <w:p>
      <w:pPr>
        <w:spacing w:after="0"/>
        <w:rPr>
          <w:sz w:val="20"/>
          <w:szCs w:val="20"/>
          <w:color w:val="auto"/>
        </w:rPr>
      </w:pPr>
      <w:r>
        <w:rPr>
          <w:rFonts w:ascii="Arial" w:cs="Arial" w:eastAsia="Arial" w:hAnsi="Arial"/>
          <w:sz w:val="11"/>
          <w:szCs w:val="11"/>
          <w:b w:val="1"/>
          <w:bCs w:val="1"/>
          <w:i w:val="1"/>
          <w:iCs w:val="1"/>
          <w:color w:val="auto"/>
        </w:rPr>
        <w:t>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wp:posOffset>
            </wp:positionV>
            <wp:extent cx="716153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73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52"/>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7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41,804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39,978</w:t>
            </w:r>
          </w:p>
        </w:tc>
      </w:tr>
      <w:tr>
        <w:trPr>
          <w:trHeight w:val="168"/>
        </w:trPr>
        <w:tc>
          <w:tcPr>
            <w:tcW w:w="7360" w:type="dxa"/>
            <w:vAlign w:val="bottom"/>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Provision for loan losses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6,631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3,359</w:t>
            </w: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Provision for mortgage put-back reserve, net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Release of off balance sheet credit risk</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Net amortization on investments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642</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Premises and equipment depreciation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Lease asset amortization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1,068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645</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Increase in cash surrender value of BOLI</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Executive long term incentive plan expense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582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1,344</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1,662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w:t>
            </w: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Director and employee compensation paid in Company stock</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519</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income tax expense (benefit)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(1,927)</w:t>
            </w: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Valuation allowance on derivatives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Gain on sale of securities available for sale</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(Gain) loss on sales of foreclosed real estate, net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 on disposal of premises and equipment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(Increase) decrease in valuation of loans held for sale carried at fair value</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246</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sales of loans held for sale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308,549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1,091,746</w:t>
            </w: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Originations of loans held for sale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(299,976)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(1,000,827)</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Changes in assets and liabilities: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7360" w:type="dxa"/>
            <w:vAlign w:val="bottom"/>
          </w:tcPr>
          <w:p>
            <w:pPr>
              <w:ind w:left="280"/>
              <w:spacing w:after="0"/>
              <w:rPr>
                <w:sz w:val="20"/>
                <w:szCs w:val="20"/>
                <w:color w:val="auto"/>
              </w:rPr>
            </w:pPr>
            <w:r>
              <w:rPr>
                <w:rFonts w:ascii="Arial" w:cs="Arial" w:eastAsia="Arial" w:hAnsi="Arial"/>
                <w:sz w:val="13"/>
                <w:szCs w:val="13"/>
                <w:color w:val="auto"/>
              </w:rPr>
              <w:t>Accrued interest receivable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(1,588)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233</w:t>
            </w:r>
          </w:p>
        </w:tc>
      </w:tr>
      <w:tr>
        <w:trPr>
          <w:trHeight w:val="170"/>
        </w:trPr>
        <w:tc>
          <w:tcPr>
            <w:tcW w:w="7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(4,382)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(1,222)</w:t>
            </w:r>
          </w:p>
        </w:tc>
      </w:tr>
      <w:tr>
        <w:trPr>
          <w:trHeight w:val="169"/>
        </w:trPr>
        <w:tc>
          <w:tcPr>
            <w:tcW w:w="7360" w:type="dxa"/>
            <w:vAlign w:val="bottom"/>
          </w:tcPr>
          <w:p>
            <w:pPr>
              <w:ind w:left="280"/>
              <w:spacing w:after="0"/>
              <w:rPr>
                <w:sz w:val="20"/>
                <w:szCs w:val="20"/>
                <w:color w:val="auto"/>
              </w:rPr>
            </w:pPr>
            <w:r>
              <w:rPr>
                <w:rFonts w:ascii="Arial" w:cs="Arial" w:eastAsia="Arial" w:hAnsi="Arial"/>
                <w:sz w:val="13"/>
                <w:szCs w:val="13"/>
                <w:color w:val="auto"/>
              </w:rPr>
              <w:t>Accrued interest payable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(661)</w:t>
            </w:r>
          </w:p>
        </w:tc>
      </w:tr>
      <w:tr>
        <w:trPr>
          <w:trHeight w:val="170"/>
        </w:trPr>
        <w:tc>
          <w:tcPr>
            <w:tcW w:w="7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(4,773)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(3,210)</w:t>
            </w:r>
          </w:p>
        </w:tc>
      </w:tr>
      <w:tr>
        <w:trPr>
          <w:trHeight w:val="160"/>
        </w:trPr>
        <w:tc>
          <w:tcPr>
            <w:tcW w:w="7360" w:type="dxa"/>
            <w:vAlign w:val="bottom"/>
          </w:tcPr>
          <w:p>
            <w:pPr>
              <w:ind w:left="380"/>
              <w:spacing w:after="0"/>
              <w:rPr>
                <w:sz w:val="20"/>
                <w:szCs w:val="20"/>
                <w:color w:val="auto"/>
              </w:rPr>
            </w:pPr>
            <w:r>
              <w:rPr>
                <w:rFonts w:ascii="Arial" w:cs="Arial" w:eastAsia="Arial" w:hAnsi="Arial"/>
                <w:sz w:val="13"/>
                <w:szCs w:val="13"/>
                <w:color w:val="auto"/>
              </w:rPr>
              <w:t>Net cash provided by operating activities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51,390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132,076</w:t>
            </w:r>
          </w:p>
        </w:tc>
      </w:tr>
    </w:tbl>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61"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195580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80"/>
          </w:cols>
          <w:pgMar w:left="320" w:top="240" w:right="79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149225</wp:posOffset>
            </wp:positionV>
            <wp:extent cx="716153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3335"/>
                    </a:xfrm>
                    <a:prstGeom prst="rect">
                      <a:avLst/>
                    </a:prstGeom>
                    <a:noFill/>
                  </pic:spPr>
                </pic:pic>
              </a:graphicData>
            </a:graphic>
          </wp:anchor>
        </w:drawing>
        <w:t>Capital Bancorp, Inc. and Subsidiaries</w:t>
      </w:r>
    </w:p>
    <w:p>
      <w:pPr>
        <w:spacing w:after="0" w:line="212" w:lineRule="auto"/>
        <w:rPr>
          <w:sz w:val="20"/>
          <w:szCs w:val="20"/>
          <w:color w:val="auto"/>
        </w:rPr>
      </w:pPr>
      <w:r>
        <w:rPr>
          <w:rFonts w:ascii="Arial" w:cs="Arial" w:eastAsia="Arial" w:hAnsi="Arial"/>
          <w:sz w:val="14"/>
          <w:szCs w:val="14"/>
          <w:b w:val="1"/>
          <w:bCs w:val="1"/>
          <w:i w:val="1"/>
          <w:iCs w:val="1"/>
          <w:color w:val="auto"/>
        </w:rPr>
        <w:t>Consolidated Statements of Cash Flows</w:t>
      </w:r>
    </w:p>
    <w:p>
      <w:pPr>
        <w:spacing w:after="0"/>
        <w:rPr>
          <w:sz w:val="20"/>
          <w:szCs w:val="20"/>
          <w:color w:val="auto"/>
        </w:rPr>
      </w:pPr>
      <w:r>
        <w:rPr>
          <w:rFonts w:ascii="Arial" w:cs="Arial" w:eastAsia="Arial" w:hAnsi="Arial"/>
          <w:sz w:val="11"/>
          <w:szCs w:val="11"/>
          <w:b w:val="1"/>
          <w:bCs w:val="1"/>
          <w:i w:val="1"/>
          <w:iCs w:val="1"/>
          <w:color w:val="auto"/>
        </w:rPr>
        <w:t>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11430</wp:posOffset>
            </wp:positionV>
            <wp:extent cx="716153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14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52"/>
        </w:trPr>
        <w:tc>
          <w:tcPr>
            <w:tcW w:w="7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69"/>
        </w:trPr>
        <w:tc>
          <w:tcPr>
            <w:tcW w:w="7360" w:type="dxa"/>
            <w:vAlign w:val="bottom"/>
          </w:tcPr>
          <w:p>
            <w:pPr>
              <w:ind w:left="120"/>
              <w:spacing w:after="0"/>
              <w:rPr>
                <w:sz w:val="20"/>
                <w:szCs w:val="20"/>
                <w:color w:val="auto"/>
              </w:rPr>
            </w:pPr>
            <w:r>
              <w:rPr>
                <w:rFonts w:ascii="Arial" w:cs="Arial" w:eastAsia="Arial" w:hAnsi="Arial"/>
                <w:sz w:val="13"/>
                <w:szCs w:val="13"/>
                <w:color w:val="auto"/>
              </w:rPr>
              <w:t>Purchases of securities available for sale</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(113,078)</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(169,672)</w:t>
            </w:r>
          </w:p>
        </w:tc>
      </w:tr>
      <w:tr>
        <w:trPr>
          <w:trHeight w:val="170"/>
        </w:trPr>
        <w:tc>
          <w:tcPr>
            <w:tcW w:w="7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maturities, calls and principal paydowns of securities available for sale</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23,846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13,882</w:t>
            </w:r>
          </w:p>
        </w:tc>
      </w:tr>
      <w:tr>
        <w:trPr>
          <w:trHeight w:val="169"/>
        </w:trPr>
        <w:tc>
          <w:tcPr>
            <w:tcW w:w="7360" w:type="dxa"/>
            <w:vAlign w:val="bottom"/>
          </w:tcPr>
          <w:p>
            <w:pPr>
              <w:ind w:left="120"/>
              <w:spacing w:after="0"/>
              <w:rPr>
                <w:sz w:val="20"/>
                <w:szCs w:val="20"/>
                <w:color w:val="auto"/>
              </w:rPr>
            </w:pPr>
            <w:r>
              <w:rPr>
                <w:rFonts w:ascii="Arial" w:cs="Arial" w:eastAsia="Arial" w:hAnsi="Arial"/>
                <w:sz w:val="13"/>
                <w:szCs w:val="13"/>
                <w:color w:val="auto"/>
              </w:rPr>
              <w:t>Proceeds from sale of securities available for sale</w:t>
            </w:r>
          </w:p>
        </w:tc>
        <w:tc>
          <w:tcPr>
            <w:tcW w:w="15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66,534</w:t>
            </w:r>
          </w:p>
        </w:tc>
      </w:tr>
      <w:tr>
        <w:trPr>
          <w:trHeight w:val="170"/>
        </w:trPr>
        <w:tc>
          <w:tcPr>
            <w:tcW w:w="7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(purchases) sales of restricted investments</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(3,864)</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r>
      <w:tr>
        <w:trPr>
          <w:trHeight w:val="169"/>
        </w:trPr>
        <w:tc>
          <w:tcPr>
            <w:tcW w:w="7360" w:type="dxa"/>
            <w:vAlign w:val="bottom"/>
          </w:tcPr>
          <w:p>
            <w:pPr>
              <w:ind w:left="120"/>
              <w:spacing w:after="0"/>
              <w:rPr>
                <w:sz w:val="20"/>
                <w:szCs w:val="20"/>
                <w:color w:val="auto"/>
              </w:rPr>
            </w:pPr>
            <w:r>
              <w:rPr>
                <w:rFonts w:ascii="Arial" w:cs="Arial" w:eastAsia="Arial" w:hAnsi="Arial"/>
                <w:sz w:val="13"/>
                <w:szCs w:val="13"/>
                <w:color w:val="auto"/>
              </w:rPr>
              <w:t>Net decrease in SBA-PPP loans receivable</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106,122</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92,733</w:t>
            </w:r>
          </w:p>
        </w:tc>
      </w:tr>
      <w:tr>
        <w:trPr>
          <w:trHeight w:val="170"/>
        </w:trPr>
        <w:tc>
          <w:tcPr>
            <w:tcW w:w="7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increase in loans receivable</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(210,037)</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(210,092)</w:t>
            </w:r>
          </w:p>
        </w:tc>
      </w:tr>
      <w:tr>
        <w:trPr>
          <w:trHeight w:val="169"/>
        </w:trPr>
        <w:tc>
          <w:tcPr>
            <w:tcW w:w="7360" w:type="dxa"/>
            <w:vAlign w:val="bottom"/>
          </w:tcPr>
          <w:p>
            <w:pPr>
              <w:ind w:left="120"/>
              <w:spacing w:after="0"/>
              <w:rPr>
                <w:sz w:val="20"/>
                <w:szCs w:val="20"/>
                <w:color w:val="auto"/>
              </w:rPr>
            </w:pPr>
            <w:r>
              <w:rPr>
                <w:rFonts w:ascii="Arial" w:cs="Arial" w:eastAsia="Arial" w:hAnsi="Arial"/>
                <w:sz w:val="13"/>
                <w:szCs w:val="13"/>
                <w:color w:val="auto"/>
              </w:rPr>
              <w:t>Net purchases of premises and equipment</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(1,550)</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0"/>
        </w:trPr>
        <w:tc>
          <w:tcPr>
            <w:tcW w:w="7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sales of foreclosed real estate</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3,193</w:t>
            </w:r>
          </w:p>
        </w:tc>
      </w:tr>
      <w:tr>
        <w:trPr>
          <w:trHeight w:val="169"/>
        </w:trPr>
        <w:tc>
          <w:tcPr>
            <w:tcW w:w="7360" w:type="dxa"/>
            <w:vAlign w:val="bottom"/>
          </w:tcPr>
          <w:p>
            <w:pPr>
              <w:ind w:left="120"/>
              <w:spacing w:after="0"/>
              <w:rPr>
                <w:sz w:val="20"/>
                <w:szCs w:val="20"/>
                <w:color w:val="auto"/>
              </w:rPr>
            </w:pPr>
            <w:r>
              <w:rPr>
                <w:rFonts w:ascii="Arial" w:cs="Arial" w:eastAsia="Arial" w:hAnsi="Arial"/>
                <w:sz w:val="13"/>
                <w:szCs w:val="13"/>
                <w:color w:val="auto"/>
              </w:rPr>
              <w:t>Purchase of Bank owned life insurance</w:t>
            </w:r>
          </w:p>
        </w:tc>
        <w:tc>
          <w:tcPr>
            <w:tcW w:w="15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(35,000)</w:t>
            </w:r>
          </w:p>
        </w:tc>
      </w:tr>
      <w:tr>
        <w:trPr>
          <w:trHeight w:val="161"/>
        </w:trPr>
        <w:tc>
          <w:tcPr>
            <w:tcW w:w="73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Net cash used in investing activities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(198,455)</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(238,231)</w:t>
            </w:r>
          </w:p>
        </w:tc>
      </w:tr>
      <w:tr>
        <w:trPr>
          <w:trHeight w:val="149"/>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70"/>
        </w:trPr>
        <w:tc>
          <w:tcPr>
            <w:tcW w:w="7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increase (decrease) in:</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Noninterest-bearing deposits</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(113,337)</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179,091</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Interest-bearing deposits</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74,272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(34,082)</w:t>
            </w: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Federal Home Loan Bank advances, net</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85,000</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borrowed funds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r>
      <w:tr>
        <w:trPr>
          <w:trHeight w:val="169"/>
        </w:trPr>
        <w:tc>
          <w:tcPr>
            <w:tcW w:w="7360" w:type="dxa"/>
            <w:vAlign w:val="bottom"/>
          </w:tcPr>
          <w:p>
            <w:pPr>
              <w:ind w:left="180"/>
              <w:spacing w:after="0"/>
              <w:rPr>
                <w:sz w:val="20"/>
                <w:szCs w:val="20"/>
                <w:color w:val="auto"/>
              </w:rPr>
            </w:pPr>
            <w:r>
              <w:rPr>
                <w:rFonts w:ascii="Arial" w:cs="Arial" w:eastAsia="Arial" w:hAnsi="Arial"/>
                <w:sz w:val="13"/>
                <w:szCs w:val="13"/>
                <w:color w:val="auto"/>
              </w:rPr>
              <w:t>Dividends paid</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(3,085)</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(1,382)</w:t>
            </w:r>
          </w:p>
        </w:tc>
      </w:tr>
      <w:tr>
        <w:trPr>
          <w:trHeight w:val="170"/>
        </w:trPr>
        <w:tc>
          <w:tcPr>
            <w:tcW w:w="7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exercise of stock options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1,235</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967</w:t>
            </w:r>
          </w:p>
        </w:tc>
      </w:tr>
      <w:tr>
        <w:trPr>
          <w:trHeight w:val="160"/>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Net cash provided by financing activities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44,085</w:t>
            </w: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142,640</w:t>
            </w:r>
          </w:p>
        </w:tc>
      </w:tr>
      <w:tr>
        <w:trPr>
          <w:trHeight w:val="192"/>
        </w:trPr>
        <w:tc>
          <w:tcPr>
            <w:tcW w:w="73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0780"/>
          </w:cols>
          <w:pgMar w:left="320" w:top="240" w:right="799" w:bottom="1440" w:gutter="0" w:footer="0" w:header="0"/>
        </w:sectPr>
      </w:pPr>
    </w:p>
    <w:p>
      <w:pPr>
        <w:ind w:left="480"/>
        <w:spacing w:after="0"/>
        <w:rPr>
          <w:sz w:val="20"/>
          <w:szCs w:val="20"/>
          <w:color w:val="auto"/>
        </w:rPr>
      </w:pPr>
      <w:r>
        <w:rPr>
          <w:rFonts w:ascii="Arial" w:cs="Arial" w:eastAsia="Arial" w:hAnsi="Arial"/>
          <w:sz w:val="12"/>
          <w:szCs w:val="12"/>
          <w:b w:val="1"/>
          <w:bCs w:val="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20320</wp:posOffset>
            </wp:positionV>
            <wp:extent cx="6555105" cy="134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5105" cy="134620"/>
                    </a:xfrm>
                    <a:prstGeom prst="rect">
                      <a:avLst/>
                    </a:prstGeom>
                    <a:noFill/>
                  </pic:spPr>
                </pic:pic>
              </a:graphicData>
            </a:graphic>
          </wp:anchor>
        </w:drawing>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15240</wp:posOffset>
            </wp:positionV>
            <wp:extent cx="6555105" cy="134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5105" cy="134620"/>
                    </a:xfrm>
                    <a:prstGeom prst="rect">
                      <a:avLst/>
                    </a:prstGeom>
                    <a:noFill/>
                  </pic:spPr>
                </pic:pic>
              </a:graphicData>
            </a:graphic>
          </wp:anchor>
        </w:drawing>
      </w:r>
    </w:p>
    <w:p>
      <w:pPr>
        <w:spacing w:after="0" w:line="234"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Cash and 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15240</wp:posOffset>
            </wp:positionV>
            <wp:extent cx="6555105" cy="134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5105" cy="134620"/>
                    </a:xfrm>
                    <a:prstGeom prst="rect">
                      <a:avLst/>
                    </a:prstGeom>
                    <a:noFill/>
                  </pic:spPr>
                </pic:pic>
              </a:graphicData>
            </a:graphic>
          </wp:anchor>
        </w:drawing>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Noncash investing and financing activities:</w:t>
      </w:r>
    </w:p>
    <w:p>
      <w:pPr>
        <w:spacing w:after="0" w:line="20" w:lineRule="exact"/>
        <w:rPr>
          <w:sz w:val="20"/>
          <w:szCs w:val="20"/>
          <w:color w:val="auto"/>
        </w:rPr>
      </w:pPr>
      <w:r>
        <w:rPr>
          <w:sz w:val="20"/>
          <w:szCs w:val="20"/>
          <w:color w:val="auto"/>
        </w:rPr>
        <w:br w:type="column"/>
      </w:r>
    </w:p>
    <w:p>
      <w:pPr>
        <w:jc w:val="both"/>
        <w:ind w:left="860"/>
        <w:spacing w:after="0"/>
        <w:tabs>
          <w:tab w:leader="none" w:pos="2480" w:val="left"/>
        </w:tabs>
        <w:rPr>
          <w:sz w:val="20"/>
          <w:szCs w:val="20"/>
          <w:color w:val="auto"/>
        </w:rPr>
      </w:pPr>
      <w:r>
        <w:rPr>
          <w:rFonts w:ascii="Arial" w:cs="Arial" w:eastAsia="Arial" w:hAnsi="Arial"/>
          <w:sz w:val="13"/>
          <w:szCs w:val="13"/>
          <w:b w:val="1"/>
          <w:bCs w:val="1"/>
          <w:color w:val="auto"/>
        </w:rPr>
        <w:t>(102,980)</w:t>
      </w:r>
      <w:r>
        <w:rPr>
          <w:sz w:val="20"/>
          <w:szCs w:val="20"/>
          <w:color w:val="auto"/>
        </w:rPr>
        <w:tab/>
      </w:r>
      <w:r>
        <w:rPr>
          <w:rFonts w:ascii="Arial" w:cs="Arial" w:eastAsia="Arial" w:hAnsi="Arial"/>
          <w:sz w:val="13"/>
          <w:szCs w:val="13"/>
          <w:color w:val="auto"/>
        </w:rPr>
        <w:t>36,485</w:t>
      </w:r>
    </w:p>
    <w:p>
      <w:pPr>
        <w:spacing w:after="0" w:line="229" w:lineRule="exact"/>
        <w:rPr>
          <w:sz w:val="20"/>
          <w:szCs w:val="20"/>
          <w:color w:val="auto"/>
        </w:rPr>
      </w:pPr>
    </w:p>
    <w:p>
      <w:pPr>
        <w:jc w:val="both"/>
        <w:ind w:left="900"/>
        <w:spacing w:after="0"/>
        <w:tabs>
          <w:tab w:leader="none" w:pos="2400" w:val="left"/>
        </w:tabs>
        <w:rPr>
          <w:sz w:val="20"/>
          <w:szCs w:val="20"/>
          <w:color w:val="auto"/>
        </w:rPr>
      </w:pPr>
      <w:r>
        <w:rPr>
          <w:rFonts w:ascii="Arial" w:cs="Arial" w:eastAsia="Arial" w:hAnsi="Arial"/>
          <w:sz w:val="13"/>
          <w:szCs w:val="13"/>
          <w:b w:val="1"/>
          <w:bCs w:val="1"/>
          <w:color w:val="auto"/>
        </w:rPr>
        <w:t>183,395</w:t>
      </w:r>
      <w:r>
        <w:rPr>
          <w:sz w:val="20"/>
          <w:szCs w:val="20"/>
          <w:color w:val="auto"/>
        </w:rPr>
        <w:tab/>
      </w:r>
      <w:r>
        <w:rPr>
          <w:rFonts w:ascii="Arial" w:cs="Arial" w:eastAsia="Arial" w:hAnsi="Arial"/>
          <w:sz w:val="13"/>
          <w:szCs w:val="13"/>
          <w:color w:val="auto"/>
        </w:rPr>
        <w:t>146,910</w:t>
      </w:r>
    </w:p>
    <w:p>
      <w:pPr>
        <w:spacing w:after="0" w:line="232" w:lineRule="exact"/>
        <w:rPr>
          <w:sz w:val="20"/>
          <w:szCs w:val="20"/>
          <w:color w:val="auto"/>
        </w:rPr>
      </w:pPr>
    </w:p>
    <w:p>
      <w:pPr>
        <w:spacing w:after="0"/>
        <w:tabs>
          <w:tab w:leader="none" w:pos="960" w:val="left"/>
          <w:tab w:leader="none" w:pos="1500" w:val="left"/>
          <w:tab w:leader="none" w:pos="240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80,415</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183,395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187960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426" w:lineRule="exact"/>
        <w:rPr>
          <w:sz w:val="20"/>
          <w:szCs w:val="20"/>
          <w:color w:val="auto"/>
        </w:rPr>
      </w:pPr>
    </w:p>
    <w:p>
      <w:pPr>
        <w:sectPr>
          <w:pgSz w:w="11900" w:h="16838" w:orient="portrait"/>
          <w:cols w:equalWidth="0" w:num="2">
            <w:col w:w="7120" w:space="720"/>
            <w:col w:w="2940"/>
          </w:cols>
          <w:pgMar w:left="320" w:top="240" w:right="799" w:bottom="1440" w:gutter="0" w:footer="0" w:header="0"/>
          <w:type w:val="continuous"/>
        </w:sectPr>
      </w:pPr>
    </w:p>
    <w:tbl>
      <w:tblPr>
        <w:tblLayout w:type="fixed"/>
        <w:tblInd w:w="460" w:type="dxa"/>
        <w:tblCellMar>
          <w:top w:w="0" w:type="dxa"/>
          <w:left w:w="0" w:type="dxa"/>
          <w:bottom w:w="0" w:type="dxa"/>
          <w:right w:w="0" w:type="dxa"/>
        </w:tblCellMar>
      </w:tblPr>
      <w:tr>
        <w:trPr>
          <w:trHeight w:val="174"/>
        </w:trPr>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Change in unrealized losses on investments</w:t>
            </w:r>
          </w:p>
        </w:tc>
        <w:tc>
          <w:tcPr>
            <w:tcW w:w="52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(20,912)</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360" w:type="dxa"/>
            <w:vAlign w:val="bottom"/>
          </w:tcPr>
          <w:p>
            <w:pPr>
              <w:ind w:left="120"/>
              <w:spacing w:after="0" w:line="111" w:lineRule="exact"/>
              <w:rPr>
                <w:sz w:val="20"/>
                <w:szCs w:val="20"/>
                <w:color w:val="auto"/>
              </w:rPr>
            </w:pPr>
            <w:r>
              <w:rPr>
                <w:rFonts w:ascii="Arial" w:cs="Arial" w:eastAsia="Arial" w:hAnsi="Arial"/>
                <w:sz w:val="12"/>
                <w:szCs w:val="12"/>
                <w:color w:val="auto"/>
              </w:rPr>
              <w:t>Value of restricted shares withheld for payment of taxes</w:t>
            </w:r>
          </w:p>
        </w:tc>
        <w:tc>
          <w:tcPr>
            <w:tcW w:w="520" w:type="dxa"/>
            <w:vAlign w:val="bottom"/>
            <w:tcBorders>
              <w:bottom w:val="single" w:sz="8" w:color="auto"/>
            </w:tcBorders>
          </w:tcPr>
          <w:p>
            <w:pPr>
              <w:jc w:val="right"/>
              <w:ind w:right="358"/>
              <w:spacing w:after="0" w:line="111" w:lineRule="exact"/>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(52)</w:t>
            </w:r>
          </w:p>
        </w:tc>
        <w:tc>
          <w:tcPr>
            <w:tcW w:w="1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2"/>
                <w:szCs w:val="12"/>
                <w:color w:val="auto"/>
              </w:rPr>
              <w:t>(44)</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3"/>
        </w:trPr>
        <w:tc>
          <w:tcPr>
            <w:tcW w:w="7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Cash paid during the period for:</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5"/>
        </w:trPr>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Taxes</w:t>
            </w:r>
          </w:p>
        </w:tc>
        <w:tc>
          <w:tcPr>
            <w:tcW w:w="52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11,730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15,920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7360" w:type="dxa"/>
            <w:vAlign w:val="bottom"/>
          </w:tcPr>
          <w:p>
            <w:pPr>
              <w:ind w:left="120"/>
              <w:spacing w:after="0" w:line="133" w:lineRule="exact"/>
              <w:rPr>
                <w:sz w:val="20"/>
                <w:szCs w:val="20"/>
                <w:color w:val="auto"/>
              </w:rPr>
            </w:pPr>
            <w:r>
              <w:rPr>
                <w:rFonts w:ascii="Arial" w:cs="Arial" w:eastAsia="Arial" w:hAnsi="Arial"/>
                <w:sz w:val="13"/>
                <w:szCs w:val="13"/>
                <w:color w:val="auto"/>
              </w:rPr>
              <w:t>Interest</w:t>
            </w:r>
          </w:p>
        </w:tc>
        <w:tc>
          <w:tcPr>
            <w:tcW w:w="520" w:type="dxa"/>
            <w:vAlign w:val="bottom"/>
            <w:tcBorders>
              <w:bottom w:val="single" w:sz="8" w:color="auto"/>
            </w:tcBorders>
          </w:tcPr>
          <w:p>
            <w:pPr>
              <w:jc w:val="right"/>
              <w:ind w:right="358"/>
              <w:spacing w:after="0" w:line="133" w:lineRule="exact"/>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9,481</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ind w:right="376"/>
              <w:spacing w:after="0" w:line="133"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7,211</w:t>
            </w:r>
          </w:p>
        </w:tc>
      </w:tr>
      <w:tr>
        <w:trPr>
          <w:trHeight w:val="20"/>
        </w:trPr>
        <w:tc>
          <w:tcPr>
            <w:tcW w:w="7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61"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195580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80"/>
          </w:cols>
          <w:pgMar w:left="320" w:top="240" w:right="799" w:bottom="1440" w:gutter="0" w:footer="0" w:header="0"/>
          <w:type w:val="continuous"/>
        </w:sectPr>
      </w:pPr>
    </w:p>
    <w:bookmarkStart w:id="64" w:name="page65"/>
    <w:bookmarkEnd w:id="64"/>
    <w:p>
      <w:pPr>
        <w:ind w:left="2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355600</wp:posOffset>
            </wp:positionH>
            <wp:positionV relativeFrom="page">
              <wp:posOffset>102235</wp:posOffset>
            </wp:positionV>
            <wp:extent cx="6925945"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5945" cy="13335"/>
                    </a:xfrm>
                    <a:prstGeom prst="rect">
                      <a:avLst/>
                    </a:prstGeom>
                    <a:noFill/>
                  </pic:spPr>
                </pic:pic>
              </a:graphicData>
            </a:graphic>
          </wp:anchor>
        </w:drawing>
        <w:t>Capital Bancorp, Inc. and Subsidiaries</w:t>
      </w:r>
    </w:p>
    <w:p>
      <w:pPr>
        <w:ind w:left="28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8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11430</wp:posOffset>
            </wp:positionV>
            <wp:extent cx="6925945"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5945"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Nature of operations:</w:t>
      </w:r>
    </w:p>
    <w:p>
      <w:pPr>
        <w:spacing w:after="0" w:line="195"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Capital Bancorp, Inc. is a Maryland corporation and bank holding company (the “Company”) for Capital Bank, N.A. (the “Bank”). The Company's primary operations are conducted by the Bank, which operates branches in Rockville and Columbia,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the Bank’s residential mortgage banking arm, and issues credit cards through OpenSky</w:t>
      </w:r>
      <w:r>
        <w:rPr>
          <w:rFonts w:ascii="Arial" w:cs="Arial" w:eastAsia="Arial" w:hAnsi="Arial"/>
          <w:sz w:val="18"/>
          <w:szCs w:val="18"/>
          <w:color w:val="auto"/>
          <w:vertAlign w:val="superscript"/>
        </w:rPr>
        <w:t>®</w:t>
      </w:r>
      <w:r>
        <w:rPr>
          <w:rFonts w:ascii="Arial" w:cs="Arial" w:eastAsia="Arial" w:hAnsi="Arial"/>
          <w:sz w:val="14"/>
          <w:szCs w:val="14"/>
          <w:color w:val="auto"/>
        </w:rPr>
        <w:t>, a secured, digitally-driven, nationwide credit card platform.</w:t>
      </w:r>
    </w:p>
    <w:p>
      <w:pPr>
        <w:spacing w:after="0" w:line="32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formed Church Street Capital, LLC (“Church Street Capital”) in 2014 to provide short-term secured real estate financing to Washington, D.C. area investors and developers that may not meet all Bank credit criteria.</w:t>
      </w:r>
    </w:p>
    <w:p>
      <w:pPr>
        <w:spacing w:after="0" w:line="15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Basis of presentation:</w:t>
      </w:r>
    </w:p>
    <w:p>
      <w:pPr>
        <w:spacing w:after="0" w:line="19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accompanying consolidated financial statements include the activity of the Company and its wholly-owned subsidiaries, the Bank and Church Street Capital. All intercompany transactions have been eliminated in consolidation. The Company reports its activities as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Significant accounting policies:</w:t>
      </w:r>
    </w:p>
    <w:p>
      <w:pPr>
        <w:spacing w:after="0" w:line="19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on historical experience and assumptions believed to be reasonable regarding the value of certain assets and liabilities that are not readily available from other sources. Estimates are evaluated on an ongoing basis. Actual results may materially differ from these estimates under different assumptions or conditions.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17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For purposes of reporting cash flows, cash and cash equivalents include cash on hand, amounts due from financial institutions, interest-bearing deposits with financial institutions and federal funds sold. Generally, federal funds are sold for one-day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65" w:name="page66"/>
    <w:bookmarkEnd w:id="65"/>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Investment securities</w:t>
      </w:r>
    </w:p>
    <w:p>
      <w:pPr>
        <w:spacing w:after="0" w:line="17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will be charged to income.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Marketable equity securities</w:t>
      </w:r>
    </w:p>
    <w:p>
      <w:pPr>
        <w:spacing w:after="0" w:line="17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Marketable equity securities are carried at fair value with realized gains and losses included in earnings. Premiums and discounts on investment securities are amortized or accreted using the interest method. Changes in the fair value of equity securities are also included in earnings as gain or loss on marketable equity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Loans held for sale</w:t>
      </w:r>
    </w:p>
    <w:p>
      <w:pPr>
        <w:spacing w:after="0" w:line="17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and, therefore, it has no intangible asset recorded for the value of such servicing. Interest on loans held for sale is credited to income based on the principal amounts outstanding.</w:t>
      </w:r>
    </w:p>
    <w:p>
      <w:pPr>
        <w:spacing w:after="0" w:line="159" w:lineRule="exact"/>
        <w:rPr>
          <w:sz w:val="20"/>
          <w:szCs w:val="20"/>
          <w:color w:val="auto"/>
        </w:rPr>
      </w:pPr>
    </w:p>
    <w:p>
      <w:pPr>
        <w:jc w:val="both"/>
        <w:ind w:firstLine="255"/>
        <w:spacing w:after="0" w:line="170" w:lineRule="exact"/>
        <w:rPr>
          <w:sz w:val="20"/>
          <w:szCs w:val="20"/>
          <w:color w:val="auto"/>
        </w:rPr>
      </w:pPr>
      <w:r>
        <w:rPr>
          <w:rFonts w:ascii="Arial" w:cs="Arial" w:eastAsia="Arial" w:hAnsi="Arial"/>
          <w:sz w:val="14"/>
          <w:szCs w:val="14"/>
          <w:color w:val="auto"/>
        </w:rPr>
        <w:t>Upon sale and delivery, loans are legally isolated from the Company and the Company has no ability to restrict or constrain the ability of third</w:t>
      </w:r>
      <w:r>
        <w:rPr>
          <w:rFonts w:ascii="MS PGothic" w:cs="MS PGothic" w:eastAsia="MS PGothic" w:hAnsi="MS PGothic"/>
          <w:sz w:val="14"/>
          <w:szCs w:val="14"/>
          <w:color w:val="auto"/>
        </w:rPr>
        <w:t>‑</w:t>
      </w:r>
      <w:r>
        <w:rPr>
          <w:rFonts w:ascii="Arial" w:cs="Arial" w:eastAsia="Arial" w:hAnsi="Arial"/>
          <w:sz w:val="14"/>
          <w:szCs w:val="14"/>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4"/>
          <w:szCs w:val="14"/>
          <w:color w:val="auto"/>
        </w:rPr>
        <w:t>‑</w:t>
      </w:r>
      <w:r>
        <w:rPr>
          <w:rFonts w:ascii="Arial" w:cs="Arial" w:eastAsia="Arial" w:hAnsi="Arial"/>
          <w:sz w:val="14"/>
          <w:szCs w:val="14"/>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17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elects to measure loans held for sale at fair value to better align reported results with the underlying economic changes in value of the loans on the Company’s balance sheet.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Portfolio loans and the allowance for loan losses</w:t>
      </w:r>
    </w:p>
    <w:p>
      <w:pPr>
        <w:spacing w:after="0" w:line="17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Loans are stated at the principal amount outstanding, adjusted for deferred origination fees and costs, discounts on loans acquired, and the allowance for loan losses. Interest is accrued based on the loan principal balances and stated interest rates. Origination fees and costs are recognized as an adjustment to the related loan yield using approximate interest methods. For credit card loans, loan origination fees and direct loan origination costs are amortized on a straight-line basis over a 12-month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66" w:name="page67"/>
    <w:bookmarkEnd w:id="66"/>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discontinues the accrual of interest at the earlier of when any portion of the principal and/or interest is 90 days past due, or when it is probable that not all principal and interest payments will be collected, and collateral is insufficient to discharge the debt in full. Generally, interest payments on nonaccrual loans are recorded as a reduction of the principal balance.</w:t>
      </w:r>
    </w:p>
    <w:p>
      <w:pPr>
        <w:spacing w:after="0" w:line="158"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Loans are considered impaired when, based on current information, management believes the 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status. If collection of principal is evaluated as doubtful, all payments are applied to principal. A modification of a loan is considered a TDR when a borrower is experiencing financial difficulty and the modification constitutes a concession. The Company may consider interest rate reductions, changes to payment terms, extensions of maturities and/or principal reductions.</w:t>
      </w:r>
    </w:p>
    <w:p>
      <w:pPr>
        <w:spacing w:after="0" w:line="16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Loans are generally charged-off in part or in full when management determines the loan to be uncollectible. Factors for charge-off that may be considered include: repayments deemed to be extended out beyond reasonable time frames, client bankruptcy and lack of assets, and/or collateral deficiencies. For credit card loans, accrued interest and assessed late fees are charged off simultaneously with the charge off of other components of amortized costs as other operating expense.</w:t>
      </w:r>
    </w:p>
    <w:p>
      <w:pPr>
        <w:spacing w:after="0" w:line="158"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with qualitative factors such as: trends in volume and terms of loans; levels of, and trends in, delinquencies and non-accruals; effects of any changes in lending policies, experience, ability and depth of management; national and local economic trends and conditions; commitments and concentrations of credit; changes in the quality of the Company’s loan review system; and the volume of loans with identified incomplete financial documentation. Actual loan performance may differ materially from those estimates. A loss is recognized as a charge to the allowance when management believes that collection of the loan is unlikely. Collections of loans previously charged off are added to the allowance at the time of recovery.</w:t>
      </w:r>
    </w:p>
    <w:p>
      <w:pPr>
        <w:spacing w:after="0" w:line="147"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14"/>
          <w:szCs w:val="14"/>
          <w:color w:val="auto"/>
        </w:rPr>
        <w:t xml:space="preserve">The components of the allowance for loan losses represent an estimation done pursuant to Accounting Standards Codification (“ASC”) Topic 450, </w:t>
      </w:r>
      <w:r>
        <w:rPr>
          <w:rFonts w:ascii="Arial" w:cs="Arial" w:eastAsia="Arial" w:hAnsi="Arial"/>
          <w:sz w:val="14"/>
          <w:szCs w:val="14"/>
          <w:i w:val="1"/>
          <w:iCs w:val="1"/>
          <w:color w:val="auto"/>
        </w:rPr>
        <w:t>“Contingencies,”</w:t>
      </w:r>
      <w:r>
        <w:rPr>
          <w:rFonts w:ascii="Arial" w:cs="Arial" w:eastAsia="Arial" w:hAnsi="Arial"/>
          <w:sz w:val="14"/>
          <w:szCs w:val="14"/>
          <w:color w:val="auto"/>
        </w:rPr>
        <w:t xml:space="preserve"> or ASC Topic 310,</w:t>
      </w:r>
      <w:r>
        <w:rPr>
          <w:rFonts w:ascii="Arial" w:cs="Arial" w:eastAsia="Arial" w:hAnsi="Arial"/>
          <w:sz w:val="14"/>
          <w:szCs w:val="14"/>
          <w:i w:val="1"/>
          <w:iCs w:val="1"/>
          <w:color w:val="auto"/>
        </w:rPr>
        <w:t>“Receivables.”</w:t>
      </w:r>
      <w:r>
        <w:rPr>
          <w:rFonts w:ascii="Arial" w:cs="Arial" w:eastAsia="Arial" w:hAnsi="Arial"/>
          <w:sz w:val="14"/>
          <w:szCs w:val="14"/>
          <w:color w:val="auto"/>
        </w:rPr>
        <w:t xml:space="preserve"> Specific allowances are established in cases where management has identified significant conditions or circumstances related to a specific credit that management believes indicate the probability that a loss may be incurred. The process for determining an appropriate allowance for loan losses is based on a comprehensive, well-documented, and consistently applied analysis of the loan portfolio. The analysis considers significant factors that affect the collectability of the portfolio and supports the loan losses estimated by this process. It is important to recognize that the related process, methodology, and underlying assumptions require a substantial degree of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67" w:name="page68"/>
    <w:bookmarkEnd w:id="67"/>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9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Management believes that the allowance for loan losses is adequate; however, determination of the allowance is inherently subjective and requires significant estimates. While management uses available information to recognize losses on loans, future additions to the allowance may be necessary based on changes in economic conditions. Evaluation of the potential effects of these factors on estimated losses involves a high degree of uncertainty, including the strength and timing of economic cycles and concerns over the effects of a prolonged economic downturn in the current cycle. In addition, various banking agencies, as an integral part of their examination process, and independent consultants engaged by the Bank, periodically review the Bank’s loan portfolio and allowance for loan losses. Such review may result in recognition of additions to the allowance based on their evaluation of information available to them at the time of their examination. The review of the adequacy of the allowance for loan losses includes an assessment of the fair value adjustment for acquired loans in accordance with generally accepted accounting principles.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Premises and equipment</w:t>
      </w:r>
    </w:p>
    <w:p>
      <w:pPr>
        <w:spacing w:after="0" w:line="179"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Premises and equipment are stated at cost less accumulated depreciation and amortization. Depreciation and amortization are computed using the straight-line method over the estimated useful lives of the related property, generally over two to seven years. Leasehold improvements are amortized over the estimated term of the respective leases, which may include renewal options where management has the positive intent to exercise such options, or the estimated useful lives of the improvements, whichever is less. The costs of major renewals and improvements are capitalized with the corresponding costs associated with amortization or depreciation included as a component of occupancy and equipment expenses. Expenditures for maintenance, repairs, and minor replacements are charged to noninterest expenses as incurred.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Leases</w:t>
      </w:r>
    </w:p>
    <w:p>
      <w:pPr>
        <w:spacing w:after="0" w:line="16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 xml:space="preserve">The Company accounts for leases according to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and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Derivative financial instruments</w:t>
      </w:r>
    </w:p>
    <w:p>
      <w:pPr>
        <w:spacing w:after="0" w:line="17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68" w:name="page69"/>
    <w:bookmarkEnd w:id="68"/>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 xml:space="preserve">The Company accounts for derivative instruments and hedging activities according to guidelines established in ASC 815-10, </w:t>
      </w:r>
      <w:r>
        <w:rPr>
          <w:rFonts w:ascii="Arial" w:cs="Arial" w:eastAsia="Arial" w:hAnsi="Arial"/>
          <w:sz w:val="14"/>
          <w:szCs w:val="14"/>
          <w:i w:val="1"/>
          <w:iCs w:val="1"/>
          <w:color w:val="auto"/>
        </w:rPr>
        <w:t>Accounting for Derivative Instruments and Hedging</w:t>
      </w:r>
      <w:r>
        <w:rPr>
          <w:rFonts w:ascii="Arial" w:cs="Arial" w:eastAsia="Arial" w:hAnsi="Arial"/>
          <w:sz w:val="14"/>
          <w:szCs w:val="14"/>
          <w:color w:val="auto"/>
        </w:rPr>
        <w:t xml:space="preserve"> </w:t>
      </w:r>
      <w:r>
        <w:rPr>
          <w:rFonts w:ascii="Arial" w:cs="Arial" w:eastAsia="Arial" w:hAnsi="Arial"/>
          <w:sz w:val="14"/>
          <w:szCs w:val="14"/>
          <w:i w:val="1"/>
          <w:iCs w:val="1"/>
          <w:color w:val="auto"/>
        </w:rPr>
        <w:t>Activities</w:t>
      </w:r>
      <w:r>
        <w:rPr>
          <w:rFonts w:ascii="Arial" w:cs="Arial" w:eastAsia="Arial" w:hAnsi="Arial"/>
          <w:sz w:val="14"/>
          <w:szCs w:val="14"/>
          <w:color w:val="auto"/>
        </w:rPr>
        <w:t>, as amended. The Company recognizes all derivatives as either assets or liabilities on the balance sheet and measures those instruments at fair value. Changes in fair</w:t>
      </w:r>
      <w:r>
        <w:rPr>
          <w:rFonts w:ascii="Arial" w:cs="Arial" w:eastAsia="Arial" w:hAnsi="Arial"/>
          <w:sz w:val="14"/>
          <w:szCs w:val="14"/>
          <w:i w:val="1"/>
          <w:iCs w:val="1"/>
          <w:color w:val="auto"/>
        </w:rPr>
        <w:t xml:space="preserve"> </w:t>
      </w:r>
      <w:r>
        <w:rPr>
          <w:rFonts w:ascii="Arial" w:cs="Arial" w:eastAsia="Arial" w:hAnsi="Arial"/>
          <w:sz w:val="14"/>
          <w:szCs w:val="14"/>
          <w:color w:val="auto"/>
        </w:rPr>
        <w:t>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Fair value measurements</w:t>
      </w:r>
    </w:p>
    <w:p>
      <w:pPr>
        <w:spacing w:after="0" w:line="179" w:lineRule="exact"/>
        <w:rPr>
          <w:sz w:val="20"/>
          <w:szCs w:val="20"/>
          <w:color w:val="auto"/>
        </w:rPr>
      </w:pPr>
    </w:p>
    <w:p>
      <w:pPr>
        <w:jc w:val="both"/>
        <w:ind w:right="40" w:firstLine="255"/>
        <w:spacing w:after="0" w:line="255" w:lineRule="auto"/>
        <w:rPr>
          <w:sz w:val="20"/>
          <w:szCs w:val="20"/>
          <w:color w:val="auto"/>
        </w:rPr>
      </w:pPr>
      <w:r>
        <w:rPr>
          <w:rFonts w:ascii="Arial" w:cs="Arial" w:eastAsia="Arial" w:hAnsi="Arial"/>
          <w:sz w:val="14"/>
          <w:szCs w:val="14"/>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strive to maximize the use of observable inputs and minimize the use of unobservable inputs.</w:t>
      </w:r>
    </w:p>
    <w:p>
      <w:pPr>
        <w:spacing w:after="0" w:line="162" w:lineRule="exact"/>
        <w:rPr>
          <w:sz w:val="20"/>
          <w:szCs w:val="20"/>
          <w:color w:val="auto"/>
        </w:rPr>
      </w:pPr>
    </w:p>
    <w:p>
      <w:pPr>
        <w:ind w:right="60" w:firstLine="255"/>
        <w:spacing w:after="0" w:line="257" w:lineRule="auto"/>
        <w:rPr>
          <w:sz w:val="20"/>
          <w:szCs w:val="20"/>
          <w:color w:val="auto"/>
        </w:rPr>
      </w:pPr>
      <w:r>
        <w:rPr>
          <w:rFonts w:ascii="Arial" w:cs="Arial" w:eastAsia="Arial" w:hAnsi="Arial"/>
          <w:sz w:val="14"/>
          <w:szCs w:val="14"/>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Financial assets that are recorded at fair value on a recurring basis include investment securities available for sale, loans held for sale, and derivative financial instruments.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Financial liabilities that are recorded at fair value on a recurring basis are comprised of derivative financial instruments. See Note 17 -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Bank-owned life insurance</w:t>
      </w:r>
    </w:p>
    <w:p>
      <w:pPr>
        <w:spacing w:after="0" w:line="17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had $36.5 million of bank-owned life insurance at December 31, 2022 and $35.5 million at December 31, 2021. The Company recognized income, which is included in other noninterest income, of $1.0 million and $506 thousand for the years ended December 31, 2022 and December 31, 2021,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Income taxes</w:t>
      </w:r>
    </w:p>
    <w:p>
      <w:pPr>
        <w:spacing w:after="0" w:line="16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employs the asset and liability method of accounting for income taxes as required by ASC Topic 740, “</w:t>
      </w:r>
      <w:r>
        <w:rPr>
          <w:rFonts w:ascii="Arial" w:cs="Arial" w:eastAsia="Arial" w:hAnsi="Arial"/>
          <w:sz w:val="14"/>
          <w:szCs w:val="14"/>
          <w:i w:val="1"/>
          <w:iCs w:val="1"/>
          <w:color w:val="auto"/>
        </w:rPr>
        <w:t>Income Taxes</w:t>
      </w:r>
      <w:r>
        <w:rPr>
          <w:rFonts w:ascii="Arial" w:cs="Arial" w:eastAsia="Arial" w:hAnsi="Arial"/>
          <w:sz w:val="14"/>
          <w:szCs w:val="14"/>
          <w:color w:val="auto"/>
        </w:rPr>
        <w:t>.” Under this method, deferred tax assets and liabilities are determined based on differences between the financial statement carrying amounts and the tax basis of existing assets and liabilities (i.e., temporary timing differences) and are measured at the enacted rates that will be in effect when these differences reverse. The Company utilizes statutory requirements for its income tax accounting, and limits risks associated with potentially problematic tax positions that may incur challenge upon audit, where an adverse outcome is more likely than not. Therefore, no provisions are necessary for either uncertain tax positions nor accompanying potential tax penalties and interest for underpayments of income taxes in the Company’s tax reserves. In accordance with ASC Topic 740, the Company may establish a valuation allowance against deferred tax assets in those cases where realization is less than certain.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69" w:name="page70"/>
    <w:bookmarkEnd w:id="69"/>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Earnings per share</w:t>
      </w:r>
    </w:p>
    <w:p>
      <w:pPr>
        <w:spacing w:after="0" w:line="179" w:lineRule="exact"/>
        <w:rPr>
          <w:sz w:val="20"/>
          <w:szCs w:val="20"/>
          <w:color w:val="auto"/>
        </w:rPr>
      </w:pPr>
    </w:p>
    <w:p>
      <w:pPr>
        <w:jc w:val="both"/>
        <w:ind w:right="80" w:firstLine="255"/>
        <w:spacing w:after="0" w:line="257" w:lineRule="auto"/>
        <w:rPr>
          <w:sz w:val="20"/>
          <w:szCs w:val="20"/>
          <w:color w:val="auto"/>
        </w:rPr>
      </w:pPr>
      <w:r>
        <w:rPr>
          <w:rFonts w:ascii="Arial" w:cs="Arial" w:eastAsia="Arial" w:hAnsi="Arial"/>
          <w:sz w:val="14"/>
          <w:szCs w:val="14"/>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December 31, 2022 and 2021, there were 139,921 and 1,129 stock options, respectively, that were not included in the calculation as their effect would have been anti-dilutive.</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reconciliation of the numerators and denominators used in computing basic and diluted earnings per common share:</w:t>
      </w:r>
    </w:p>
    <w:p>
      <w:pPr>
        <w:spacing w:after="0" w:line="31" w:lineRule="exact"/>
        <w:rPr>
          <w:sz w:val="20"/>
          <w:szCs w:val="20"/>
          <w:color w:val="auto"/>
        </w:rPr>
      </w:pPr>
    </w:p>
    <w:tbl>
      <w:tblPr>
        <w:tblLayout w:type="fixed"/>
        <w:tblInd w:w="260" w:type="dxa"/>
        <w:tblCellMar>
          <w:top w:w="0" w:type="dxa"/>
          <w:left w:w="0" w:type="dxa"/>
          <w:bottom w:w="0" w:type="dxa"/>
          <w:right w:w="0" w:type="dxa"/>
        </w:tblCellMar>
      </w:tblPr>
      <w:tr>
        <w:trPr>
          <w:trHeight w:val="155"/>
        </w:trPr>
        <w:tc>
          <w:tcPr>
            <w:tcW w:w="4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8"/>
          </w:tcPr>
          <w:p>
            <w:pPr>
              <w:spacing w:after="0"/>
              <w:rPr>
                <w:sz w:val="20"/>
                <w:szCs w:val="20"/>
                <w:color w:val="auto"/>
              </w:rPr>
            </w:pPr>
            <w:r>
              <w:rPr>
                <w:rFonts w:ascii="Arial" w:cs="Arial" w:eastAsia="Arial" w:hAnsi="Arial"/>
                <w:sz w:val="11"/>
                <w:szCs w:val="11"/>
                <w:b w:val="1"/>
                <w:bCs w:val="1"/>
                <w:color w:val="auto"/>
              </w:rPr>
              <w:t>For the Years Ended December 31,</w:t>
            </w:r>
          </w:p>
        </w:tc>
        <w:tc>
          <w:tcPr>
            <w:tcW w:w="1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r>
      <w:tr>
        <w:trPr>
          <w:trHeight w:val="150"/>
        </w:trPr>
        <w:tc>
          <w:tcPr>
            <w:tcW w:w="4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2021</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r>
      <w:tr>
        <w:trPr>
          <w:trHeight w:val="90"/>
        </w:trPr>
        <w:tc>
          <w:tcPr>
            <w:tcW w:w="4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jc w:val="right"/>
              <w:ind w:right="86"/>
              <w:spacing w:after="0" w:line="91" w:lineRule="exact"/>
              <w:rPr>
                <w:sz w:val="20"/>
                <w:szCs w:val="20"/>
                <w:color w:val="auto"/>
              </w:rPr>
            </w:pPr>
            <w:r>
              <w:rPr>
                <w:rFonts w:ascii="Arial" w:cs="Arial" w:eastAsia="Arial" w:hAnsi="Arial"/>
                <w:sz w:val="10"/>
                <w:szCs w:val="10"/>
                <w:b w:val="1"/>
                <w:bCs w:val="1"/>
                <w:color w:val="auto"/>
              </w:rPr>
              <w:t>Weighted Average</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jc w:val="center"/>
              <w:ind w:right="67"/>
              <w:spacing w:after="0" w:line="91" w:lineRule="exact"/>
              <w:rPr>
                <w:sz w:val="20"/>
                <w:szCs w:val="20"/>
                <w:color w:val="auto"/>
              </w:rPr>
            </w:pPr>
            <w:r>
              <w:rPr>
                <w:rFonts w:ascii="Arial" w:cs="Arial" w:eastAsia="Arial" w:hAnsi="Arial"/>
                <w:sz w:val="10"/>
                <w:szCs w:val="10"/>
                <w:b w:val="1"/>
                <w:bCs w:val="1"/>
                <w:color w:val="auto"/>
                <w:w w:val="98"/>
              </w:rPr>
              <w:t>Per Share</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gridSpan w:val="2"/>
          </w:tcPr>
          <w:p>
            <w:pPr>
              <w:jc w:val="center"/>
              <w:ind w:right="180"/>
              <w:spacing w:after="0" w:line="91" w:lineRule="exact"/>
              <w:rPr>
                <w:sz w:val="20"/>
                <w:szCs w:val="20"/>
                <w:color w:val="auto"/>
              </w:rPr>
            </w:pPr>
            <w:r>
              <w:rPr>
                <w:rFonts w:ascii="Arial" w:cs="Arial" w:eastAsia="Arial" w:hAnsi="Arial"/>
                <w:sz w:val="10"/>
                <w:szCs w:val="10"/>
                <w:color w:val="auto"/>
                <w:w w:val="99"/>
              </w:rPr>
              <w:t>Weighted Average</w:t>
            </w:r>
          </w:p>
        </w:tc>
        <w:tc>
          <w:tcPr>
            <w:tcW w:w="100" w:type="dxa"/>
            <w:vAlign w:val="bottom"/>
          </w:tcPr>
          <w:p>
            <w:pPr>
              <w:spacing w:after="0"/>
              <w:rPr>
                <w:sz w:val="7"/>
                <w:szCs w:val="7"/>
                <w:color w:val="auto"/>
              </w:rPr>
            </w:pPr>
          </w:p>
        </w:tc>
        <w:tc>
          <w:tcPr>
            <w:tcW w:w="460" w:type="dxa"/>
            <w:vAlign w:val="bottom"/>
          </w:tcPr>
          <w:p>
            <w:pPr>
              <w:jc w:val="right"/>
              <w:spacing w:after="0" w:line="91" w:lineRule="exact"/>
              <w:rPr>
                <w:sz w:val="20"/>
                <w:szCs w:val="20"/>
                <w:color w:val="auto"/>
              </w:rPr>
            </w:pPr>
            <w:r>
              <w:rPr>
                <w:rFonts w:ascii="Arial" w:cs="Arial" w:eastAsia="Arial" w:hAnsi="Arial"/>
                <w:sz w:val="10"/>
                <w:szCs w:val="10"/>
                <w:color w:val="auto"/>
              </w:rPr>
              <w:t>Per Shar</w:t>
            </w:r>
          </w:p>
        </w:tc>
      </w:tr>
      <w:tr>
        <w:trPr>
          <w:trHeight w:val="141"/>
        </w:trPr>
        <w:tc>
          <w:tcPr>
            <w:tcW w:w="4720" w:type="dxa"/>
            <w:vAlign w:val="bottom"/>
          </w:tcPr>
          <w:p>
            <w:pPr>
              <w:ind w:left="20"/>
              <w:spacing w:after="0"/>
              <w:rPr>
                <w:sz w:val="20"/>
                <w:szCs w:val="20"/>
                <w:color w:val="auto"/>
              </w:rPr>
            </w:pPr>
            <w:r>
              <w:rPr>
                <w:rFonts w:ascii="Arial" w:cs="Arial" w:eastAsia="Arial" w:hAnsi="Arial"/>
                <w:sz w:val="8"/>
                <w:szCs w:val="8"/>
                <w:i w:val="1"/>
                <w:iCs w:val="1"/>
                <w:color w:val="auto"/>
              </w:rPr>
              <w:t>(dollars in thousands)</w:t>
            </w:r>
          </w:p>
        </w:tc>
        <w:tc>
          <w:tcPr>
            <w:tcW w:w="180" w:type="dxa"/>
            <w:vAlign w:val="bottom"/>
          </w:tcPr>
          <w:p>
            <w:pPr>
              <w:spacing w:after="0"/>
              <w:rPr>
                <w:sz w:val="12"/>
                <w:szCs w:val="12"/>
                <w:color w:val="auto"/>
              </w:rPr>
            </w:pPr>
          </w:p>
        </w:tc>
        <w:tc>
          <w:tcPr>
            <w:tcW w:w="980" w:type="dxa"/>
            <w:vAlign w:val="bottom"/>
            <w:gridSpan w:val="2"/>
          </w:tcPr>
          <w:p>
            <w:pPr>
              <w:ind w:left="120"/>
              <w:spacing w:after="0"/>
              <w:rPr>
                <w:sz w:val="20"/>
                <w:szCs w:val="20"/>
                <w:color w:val="auto"/>
              </w:rPr>
            </w:pPr>
            <w:r>
              <w:rPr>
                <w:rFonts w:ascii="Arial" w:cs="Arial" w:eastAsia="Arial" w:hAnsi="Arial"/>
                <w:sz w:val="10"/>
                <w:szCs w:val="10"/>
                <w:b w:val="1"/>
                <w:bCs w:val="1"/>
                <w:color w:val="auto"/>
              </w:rPr>
              <w:t>Income</w:t>
            </w:r>
          </w:p>
        </w:tc>
        <w:tc>
          <w:tcPr>
            <w:tcW w:w="1180" w:type="dxa"/>
            <w:vAlign w:val="bottom"/>
          </w:tcPr>
          <w:p>
            <w:pPr>
              <w:jc w:val="right"/>
              <w:ind w:right="346"/>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color w:val="auto"/>
              </w:rPr>
              <w:t>Income</w:t>
            </w:r>
          </w:p>
        </w:tc>
        <w:tc>
          <w:tcPr>
            <w:tcW w:w="1360" w:type="dxa"/>
            <w:vAlign w:val="bottom"/>
            <w:gridSpan w:val="2"/>
          </w:tcPr>
          <w:p>
            <w:pPr>
              <w:jc w:val="center"/>
              <w:ind w:right="200"/>
              <w:spacing w:after="0"/>
              <w:rPr>
                <w:sz w:val="20"/>
                <w:szCs w:val="20"/>
                <w:color w:val="auto"/>
              </w:rPr>
            </w:pPr>
            <w:r>
              <w:rPr>
                <w:rFonts w:ascii="Arial" w:cs="Arial" w:eastAsia="Arial" w:hAnsi="Arial"/>
                <w:sz w:val="10"/>
                <w:szCs w:val="10"/>
                <w:color w:val="auto"/>
              </w:rPr>
              <w:t>Shares</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Amount</w:t>
            </w:r>
          </w:p>
        </w:tc>
      </w:tr>
      <w:tr>
        <w:trPr>
          <w:trHeight w:val="14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Basic EPS</w:t>
            </w: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r>
      <w:tr>
        <w:trPr>
          <w:trHeight w:val="155"/>
        </w:trPr>
        <w:tc>
          <w:tcPr>
            <w:tcW w:w="4720" w:type="dxa"/>
            <w:vAlign w:val="bottom"/>
          </w:tcPr>
          <w:p>
            <w:pPr>
              <w:ind w:left="100"/>
              <w:spacing w:after="0"/>
              <w:rPr>
                <w:sz w:val="20"/>
                <w:szCs w:val="20"/>
                <w:color w:val="auto"/>
              </w:rPr>
            </w:pPr>
            <w:r>
              <w:rPr>
                <w:rFonts w:ascii="Arial" w:cs="Arial" w:eastAsia="Arial" w:hAnsi="Arial"/>
                <w:sz w:val="11"/>
                <w:szCs w:val="11"/>
                <w:color w:val="auto"/>
              </w:rPr>
              <w:t>Net income available to common stockholders</w:t>
            </w: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41,804</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14,024,598</w:t>
            </w:r>
          </w:p>
        </w:tc>
        <w:tc>
          <w:tcPr>
            <w:tcW w:w="2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2.98</w:t>
            </w:r>
          </w:p>
        </w:tc>
        <w:tc>
          <w:tcPr>
            <w:tcW w:w="12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39,978</w:t>
            </w:r>
          </w:p>
        </w:tc>
        <w:tc>
          <w:tcPr>
            <w:tcW w:w="10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13,798,620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59"/>
        </w:trPr>
        <w:tc>
          <w:tcPr>
            <w:tcW w:w="4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Effect of dilutive securities</w:t>
            </w: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337,605</w:t>
            </w: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282,783</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4"/>
        </w:trPr>
        <w:tc>
          <w:tcPr>
            <w:tcW w:w="4720" w:type="dxa"/>
            <w:vAlign w:val="bottom"/>
          </w:tcPr>
          <w:p>
            <w:pPr>
              <w:ind w:left="20"/>
              <w:spacing w:after="0"/>
              <w:rPr>
                <w:sz w:val="20"/>
                <w:szCs w:val="20"/>
                <w:color w:val="auto"/>
              </w:rPr>
            </w:pPr>
            <w:r>
              <w:rPr>
                <w:rFonts w:ascii="Arial" w:cs="Arial" w:eastAsia="Arial" w:hAnsi="Arial"/>
                <w:sz w:val="11"/>
                <w:szCs w:val="11"/>
                <w:color w:val="auto"/>
              </w:rPr>
              <w:t>Dilutive EPS per common share</w:t>
            </w: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41,804</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b w:val="1"/>
                <w:bCs w:val="1"/>
                <w:color w:val="auto"/>
              </w:rPr>
              <w:t>14,362,203</w:t>
            </w:r>
          </w:p>
        </w:tc>
        <w:tc>
          <w:tcPr>
            <w:tcW w:w="2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2.91</w:t>
            </w:r>
          </w:p>
        </w:tc>
        <w:tc>
          <w:tcPr>
            <w:tcW w:w="12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39,978</w:t>
            </w:r>
          </w:p>
        </w:tc>
        <w:tc>
          <w:tcPr>
            <w:tcW w:w="10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14,081,403</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20"/>
        </w:trPr>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Comprehensive income</w:t>
      </w:r>
    </w:p>
    <w:p>
      <w:pPr>
        <w:spacing w:after="0" w:line="179" w:lineRule="exact"/>
        <w:rPr>
          <w:sz w:val="20"/>
          <w:szCs w:val="20"/>
          <w:color w:val="auto"/>
        </w:rPr>
      </w:pPr>
    </w:p>
    <w:p>
      <w:pPr>
        <w:ind w:right="80" w:firstLine="255"/>
        <w:spacing w:after="0" w:line="266" w:lineRule="auto"/>
        <w:rPr>
          <w:sz w:val="20"/>
          <w:szCs w:val="20"/>
          <w:color w:val="auto"/>
        </w:rPr>
      </w:pPr>
      <w:r>
        <w:rPr>
          <w:rFonts w:ascii="Arial" w:cs="Arial" w:eastAsia="Arial" w:hAnsi="Arial"/>
          <w:sz w:val="14"/>
          <w:szCs w:val="14"/>
          <w:color w:val="auto"/>
        </w:rPr>
        <w:t>The Company reports as comprehensive income all changes in stockholders' equity during the year from sources other than stockholders. Other comprehensive income refers to all components (income, expenses, gains, and losses) of comprehensive income that are excluded from net income.</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Company's only component of other comprehensive income is unrealized losses on investment securities available for sale, net of income taxes. Information concerning the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Company's accumulated other comprehensive loss as of December 31, 2022 and 2021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127000</wp:posOffset>
            </wp:positionV>
            <wp:extent cx="243903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87" w:lineRule="exact"/>
        <w:rPr>
          <w:sz w:val="20"/>
          <w:szCs w:val="20"/>
          <w:color w:val="auto"/>
        </w:rPr>
      </w:pPr>
    </w:p>
    <w:p>
      <w:pPr>
        <w:ind w:left="8320"/>
        <w:spacing w:after="0"/>
        <w:rPr>
          <w:sz w:val="20"/>
          <w:szCs w:val="20"/>
          <w:color w:val="auto"/>
        </w:rPr>
      </w:pPr>
      <w:r>
        <w:rPr>
          <w:rFonts w:ascii="Arial" w:cs="Arial" w:eastAsia="Arial" w:hAnsi="Arial"/>
          <w:sz w:val="13"/>
          <w:szCs w:val="13"/>
          <w:b w:val="1"/>
          <w:bCs w:val="1"/>
          <w:color w:val="auto"/>
        </w:rPr>
        <w:t>For the Years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(in thousands)</w:t>
            </w:r>
          </w:p>
        </w:tc>
        <w:tc>
          <w:tcPr>
            <w:tcW w:w="4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2021</w:t>
            </w:r>
          </w:p>
        </w:tc>
      </w:tr>
      <w:tr>
        <w:trPr>
          <w:trHeight w:val="160"/>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on securities available for sale</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(22,416)</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(1,504)</w:t>
            </w:r>
          </w:p>
        </w:tc>
      </w:tr>
      <w:tr>
        <w:trPr>
          <w:trHeight w:val="16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Deferred tax benefit</w:t>
            </w: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5,665</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w:t>
            </w:r>
          </w:p>
        </w:tc>
      </w:tr>
      <w:tr>
        <w:trPr>
          <w:trHeight w:val="186"/>
        </w:trPr>
        <w:tc>
          <w:tcPr>
            <w:tcW w:w="7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accumulated comprehensive loss</w:t>
            </w: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(16,751)</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70" w:name="page71"/>
    <w:bookmarkEnd w:id="70"/>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 and Basis of Presentation (continued)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Recently issued accounting pronouncements:</w:t>
      </w:r>
    </w:p>
    <w:p>
      <w:pPr>
        <w:spacing w:after="0" w:line="19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In June 2016, the FASB issued ASU 2016-13, Financial Instruments – Credit Losses (Topic 326) Measurement of Credit Losses on Financial Instruments. ASU 2016-13 introduces guidance to change the accounting for loan losses and modifies the impairment model for certain debt securities. This ASU introduced a new model known as CECL. CECL changes the impairment model for most financial assets, and will require the use of an “expected credit loss” model for financial instruments measured at amortized cost and certain other instruments, such as off-balance sheet credit exposures, loan commitments, standby letters of credit, net investments in leases recognized by a lessor and HTM debt securities. This model requires entities to estimate the lifetime expected credit loss on such instruments and record an allowance that represents the portion of the amortized cost basis that the entity does not expect to be collected, considering relevant information about historical experience, current conditions and reasonable supportable forecast. ASU 2016-13 offers a simplified accounting model for purchased financial assets with more than insignificant credit deterioration since their origination. Additionally, ASU 2016-13 also modifies certain provisions of the current other-than-temporary impairment model for AFS debt securities. Credit losses on AFS debt securities will be restricted to the difference between the security’s amortized cost basis and its fair value. In April 2019, the FASB issued ASU 2019-04 which elaborates on the treatment of accrued interest when measuring credit losses. To meet disclosure requirements, we elected a practical expedient to disclose separately the total amount of accrued interest included in the amortized cost basis as a single balance. ASU 2019-04 explains that expected recoveries of amounts previously written off and expected to be written off should be included in the valuation account and should not exceed the aggregate of amounts previously written off and expected to be written off by the entity. In addition, for collateral dependent financial assets, the amendments clarify that an allowance for credit losses that is added to the amortized cost basis of the financial asset(s) should not exceed amounts previously written off. In November 2019, the FASB issued ASU 2019-10, which delayed the effective date of ASU 2016-13 to fiscal years beginning after December 15, 2022 for smaller reporting companies. While early adoption was permitted, the Company did not elect that option.</w:t>
      </w:r>
    </w:p>
    <w:p>
      <w:pPr>
        <w:spacing w:after="0" w:line="160" w:lineRule="exact"/>
        <w:rPr>
          <w:sz w:val="20"/>
          <w:szCs w:val="20"/>
          <w:color w:val="auto"/>
        </w:rPr>
      </w:pPr>
    </w:p>
    <w:p>
      <w:pPr>
        <w:ind w:right="160" w:firstLine="255"/>
        <w:spacing w:after="0" w:line="259" w:lineRule="auto"/>
        <w:rPr>
          <w:sz w:val="20"/>
          <w:szCs w:val="20"/>
          <w:color w:val="auto"/>
        </w:rPr>
      </w:pPr>
      <w:r>
        <w:rPr>
          <w:rFonts w:ascii="Arial" w:cs="Arial" w:eastAsia="Arial" w:hAnsi="Arial"/>
          <w:sz w:val="14"/>
          <w:szCs w:val="14"/>
          <w:color w:val="auto"/>
        </w:rPr>
        <w:t>The Company adopted this guidance on January 1, 2023 using the modified retrospective approach. Upon adoption of this standard, the Company expects the adoption to result in a change to the Allowance for Loan Losses of less than $1.0 million which will be reflected in the Company’s first quarter 2023 Form 10-Q when the Company will also be subject to the amended disclosure requirements of the standard.</w:t>
      </w:r>
    </w:p>
    <w:p>
      <w:pPr>
        <w:spacing w:after="0" w:line="158" w:lineRule="exact"/>
        <w:rPr>
          <w:sz w:val="20"/>
          <w:szCs w:val="20"/>
          <w:color w:val="auto"/>
        </w:rPr>
      </w:pPr>
    </w:p>
    <w:p>
      <w:pPr>
        <w:ind w:right="40" w:firstLine="255"/>
        <w:spacing w:after="0" w:line="266" w:lineRule="auto"/>
        <w:rPr>
          <w:sz w:val="20"/>
          <w:szCs w:val="20"/>
          <w:color w:val="auto"/>
        </w:rPr>
      </w:pPr>
      <w:r>
        <w:rPr>
          <w:rFonts w:ascii="Arial" w:cs="Arial" w:eastAsia="Arial" w:hAnsi="Arial"/>
          <w:sz w:val="14"/>
          <w:szCs w:val="14"/>
          <w:color w:val="auto"/>
        </w:rPr>
        <w:t>The Company expects the adoption of the CECL framework to also impact its off-balance sheet exposures, such as its unfunded commitments. Upon adoption of ASU 2016-13, the company expects to make an adjustment to its reserve for unfunded commitments in an amount less than $1.0 million.</w:t>
      </w:r>
    </w:p>
    <w:p>
      <w:pPr>
        <w:spacing w:after="0" w:line="15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In addition to its allowance for loan losses and its reserve for unfunded commitments, the Company is required to record an allowance for losses on held-to-maturity debt securities with the CECL adoption. The Company did not hold any held to maturity securities that would be impacted by ASU 2016-13 as of the adoption date.</w:t>
      </w:r>
    </w:p>
    <w:p>
      <w:pPr>
        <w:spacing w:after="0" w:line="152"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In March 2020, the FASB released ASU 2020-04 - Reference Rate Reform, Topic 848, which provides temporary guidance to ease the potential accounting burden in accounting for, or recognizing the effects from, reference rate reform on financial reporting. The new standard is a result of London Interbank Offered Rate (“LIBOR”) likely being discontinued as an available benchmark rate. The standard is elective and provides optional expedients and exceptions for applying GAAP to contracts, hedging relationships, or other transactions that reference LIBOR, or another reference rate expected to be discontinued. The amendments in the update are effective for all entities between March 12, 2020 and an extended sunset date of December 31, 2024 which was extended by ASU 2022-06 issued by FASB in December 2022. The Company is currently evaluating products and preparing to offer new rates. The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71" w:name="page72"/>
    <w:bookmarkEnd w:id="71"/>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adoption of this guidance is not expected to have a material impact on the Company’s financial statements.</w:t>
      </w:r>
    </w:p>
    <w:p>
      <w:pPr>
        <w:spacing w:after="0" w:line="179"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In February 2022, the FASB issued ASU 2022-02, Financial Instruments – Credit Losses (Topic 326): Troubled Debt Restructurings and Vintage Disclosures. The ASU eliminates the accounting guidance for troubled debt restructurings by creditors and enhances disclosure requirements for certain loan re-financings and restructurings by creditors when a borrower is experiencing financial difficulty. The amendments also add requirements to disclose current-period gross write-offs by year of origination for financing receivables. The amendments in this update are effective for fiscal years beginning after December 15, 2022, including interim periods within those fiscal years. The Company is in the process of reviewing the enhanced modification disclosure requirements.</w:t>
      </w:r>
    </w:p>
    <w:p>
      <w:pPr>
        <w:spacing w:after="0" w:line="16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Reclassifications:</w:t>
      </w:r>
    </w:p>
    <w:p>
      <w:pPr>
        <w:spacing w:after="0" w:line="19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Certain reclassifications have been made to amounts reported in prior periods to conform to the current period presentation. The reclassifications had no material effect on net income or total stockholders' equity.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Cash and Cash Equivalents</w:t>
      </w:r>
    </w:p>
    <w:p>
      <w:pPr>
        <w:spacing w:after="0" w:line="19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Cash and cash equivalents include cash and amounts due from banks, interest-bearing deposits and federal funds sold. The Bank is required by regulations to maintain an average cash reserve balance based on a percentage of deposits; however, on March 15, 2020, the Federal Reserve announced that reserve requirement ratios would be reduced to zero percent effective March 26, 2020, due to economic conditions, which eliminated the reserve requirement for all depository institutions. The reserve requirement is still at zero percent as of December 31, 2022.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Investment Securities</w:t>
      </w:r>
    </w:p>
    <w:p>
      <w:pPr>
        <w:spacing w:after="0" w:line="19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investment securities portfolio consists primarily of U.S. government sponsored entity securities, asset-backed securities, securities issued by states, counties and municipalities, corporate bonds and mortgage-backed securities (“MBS”). The asset-backed securities are comprised of student loan collateral issued by the Federal Family Education Loan Program (“FFELP”) which includes a minimum of a 97% government repayment guarantee, as well as additional support in excess of the government guaranteed portion.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72" w:name="page73"/>
    <w:bookmarkEnd w:id="72"/>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amortized cost and estimated fair value of investment securities available for sale at December 31, 2022 and 2021 are summarized as follows: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rPr>
              <w:t>Amortized</w:t>
            </w:r>
          </w:p>
        </w:tc>
        <w:tc>
          <w:tcPr>
            <w:tcW w:w="280" w:type="dxa"/>
            <w:vAlign w:val="bottom"/>
          </w:tcPr>
          <w:p>
            <w:pPr>
              <w:spacing w:after="0"/>
              <w:rPr>
                <w:sz w:val="10"/>
                <w:szCs w:val="1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Unrealized</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Unrealized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jc w:val="right"/>
              <w:ind w:right="437"/>
              <w:spacing w:after="0"/>
              <w:rPr>
                <w:sz w:val="20"/>
                <w:szCs w:val="20"/>
                <w:color w:val="auto"/>
              </w:rPr>
            </w:pPr>
            <w:r>
              <w:rPr>
                <w:rFonts w:ascii="Arial" w:cs="Arial" w:eastAsia="Arial" w:hAnsi="Arial"/>
                <w:sz w:val="11"/>
                <w:szCs w:val="11"/>
                <w:b w:val="1"/>
                <w:bCs w:val="1"/>
                <w:color w:val="auto"/>
              </w:rPr>
              <w:t>Fair</w:t>
            </w:r>
          </w:p>
        </w:tc>
      </w:tr>
      <w:tr>
        <w:trPr>
          <w:trHeight w:val="148"/>
        </w:trPr>
        <w:tc>
          <w:tcPr>
            <w:tcW w:w="4680" w:type="dxa"/>
            <w:vAlign w:val="bottom"/>
            <w:gridSpan w:val="3"/>
          </w:tcPr>
          <w:p>
            <w:pPr>
              <w:ind w:left="20"/>
              <w:spacing w:after="0"/>
              <w:rPr>
                <w:sz w:val="20"/>
                <w:szCs w:val="20"/>
                <w:color w:val="auto"/>
              </w:rPr>
            </w:pPr>
            <w:r>
              <w:rPr>
                <w:rFonts w:ascii="Arial" w:cs="Arial" w:eastAsia="Arial" w:hAnsi="Arial"/>
                <w:sz w:val="8"/>
                <w:szCs w:val="8"/>
                <w:i w:val="1"/>
                <w:iCs w:val="1"/>
                <w:color w:val="auto"/>
              </w:rPr>
              <w:t>(in thousands)</w:t>
            </w:r>
          </w:p>
        </w:tc>
        <w:tc>
          <w:tcPr>
            <w:tcW w:w="3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7"/>
              </w:rPr>
              <w:t>Cost</w:t>
            </w:r>
          </w:p>
        </w:tc>
        <w:tc>
          <w:tcPr>
            <w:tcW w:w="280" w:type="dxa"/>
            <w:vAlign w:val="bottom"/>
          </w:tcPr>
          <w:p>
            <w:pPr>
              <w:spacing w:after="0"/>
              <w:rPr>
                <w:sz w:val="12"/>
                <w:szCs w:val="12"/>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Gains</w:t>
            </w:r>
          </w:p>
        </w:tc>
        <w:tc>
          <w:tcPr>
            <w:tcW w:w="1060" w:type="dxa"/>
            <w:vAlign w:val="bottom"/>
          </w:tcPr>
          <w:p>
            <w:pPr>
              <w:jc w:val="right"/>
              <w:ind w:right="19"/>
              <w:spacing w:after="0"/>
              <w:rPr>
                <w:sz w:val="20"/>
                <w:szCs w:val="20"/>
                <w:color w:val="auto"/>
              </w:rPr>
            </w:pPr>
            <w:r>
              <w:rPr>
                <w:rFonts w:ascii="Arial" w:cs="Arial" w:eastAsia="Arial" w:hAnsi="Arial"/>
                <w:sz w:val="11"/>
                <w:szCs w:val="11"/>
                <w:b w:val="1"/>
                <w:bCs w:val="1"/>
                <w:color w:val="auto"/>
              </w:rPr>
              <w:t>Losses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right"/>
              <w:ind w:right="397"/>
              <w:spacing w:after="0"/>
              <w:rPr>
                <w:sz w:val="20"/>
                <w:szCs w:val="20"/>
                <w:color w:val="auto"/>
              </w:rPr>
            </w:pPr>
            <w:r>
              <w:rPr>
                <w:rFonts w:ascii="Arial" w:cs="Arial" w:eastAsia="Arial" w:hAnsi="Arial"/>
                <w:sz w:val="11"/>
                <w:szCs w:val="11"/>
                <w:b w:val="1"/>
                <w:bCs w:val="1"/>
                <w:color w:val="auto"/>
              </w:rPr>
              <w:t>Value</w:t>
            </w:r>
          </w:p>
        </w:tc>
      </w:tr>
      <w:tr>
        <w:trPr>
          <w:trHeight w:val="124"/>
        </w:trPr>
        <w:tc>
          <w:tcPr>
            <w:tcW w:w="468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December 31, 2022</w:t>
            </w:r>
          </w:p>
        </w:tc>
        <w:tc>
          <w:tcPr>
            <w:tcW w:w="3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r>
      <w:tr>
        <w:trPr>
          <w:trHeight w:val="176"/>
        </w:trPr>
        <w:tc>
          <w:tcPr>
            <w:tcW w:w="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U.S. Treasuries</w:t>
            </w:r>
          </w:p>
        </w:tc>
        <w:tc>
          <w:tcPr>
            <w:tcW w:w="35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215,486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b w:val="1"/>
                <w:bCs w:val="1"/>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(16,037)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199,4</w:t>
            </w:r>
          </w:p>
        </w:tc>
      </w:tr>
      <w:tr>
        <w:trPr>
          <w:trHeight w:val="169"/>
        </w:trPr>
        <w:tc>
          <w:tcPr>
            <w:tcW w:w="20" w:type="dxa"/>
            <w:vAlign w:val="bottom"/>
          </w:tcPr>
          <w:p>
            <w:pPr>
              <w:spacing w:after="0"/>
              <w:rPr>
                <w:sz w:val="14"/>
                <w:szCs w:val="14"/>
                <w:color w:val="auto"/>
              </w:rPr>
            </w:pPr>
          </w:p>
        </w:tc>
        <w:tc>
          <w:tcPr>
            <w:tcW w:w="4660" w:type="dxa"/>
            <w:vAlign w:val="bottom"/>
            <w:gridSpan w:val="2"/>
          </w:tcPr>
          <w:p>
            <w:pPr>
              <w:ind w:left="80"/>
              <w:spacing w:after="0"/>
              <w:rPr>
                <w:sz w:val="20"/>
                <w:szCs w:val="20"/>
                <w:color w:val="auto"/>
              </w:rPr>
            </w:pPr>
            <w:r>
              <w:rPr>
                <w:rFonts w:ascii="Arial" w:cs="Arial" w:eastAsia="Arial" w:hAnsi="Arial"/>
                <w:sz w:val="13"/>
                <w:szCs w:val="13"/>
                <w:color w:val="auto"/>
              </w:rPr>
              <w:t>Municipal</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10,815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(2,803)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8,0</w:t>
            </w:r>
          </w:p>
        </w:tc>
      </w:tr>
      <w:tr>
        <w:trPr>
          <w:trHeight w:val="170"/>
        </w:trPr>
        <w:tc>
          <w:tcPr>
            <w:tcW w:w="20" w:type="dxa"/>
            <w:vAlign w:val="bottom"/>
            <w:shd w:val="clear" w:color="auto" w:fill="CCEEFF"/>
          </w:tcPr>
          <w:p>
            <w:pPr>
              <w:spacing w:after="0"/>
              <w:rPr>
                <w:sz w:val="14"/>
                <w:szCs w:val="14"/>
                <w:color w:val="auto"/>
              </w:rPr>
            </w:pPr>
          </w:p>
        </w:tc>
        <w:tc>
          <w:tcPr>
            <w:tcW w:w="46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Corporate</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w:t>
            </w:r>
          </w:p>
        </w:tc>
      </w:tr>
      <w:tr>
        <w:trPr>
          <w:trHeight w:val="169"/>
        </w:trPr>
        <w:tc>
          <w:tcPr>
            <w:tcW w:w="20" w:type="dxa"/>
            <w:vAlign w:val="bottom"/>
          </w:tcPr>
          <w:p>
            <w:pPr>
              <w:spacing w:after="0"/>
              <w:rPr>
                <w:sz w:val="14"/>
                <w:szCs w:val="14"/>
                <w:color w:val="auto"/>
              </w:rPr>
            </w:pPr>
          </w:p>
        </w:tc>
        <w:tc>
          <w:tcPr>
            <w:tcW w:w="4660" w:type="dxa"/>
            <w:vAlign w:val="bottom"/>
            <w:gridSpan w:val="2"/>
          </w:tcPr>
          <w:p>
            <w:pPr>
              <w:ind w:left="80"/>
              <w:spacing w:after="0"/>
              <w:rPr>
                <w:sz w:val="20"/>
                <w:szCs w:val="20"/>
                <w:color w:val="auto"/>
              </w:rPr>
            </w:pPr>
            <w:r>
              <w:rPr>
                <w:rFonts w:ascii="Arial" w:cs="Arial" w:eastAsia="Arial" w:hAnsi="Arial"/>
                <w:sz w:val="13"/>
                <w:szCs w:val="13"/>
                <w:color w:val="auto"/>
              </w:rPr>
              <w:t>Asset-backed securities</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7,970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(259)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7,7</w:t>
            </w:r>
          </w:p>
        </w:tc>
      </w:tr>
      <w:tr>
        <w:trPr>
          <w:trHeight w:val="170"/>
        </w:trPr>
        <w:tc>
          <w:tcPr>
            <w:tcW w:w="20" w:type="dxa"/>
            <w:vAlign w:val="bottom"/>
            <w:shd w:val="clear" w:color="auto" w:fill="CCEEFF"/>
          </w:tcPr>
          <w:p>
            <w:pPr>
              <w:spacing w:after="0"/>
              <w:rPr>
                <w:sz w:val="14"/>
                <w:szCs w:val="14"/>
                <w:color w:val="auto"/>
              </w:rPr>
            </w:pPr>
          </w:p>
        </w:tc>
        <w:tc>
          <w:tcPr>
            <w:tcW w:w="46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Mortgage-backed securities</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35,626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(2,917)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32,7</w:t>
            </w:r>
          </w:p>
        </w:tc>
      </w:tr>
      <w:tr>
        <w:trPr>
          <w:trHeight w:val="160"/>
        </w:trPr>
        <w:tc>
          <w:tcPr>
            <w:tcW w:w="20" w:type="dxa"/>
            <w:vAlign w:val="bottom"/>
          </w:tcPr>
          <w:p>
            <w:pPr>
              <w:spacing w:after="0"/>
              <w:rPr>
                <w:sz w:val="13"/>
                <w:szCs w:val="13"/>
                <w:color w:val="auto"/>
              </w:rPr>
            </w:pPr>
          </w:p>
        </w:tc>
        <w:tc>
          <w:tcPr>
            <w:tcW w:w="4660" w:type="dxa"/>
            <w:vAlign w:val="bottom"/>
            <w:gridSpan w:val="2"/>
          </w:tcPr>
          <w:p>
            <w:pPr>
              <w:ind w:left="180"/>
              <w:spacing w:after="0"/>
              <w:rPr>
                <w:sz w:val="20"/>
                <w:szCs w:val="20"/>
                <w:color w:val="auto"/>
              </w:rPr>
            </w:pPr>
            <w:r>
              <w:rPr>
                <w:rFonts w:ascii="Arial" w:cs="Arial" w:eastAsia="Arial" w:hAnsi="Arial"/>
                <w:sz w:val="13"/>
                <w:szCs w:val="13"/>
                <w:color w:val="auto"/>
              </w:rPr>
              <w:t>Total</w:t>
            </w: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274,897</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(22,416)</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44"/>
        </w:trPr>
        <w:tc>
          <w:tcPr>
            <w:tcW w:w="468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December 31, 2021</w:t>
            </w: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U.S. Treasuries</w:t>
            </w:r>
          </w:p>
        </w:tc>
        <w:tc>
          <w:tcPr>
            <w:tcW w:w="35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132,452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131,0</w:t>
            </w:r>
          </w:p>
        </w:tc>
      </w:tr>
      <w:tr>
        <w:trPr>
          <w:trHeight w:val="168"/>
        </w:trPr>
        <w:tc>
          <w:tcPr>
            <w:tcW w:w="20" w:type="dxa"/>
            <w:vAlign w:val="bottom"/>
          </w:tcPr>
          <w:p>
            <w:pPr>
              <w:spacing w:after="0"/>
              <w:rPr>
                <w:sz w:val="14"/>
                <w:szCs w:val="14"/>
                <w:color w:val="auto"/>
              </w:rPr>
            </w:pPr>
          </w:p>
        </w:tc>
        <w:tc>
          <w:tcPr>
            <w:tcW w:w="4660" w:type="dxa"/>
            <w:vAlign w:val="bottom"/>
            <w:gridSpan w:val="2"/>
          </w:tcPr>
          <w:p>
            <w:pPr>
              <w:ind w:left="80"/>
              <w:spacing w:after="0"/>
              <w:rPr>
                <w:sz w:val="20"/>
                <w:szCs w:val="20"/>
                <w:color w:val="auto"/>
              </w:rPr>
            </w:pPr>
            <w:r>
              <w:rPr>
                <w:rFonts w:ascii="Arial" w:cs="Arial" w:eastAsia="Arial" w:hAnsi="Arial"/>
                <w:sz w:val="13"/>
                <w:szCs w:val="13"/>
                <w:color w:val="auto"/>
              </w:rPr>
              <w:t>Municipal</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10,825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72"/>
        </w:trPr>
        <w:tc>
          <w:tcPr>
            <w:tcW w:w="20" w:type="dxa"/>
            <w:vAlign w:val="bottom"/>
            <w:shd w:val="clear" w:color="auto" w:fill="CCEEFF"/>
          </w:tcPr>
          <w:p>
            <w:pPr>
              <w:spacing w:after="0"/>
              <w:rPr>
                <w:sz w:val="14"/>
                <w:szCs w:val="14"/>
                <w:color w:val="auto"/>
              </w:rPr>
            </w:pPr>
          </w:p>
        </w:tc>
        <w:tc>
          <w:tcPr>
            <w:tcW w:w="46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Corporate</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68"/>
        </w:trPr>
        <w:tc>
          <w:tcPr>
            <w:tcW w:w="20" w:type="dxa"/>
            <w:vAlign w:val="bottom"/>
          </w:tcPr>
          <w:p>
            <w:pPr>
              <w:spacing w:after="0"/>
              <w:rPr>
                <w:sz w:val="14"/>
                <w:szCs w:val="14"/>
                <w:color w:val="auto"/>
              </w:rPr>
            </w:pPr>
          </w:p>
        </w:tc>
        <w:tc>
          <w:tcPr>
            <w:tcW w:w="4660" w:type="dxa"/>
            <w:vAlign w:val="bottom"/>
            <w:gridSpan w:val="2"/>
          </w:tcPr>
          <w:p>
            <w:pPr>
              <w:ind w:left="80"/>
              <w:spacing w:after="0"/>
              <w:rPr>
                <w:sz w:val="20"/>
                <w:szCs w:val="20"/>
                <w:color w:val="auto"/>
              </w:rPr>
            </w:pPr>
            <w:r>
              <w:rPr>
                <w:rFonts w:ascii="Arial" w:cs="Arial" w:eastAsia="Arial" w:hAnsi="Arial"/>
                <w:sz w:val="13"/>
                <w:szCs w:val="13"/>
                <w:color w:val="auto"/>
              </w:rPr>
              <w:t>Asset-backed securities</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10,093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10,1</w:t>
            </w:r>
          </w:p>
        </w:tc>
      </w:tr>
      <w:tr>
        <w:trPr>
          <w:trHeight w:val="170"/>
        </w:trPr>
        <w:tc>
          <w:tcPr>
            <w:tcW w:w="20" w:type="dxa"/>
            <w:vAlign w:val="bottom"/>
            <w:shd w:val="clear" w:color="auto" w:fill="CCEEFF"/>
          </w:tcPr>
          <w:p>
            <w:pPr>
              <w:spacing w:after="0"/>
              <w:rPr>
                <w:sz w:val="14"/>
                <w:szCs w:val="14"/>
                <w:color w:val="auto"/>
              </w:rPr>
            </w:pPr>
          </w:p>
        </w:tc>
        <w:tc>
          <w:tcPr>
            <w:tcW w:w="46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Mortgage-backed securities</w:t>
            </w:r>
          </w:p>
        </w:tc>
        <w:tc>
          <w:tcPr>
            <w:tcW w:w="3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27,589</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2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w:t>
            </w:r>
          </w:p>
        </w:tc>
      </w:tr>
      <w:tr>
        <w:trPr>
          <w:trHeight w:val="163"/>
        </w:trPr>
        <w:tc>
          <w:tcPr>
            <w:tcW w:w="20" w:type="dxa"/>
            <w:vAlign w:val="bottom"/>
          </w:tcPr>
          <w:p>
            <w:pPr>
              <w:spacing w:after="0"/>
              <w:rPr>
                <w:sz w:val="14"/>
                <w:szCs w:val="14"/>
                <w:color w:val="auto"/>
              </w:rPr>
            </w:pPr>
          </w:p>
        </w:tc>
        <w:tc>
          <w:tcPr>
            <w:tcW w:w="4660" w:type="dxa"/>
            <w:vAlign w:val="bottom"/>
            <w:gridSpan w:val="2"/>
          </w:tcPr>
          <w:p>
            <w:pPr>
              <w:ind w:left="180"/>
              <w:spacing w:after="0"/>
              <w:rPr>
                <w:sz w:val="20"/>
                <w:szCs w:val="20"/>
                <w:color w:val="auto"/>
              </w:rPr>
            </w:pPr>
            <w:r>
              <w:rPr>
                <w:rFonts w:ascii="Arial" w:cs="Arial" w:eastAsia="Arial" w:hAnsi="Arial"/>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185,959</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661</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ind w:right="91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184,4</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There were no securities sold during the year ended December 31, 2022. Proceeds from the sale of securities during the year ended December 31, 2021 were $66.5 million and resulted in gains of $694 thousand and losses of $541 thousand.</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Information related to unrealized losses in the investment portfolio as of December 31, 2022 and 2021 is summarized as follows:</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center"/>
              <w:ind w:right="163"/>
              <w:spacing w:after="0"/>
              <w:rPr>
                <w:sz w:val="20"/>
                <w:szCs w:val="20"/>
                <w:color w:val="auto"/>
              </w:rPr>
            </w:pPr>
            <w:r>
              <w:rPr>
                <w:rFonts w:ascii="Arial" w:cs="Arial" w:eastAsia="Arial" w:hAnsi="Arial"/>
                <w:sz w:val="11"/>
                <w:szCs w:val="11"/>
                <w:b w:val="1"/>
                <w:bCs w:val="1"/>
                <w:color w:val="auto"/>
              </w:rPr>
              <w:t>Less than 12 months</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center"/>
              <w:ind w:right="163"/>
              <w:spacing w:after="0"/>
              <w:rPr>
                <w:sz w:val="20"/>
                <w:szCs w:val="20"/>
                <w:color w:val="auto"/>
              </w:rPr>
            </w:pPr>
            <w:r>
              <w:rPr>
                <w:rFonts w:ascii="Arial" w:cs="Arial" w:eastAsia="Arial" w:hAnsi="Arial"/>
                <w:sz w:val="11"/>
                <w:szCs w:val="11"/>
                <w:b w:val="1"/>
                <w:bCs w:val="1"/>
                <w:color w:val="auto"/>
              </w:rPr>
              <w:t>12 months or longer</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98"/>
              </w:rPr>
              <w:t>Total</w:t>
            </w:r>
          </w:p>
        </w:tc>
        <w:tc>
          <w:tcPr>
            <w:tcW w:w="860" w:type="dxa"/>
            <w:vAlign w:val="bottom"/>
            <w:tcBorders>
              <w:bottom w:val="single" w:sz="8" w:color="auto"/>
            </w:tcBorders>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Fair</w:t>
            </w:r>
          </w:p>
        </w:tc>
        <w:tc>
          <w:tcPr>
            <w:tcW w:w="220" w:type="dxa"/>
            <w:vAlign w:val="bottom"/>
          </w:tcPr>
          <w:p>
            <w:pPr>
              <w:spacing w:after="0"/>
              <w:rPr>
                <w:sz w:val="11"/>
                <w:szCs w:val="1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Unrealized</w:t>
            </w:r>
          </w:p>
        </w:tc>
        <w:tc>
          <w:tcPr>
            <w:tcW w:w="220" w:type="dxa"/>
            <w:vAlign w:val="bottom"/>
          </w:tcPr>
          <w:p>
            <w:pPr>
              <w:spacing w:after="0"/>
              <w:rPr>
                <w:sz w:val="11"/>
                <w:szCs w:val="11"/>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Fair</w:t>
            </w:r>
          </w:p>
        </w:tc>
        <w:tc>
          <w:tcPr>
            <w:tcW w:w="200" w:type="dxa"/>
            <w:vAlign w:val="bottom"/>
          </w:tcPr>
          <w:p>
            <w:pPr>
              <w:spacing w:after="0"/>
              <w:rPr>
                <w:sz w:val="11"/>
                <w:szCs w:val="1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Unrealized</w:t>
            </w:r>
          </w:p>
        </w:tc>
        <w:tc>
          <w:tcPr>
            <w:tcW w:w="240" w:type="dxa"/>
            <w:vAlign w:val="bottom"/>
          </w:tcPr>
          <w:p>
            <w:pPr>
              <w:spacing w:after="0"/>
              <w:rPr>
                <w:sz w:val="11"/>
                <w:szCs w:val="11"/>
                <w:color w:val="auto"/>
              </w:rPr>
            </w:pPr>
          </w:p>
        </w:tc>
        <w:tc>
          <w:tcPr>
            <w:tcW w:w="820" w:type="dxa"/>
            <w:vAlign w:val="bottom"/>
          </w:tcPr>
          <w:p>
            <w:pPr>
              <w:jc w:val="right"/>
              <w:ind w:right="363"/>
              <w:spacing w:after="0"/>
              <w:rPr>
                <w:sz w:val="20"/>
                <w:szCs w:val="20"/>
                <w:color w:val="auto"/>
              </w:rPr>
            </w:pPr>
            <w:r>
              <w:rPr>
                <w:rFonts w:ascii="Arial" w:cs="Arial" w:eastAsia="Arial" w:hAnsi="Arial"/>
                <w:sz w:val="11"/>
                <w:szCs w:val="11"/>
                <w:b w:val="1"/>
                <w:bCs w:val="1"/>
                <w:color w:val="auto"/>
              </w:rPr>
              <w:t>Fair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143"/>
              <w:spacing w:after="0"/>
              <w:rPr>
                <w:sz w:val="20"/>
                <w:szCs w:val="20"/>
                <w:color w:val="auto"/>
              </w:rPr>
            </w:pPr>
            <w:r>
              <w:rPr>
                <w:rFonts w:ascii="Arial" w:cs="Arial" w:eastAsia="Arial" w:hAnsi="Arial"/>
                <w:sz w:val="11"/>
                <w:szCs w:val="11"/>
                <w:b w:val="1"/>
                <w:bCs w:val="1"/>
                <w:color w:val="auto"/>
              </w:rPr>
              <w:t>Unrealized</w:t>
            </w:r>
          </w:p>
        </w:tc>
      </w:tr>
      <w:tr>
        <w:trPr>
          <w:trHeight w:val="149"/>
        </w:trPr>
        <w:tc>
          <w:tcPr>
            <w:tcW w:w="3800" w:type="dxa"/>
            <w:vAlign w:val="bottom"/>
            <w:gridSpan w:val="3"/>
          </w:tcPr>
          <w:p>
            <w:pPr>
              <w:ind w:left="20"/>
              <w:spacing w:after="0"/>
              <w:rPr>
                <w:sz w:val="20"/>
                <w:szCs w:val="20"/>
                <w:color w:val="auto"/>
              </w:rPr>
            </w:pPr>
            <w:r>
              <w:rPr>
                <w:rFonts w:ascii="Arial" w:cs="Arial" w:eastAsia="Arial" w:hAnsi="Arial"/>
                <w:sz w:val="8"/>
                <w:szCs w:val="8"/>
                <w:i w:val="1"/>
                <w:iCs w:val="1"/>
                <w:color w:val="auto"/>
              </w:rPr>
              <w:t>(in thousands)</w:t>
            </w:r>
          </w:p>
        </w:tc>
        <w:tc>
          <w:tcPr>
            <w:tcW w:w="22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Value</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Losses</w:t>
            </w:r>
          </w:p>
        </w:tc>
        <w:tc>
          <w:tcPr>
            <w:tcW w:w="22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Value</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Losses</w:t>
            </w:r>
          </w:p>
        </w:tc>
        <w:tc>
          <w:tcPr>
            <w:tcW w:w="240" w:type="dxa"/>
            <w:vAlign w:val="bottom"/>
          </w:tcPr>
          <w:p>
            <w:pPr>
              <w:spacing w:after="0"/>
              <w:rPr>
                <w:sz w:val="12"/>
                <w:szCs w:val="12"/>
                <w:color w:val="auto"/>
              </w:rPr>
            </w:pPr>
          </w:p>
        </w:tc>
        <w:tc>
          <w:tcPr>
            <w:tcW w:w="820" w:type="dxa"/>
            <w:vAlign w:val="bottom"/>
          </w:tcPr>
          <w:p>
            <w:pPr>
              <w:jc w:val="right"/>
              <w:ind w:right="323"/>
              <w:spacing w:after="0"/>
              <w:rPr>
                <w:sz w:val="20"/>
                <w:szCs w:val="20"/>
                <w:color w:val="auto"/>
              </w:rPr>
            </w:pPr>
            <w:r>
              <w:rPr>
                <w:rFonts w:ascii="Arial" w:cs="Arial" w:eastAsia="Arial" w:hAnsi="Arial"/>
                <w:sz w:val="11"/>
                <w:szCs w:val="11"/>
                <w:b w:val="1"/>
                <w:bCs w:val="1"/>
                <w:color w:val="auto"/>
              </w:rPr>
              <w:t>Value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243"/>
              <w:spacing w:after="0"/>
              <w:rPr>
                <w:sz w:val="20"/>
                <w:szCs w:val="20"/>
                <w:color w:val="auto"/>
              </w:rPr>
            </w:pPr>
            <w:r>
              <w:rPr>
                <w:rFonts w:ascii="Arial" w:cs="Arial" w:eastAsia="Arial" w:hAnsi="Arial"/>
                <w:sz w:val="11"/>
                <w:szCs w:val="11"/>
                <w:b w:val="1"/>
                <w:bCs w:val="1"/>
                <w:color w:val="auto"/>
              </w:rPr>
              <w:t>Losses</w:t>
            </w:r>
          </w:p>
        </w:tc>
      </w:tr>
      <w:tr>
        <w:trPr>
          <w:trHeight w:val="118"/>
        </w:trPr>
        <w:tc>
          <w:tcPr>
            <w:tcW w:w="380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December 31, 2022</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26"/>
        </w:trPr>
        <w:tc>
          <w:tcPr>
            <w:tcW w:w="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5"/>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U.S. Treasuries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82,102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center"/>
              <w:ind w:right="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(1,396)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117,347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center"/>
              <w:ind w:right="43"/>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(14,641)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199,449</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(16,03</w:t>
            </w:r>
          </w:p>
        </w:tc>
      </w:tr>
      <w:tr>
        <w:trPr>
          <w:trHeight w:val="155"/>
        </w:trPr>
        <w:tc>
          <w:tcPr>
            <w:tcW w:w="3800" w:type="dxa"/>
            <w:vAlign w:val="bottom"/>
            <w:gridSpan w:val="3"/>
          </w:tcPr>
          <w:p>
            <w:pPr>
              <w:ind w:left="20"/>
              <w:spacing w:after="0"/>
              <w:rPr>
                <w:sz w:val="20"/>
                <w:szCs w:val="20"/>
                <w:color w:val="auto"/>
              </w:rPr>
            </w:pPr>
            <w:r>
              <w:rPr>
                <w:rFonts w:ascii="Arial" w:cs="Arial" w:eastAsia="Arial" w:hAnsi="Arial"/>
                <w:sz w:val="11"/>
                <w:szCs w:val="11"/>
                <w:color w:val="auto"/>
              </w:rPr>
              <w:t>Municipal</w:t>
            </w: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1,452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(207)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6,560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(2,596)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8,012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(2,80</w:t>
            </w:r>
          </w:p>
        </w:tc>
      </w:tr>
      <w:tr>
        <w:trPr>
          <w:trHeight w:val="163"/>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Corporate</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4,600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4,600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(40</w:t>
            </w:r>
          </w:p>
        </w:tc>
      </w:tr>
      <w:tr>
        <w:trPr>
          <w:trHeight w:val="155"/>
        </w:trPr>
        <w:tc>
          <w:tcPr>
            <w:tcW w:w="3800" w:type="dxa"/>
            <w:vAlign w:val="bottom"/>
            <w:gridSpan w:val="3"/>
          </w:tcPr>
          <w:p>
            <w:pPr>
              <w:ind w:left="20"/>
              <w:spacing w:after="0"/>
              <w:rPr>
                <w:sz w:val="20"/>
                <w:szCs w:val="20"/>
                <w:color w:val="auto"/>
              </w:rPr>
            </w:pPr>
            <w:r>
              <w:rPr>
                <w:rFonts w:ascii="Arial" w:cs="Arial" w:eastAsia="Arial" w:hAnsi="Arial"/>
                <w:sz w:val="11"/>
                <w:szCs w:val="11"/>
                <w:color w:val="auto"/>
              </w:rPr>
              <w:t>Asset-backed securities</w:t>
            </w: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6,156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(237)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1,555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(22)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7,711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(25</w:t>
            </w:r>
          </w:p>
        </w:tc>
      </w:tr>
      <w:tr>
        <w:trPr>
          <w:trHeight w:val="159"/>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Mortgage-backed securities</w:t>
            </w: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22,067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(1,884)</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10,642</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(1,033)</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32,709</w:t>
            </w:r>
          </w:p>
        </w:tc>
        <w:tc>
          <w:tcPr>
            <w:tcW w:w="1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(2,91</w:t>
            </w:r>
          </w:p>
        </w:tc>
      </w:tr>
      <w:tr>
        <w:trPr>
          <w:trHeight w:val="154"/>
        </w:trPr>
        <w:tc>
          <w:tcPr>
            <w:tcW w:w="20" w:type="dxa"/>
            <w:vAlign w:val="bottom"/>
          </w:tcPr>
          <w:p>
            <w:pPr>
              <w:spacing w:after="0"/>
              <w:rPr>
                <w:sz w:val="13"/>
                <w:szCs w:val="13"/>
                <w:color w:val="auto"/>
              </w:rPr>
            </w:pPr>
          </w:p>
        </w:tc>
        <w:tc>
          <w:tcPr>
            <w:tcW w:w="3780" w:type="dxa"/>
            <w:vAlign w:val="bottom"/>
            <w:gridSpan w:val="2"/>
          </w:tcPr>
          <w:p>
            <w:pPr>
              <w:ind w:left="180"/>
              <w:spacing w:after="0"/>
              <w:rPr>
                <w:sz w:val="20"/>
                <w:szCs w:val="20"/>
                <w:color w:val="auto"/>
              </w:rPr>
            </w:pPr>
            <w:r>
              <w:rPr>
                <w:rFonts w:ascii="Arial" w:cs="Arial" w:eastAsia="Arial" w:hAnsi="Arial"/>
                <w:sz w:val="13"/>
                <w:szCs w:val="13"/>
                <w:color w:val="auto"/>
              </w:rPr>
              <w:t>Total</w:t>
            </w: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111,777</w:t>
            </w:r>
          </w:p>
        </w:tc>
        <w:tc>
          <w:tcPr>
            <w:tcW w:w="100" w:type="dxa"/>
            <w:vAlign w:val="bottom"/>
          </w:tcPr>
          <w:p>
            <w:pPr>
              <w:spacing w:after="0"/>
              <w:rPr>
                <w:sz w:val="13"/>
                <w:szCs w:val="13"/>
                <w:color w:val="auto"/>
              </w:rPr>
            </w:pPr>
          </w:p>
        </w:tc>
        <w:tc>
          <w:tcPr>
            <w:tcW w:w="220" w:type="dxa"/>
            <w:vAlign w:val="bottom"/>
          </w:tcPr>
          <w:p>
            <w:pPr>
              <w:jc w:val="center"/>
              <w:ind w:right="6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(3,724)</w:t>
            </w:r>
          </w:p>
        </w:tc>
        <w:tc>
          <w:tcPr>
            <w:tcW w:w="12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140,704</w:t>
            </w:r>
          </w:p>
        </w:tc>
        <w:tc>
          <w:tcPr>
            <w:tcW w:w="100" w:type="dxa"/>
            <w:vAlign w:val="bottom"/>
          </w:tcPr>
          <w:p>
            <w:pPr>
              <w:spacing w:after="0"/>
              <w:rPr>
                <w:sz w:val="13"/>
                <w:szCs w:val="13"/>
                <w:color w:val="auto"/>
              </w:rPr>
            </w:pPr>
          </w:p>
        </w:tc>
        <w:tc>
          <w:tcPr>
            <w:tcW w:w="200" w:type="dxa"/>
            <w:vAlign w:val="bottom"/>
          </w:tcPr>
          <w:p>
            <w:pPr>
              <w:jc w:val="center"/>
              <w:ind w:right="43"/>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(18,692)</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252,481</w:t>
            </w:r>
          </w:p>
        </w:tc>
        <w:tc>
          <w:tcPr>
            <w:tcW w:w="3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(22,41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8"/>
        </w:trPr>
        <w:tc>
          <w:tcPr>
            <w:tcW w:w="380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December 31, 2021</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5"/>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U.S. Treasuries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110,191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center"/>
              <w:ind w:right="6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center"/>
              <w:ind w:right="43"/>
              <w:spacing w:after="0"/>
              <w:rPr>
                <w:sz w:val="20"/>
                <w:szCs w:val="20"/>
                <w:color w:val="auto"/>
              </w:rPr>
            </w:pPr>
            <w:r>
              <w:rPr>
                <w:rFonts w:ascii="Arial" w:cs="Arial" w:eastAsia="Arial" w:hAnsi="Arial"/>
                <w:sz w:val="11"/>
                <w:szCs w:val="11"/>
                <w:color w:val="auto"/>
                <w:w w:val="97"/>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110,191</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w:t>
            </w:r>
          </w:p>
        </w:tc>
      </w:tr>
      <w:tr>
        <w:trPr>
          <w:trHeight w:val="155"/>
        </w:trPr>
        <w:tc>
          <w:tcPr>
            <w:tcW w:w="3800" w:type="dxa"/>
            <w:vAlign w:val="bottom"/>
            <w:gridSpan w:val="3"/>
          </w:tcPr>
          <w:p>
            <w:pPr>
              <w:ind w:left="20"/>
              <w:spacing w:after="0"/>
              <w:rPr>
                <w:sz w:val="20"/>
                <w:szCs w:val="20"/>
                <w:color w:val="auto"/>
              </w:rPr>
            </w:pPr>
            <w:r>
              <w:rPr>
                <w:rFonts w:ascii="Arial" w:cs="Arial" w:eastAsia="Arial" w:hAnsi="Arial"/>
                <w:sz w:val="11"/>
                <w:szCs w:val="11"/>
                <w:color w:val="auto"/>
              </w:rPr>
              <w:t>Municipal</w:t>
            </w: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5,750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(248)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3,019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8,769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(39</w:t>
            </w:r>
          </w:p>
        </w:tc>
      </w:tr>
      <w:tr>
        <w:trPr>
          <w:trHeight w:val="163"/>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Corporate</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4,448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r>
      <w:tr>
        <w:trPr>
          <w:trHeight w:val="155"/>
        </w:trPr>
        <w:tc>
          <w:tcPr>
            <w:tcW w:w="3800" w:type="dxa"/>
            <w:vAlign w:val="bottom"/>
            <w:gridSpan w:val="3"/>
          </w:tcPr>
          <w:p>
            <w:pPr>
              <w:ind w:left="20"/>
              <w:spacing w:after="0"/>
              <w:rPr>
                <w:sz w:val="20"/>
                <w:szCs w:val="20"/>
                <w:color w:val="auto"/>
              </w:rPr>
            </w:pPr>
            <w:r>
              <w:rPr>
                <w:rFonts w:ascii="Arial" w:cs="Arial" w:eastAsia="Arial" w:hAnsi="Arial"/>
                <w:sz w:val="11"/>
                <w:szCs w:val="11"/>
                <w:color w:val="auto"/>
              </w:rPr>
              <w:t>Asset-backed securities</w:t>
            </w:r>
          </w:p>
        </w:tc>
        <w:tc>
          <w:tcPr>
            <w:tcW w:w="2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2,115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2,115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59"/>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Mortgage-backed securities</w:t>
            </w: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14,114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2,124</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16,238</w:t>
            </w:r>
          </w:p>
        </w:tc>
        <w:tc>
          <w:tcPr>
            <w:tcW w:w="1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w:t>
            </w:r>
          </w:p>
        </w:tc>
      </w:tr>
      <w:tr>
        <w:trPr>
          <w:trHeight w:val="154"/>
        </w:trPr>
        <w:tc>
          <w:tcPr>
            <w:tcW w:w="20" w:type="dxa"/>
            <w:vAlign w:val="bottom"/>
          </w:tcPr>
          <w:p>
            <w:pPr>
              <w:spacing w:after="0"/>
              <w:rPr>
                <w:sz w:val="13"/>
                <w:szCs w:val="13"/>
                <w:color w:val="auto"/>
              </w:rPr>
            </w:pPr>
          </w:p>
        </w:tc>
        <w:tc>
          <w:tcPr>
            <w:tcW w:w="3780" w:type="dxa"/>
            <w:vAlign w:val="bottom"/>
            <w:gridSpan w:val="2"/>
          </w:tcPr>
          <w:p>
            <w:pPr>
              <w:ind w:left="180"/>
              <w:spacing w:after="0"/>
              <w:rPr>
                <w:sz w:val="20"/>
                <w:szCs w:val="20"/>
                <w:color w:val="auto"/>
              </w:rPr>
            </w:pPr>
            <w:r>
              <w:rPr>
                <w:rFonts w:ascii="Arial" w:cs="Arial" w:eastAsia="Arial" w:hAnsi="Arial"/>
                <w:sz w:val="13"/>
                <w:szCs w:val="13"/>
                <w:color w:val="auto"/>
              </w:rPr>
              <w:t>Total</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134,503</w:t>
            </w:r>
          </w:p>
        </w:tc>
        <w:tc>
          <w:tcPr>
            <w:tcW w:w="100" w:type="dxa"/>
            <w:vAlign w:val="bottom"/>
          </w:tcPr>
          <w:p>
            <w:pPr>
              <w:spacing w:after="0"/>
              <w:rPr>
                <w:sz w:val="13"/>
                <w:szCs w:val="13"/>
                <w:color w:val="auto"/>
              </w:rPr>
            </w:pPr>
          </w:p>
        </w:tc>
        <w:tc>
          <w:tcPr>
            <w:tcW w:w="220" w:type="dxa"/>
            <w:vAlign w:val="bottom"/>
          </w:tcPr>
          <w:p>
            <w:pPr>
              <w:jc w:val="center"/>
              <w:ind w:right="6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(1,985)</w:t>
            </w:r>
          </w:p>
        </w:tc>
        <w:tc>
          <w:tcPr>
            <w:tcW w:w="12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7,744</w:t>
            </w:r>
          </w:p>
        </w:tc>
        <w:tc>
          <w:tcPr>
            <w:tcW w:w="100" w:type="dxa"/>
            <w:vAlign w:val="bottom"/>
          </w:tcPr>
          <w:p>
            <w:pPr>
              <w:spacing w:after="0"/>
              <w:rPr>
                <w:sz w:val="13"/>
                <w:szCs w:val="13"/>
                <w:color w:val="auto"/>
              </w:rPr>
            </w:pPr>
          </w:p>
        </w:tc>
        <w:tc>
          <w:tcPr>
            <w:tcW w:w="200" w:type="dxa"/>
            <w:vAlign w:val="bottom"/>
          </w:tcPr>
          <w:p>
            <w:pPr>
              <w:jc w:val="center"/>
              <w:ind w:right="4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(180)</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142,247</w:t>
            </w:r>
          </w:p>
        </w:tc>
        <w:tc>
          <w:tcPr>
            <w:tcW w:w="360" w:type="dxa"/>
            <w:vAlign w:val="bottom"/>
            <w:gridSpan w:val="2"/>
          </w:tcPr>
          <w:p>
            <w:pPr>
              <w:jc w:val="center"/>
              <w:ind w:right="4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(2,16</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right="80" w:firstLine="255"/>
        <w:spacing w:after="0" w:line="257" w:lineRule="auto"/>
        <w:rPr>
          <w:sz w:val="20"/>
          <w:szCs w:val="20"/>
          <w:color w:val="auto"/>
        </w:rPr>
      </w:pPr>
      <w:r>
        <w:rPr>
          <w:rFonts w:ascii="Arial" w:cs="Arial" w:eastAsia="Arial" w:hAnsi="Arial"/>
          <w:sz w:val="14"/>
          <w:szCs w:val="14"/>
          <w:color w:val="auto"/>
        </w:rPr>
        <w:t>At December 31, 2022, there were sixteen treasury securities, one asset-backed security, seven municipal securities, five corporate securities, and three mortgage-backed securities that have been in a loss position for greater than twelve months. Management believes that all unrealized losses have resulted from temporary changes in interest rates and current market conditions and not as a result of credit deterioration. Management has the ability and the intent to hold these investment securities until maturity or until they recover in value.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73" w:name="page74"/>
    <w:bookmarkEnd w:id="73"/>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Investment Securities (continued)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were no pledged securities at December 31, 2022 or December 31, 2021.</w:t>
      </w:r>
    </w:p>
    <w:p>
      <w:pPr>
        <w:spacing w:after="0" w:line="179" w:lineRule="exact"/>
        <w:rPr>
          <w:sz w:val="20"/>
          <w:szCs w:val="20"/>
          <w:color w:val="auto"/>
        </w:rPr>
      </w:pPr>
    </w:p>
    <w:p>
      <w:pPr>
        <w:ind w:right="440" w:firstLine="255"/>
        <w:spacing w:after="0" w:line="259" w:lineRule="auto"/>
        <w:rPr>
          <w:sz w:val="20"/>
          <w:szCs w:val="20"/>
          <w:color w:val="auto"/>
        </w:rPr>
      </w:pPr>
      <w:r>
        <w:rPr>
          <w:rFonts w:ascii="Arial" w:cs="Arial" w:eastAsia="Arial" w:hAnsi="Arial"/>
          <w:sz w:val="14"/>
          <w:szCs w:val="14"/>
          <w:color w:val="auto"/>
        </w:rPr>
        <w:t>Contractual maturities of U.S. government-sponsored agencies, asset-backed, municipal, corporate and mortgage-backed securities at December 31, 2022 and 2021 are shown below. Actual maturities may differ from contractual maturities because borrowers may have the right to call or prepay obligations with or without call or prepayment penalties.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b w:val="1"/>
                <w:bCs w:val="1"/>
                <w:color w:val="auto"/>
              </w:rPr>
              <w:t>For the Years Ended December 31,</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0"/>
        </w:trPr>
        <w:tc>
          <w:tcPr>
            <w:tcW w:w="5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1"/>
                <w:szCs w:val="11"/>
                <w:b w:val="1"/>
                <w:bCs w:val="1"/>
                <w:color w:val="auto"/>
              </w:rPr>
              <w:t>2022</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1"/>
                <w:szCs w:val="11"/>
                <w:b w:val="1"/>
                <w:bCs w:val="1"/>
                <w:color w:val="auto"/>
              </w:rPr>
              <w:t>2021</w:t>
            </w:r>
          </w:p>
        </w:tc>
        <w:tc>
          <w:tcPr>
            <w:tcW w:w="920" w:type="dxa"/>
            <w:vAlign w:val="bottom"/>
            <w:tcBorders>
              <w:bottom w:val="single" w:sz="8" w:color="auto"/>
            </w:tcBorders>
          </w:tcPr>
          <w:p>
            <w:pPr>
              <w:spacing w:after="0"/>
              <w:rPr>
                <w:sz w:val="13"/>
                <w:szCs w:val="13"/>
                <w:color w:val="auto"/>
              </w:rPr>
            </w:pPr>
          </w:p>
        </w:tc>
      </w:tr>
      <w:tr>
        <w:trPr>
          <w:trHeight w:val="112"/>
        </w:trPr>
        <w:tc>
          <w:tcPr>
            <w:tcW w:w="5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tcPr>
          <w:p>
            <w:pPr>
              <w:ind w:left="120"/>
              <w:spacing w:after="0" w:line="112" w:lineRule="exact"/>
              <w:rPr>
                <w:sz w:val="20"/>
                <w:szCs w:val="20"/>
                <w:color w:val="auto"/>
              </w:rPr>
            </w:pPr>
            <w:r>
              <w:rPr>
                <w:rFonts w:ascii="Arial" w:cs="Arial" w:eastAsia="Arial" w:hAnsi="Arial"/>
                <w:sz w:val="11"/>
                <w:szCs w:val="11"/>
                <w:b w:val="1"/>
                <w:bCs w:val="1"/>
                <w:color w:val="auto"/>
              </w:rPr>
              <w:t>Amortized</w:t>
            </w:r>
          </w:p>
        </w:tc>
        <w:tc>
          <w:tcPr>
            <w:tcW w:w="180" w:type="dxa"/>
            <w:vAlign w:val="bottom"/>
          </w:tcPr>
          <w:p>
            <w:pPr>
              <w:spacing w:after="0"/>
              <w:rPr>
                <w:sz w:val="9"/>
                <w:szCs w:val="9"/>
                <w:color w:val="auto"/>
              </w:rPr>
            </w:pPr>
          </w:p>
        </w:tc>
        <w:tc>
          <w:tcPr>
            <w:tcW w:w="1100" w:type="dxa"/>
            <w:vAlign w:val="bottom"/>
            <w:gridSpan w:val="2"/>
          </w:tcPr>
          <w:p>
            <w:pPr>
              <w:ind w:left="300"/>
              <w:spacing w:after="0" w:line="112" w:lineRule="exact"/>
              <w:rPr>
                <w:sz w:val="20"/>
                <w:szCs w:val="20"/>
                <w:color w:val="auto"/>
              </w:rPr>
            </w:pPr>
            <w:r>
              <w:rPr>
                <w:rFonts w:ascii="Arial" w:cs="Arial" w:eastAsia="Arial" w:hAnsi="Arial"/>
                <w:sz w:val="11"/>
                <w:szCs w:val="11"/>
                <w:b w:val="1"/>
                <w:bCs w:val="1"/>
                <w:color w:val="auto"/>
              </w:rPr>
              <w:t>Fair</w:t>
            </w:r>
          </w:p>
        </w:tc>
        <w:tc>
          <w:tcPr>
            <w:tcW w:w="220" w:type="dxa"/>
            <w:vAlign w:val="bottom"/>
          </w:tcPr>
          <w:p>
            <w:pPr>
              <w:spacing w:after="0"/>
              <w:rPr>
                <w:sz w:val="9"/>
                <w:szCs w:val="9"/>
                <w:color w:val="auto"/>
              </w:rPr>
            </w:pPr>
          </w:p>
        </w:tc>
        <w:tc>
          <w:tcPr>
            <w:tcW w:w="1080" w:type="dxa"/>
            <w:vAlign w:val="bottom"/>
            <w:gridSpan w:val="2"/>
          </w:tcPr>
          <w:p>
            <w:pPr>
              <w:ind w:left="120"/>
              <w:spacing w:after="0" w:line="112" w:lineRule="exact"/>
              <w:rPr>
                <w:sz w:val="20"/>
                <w:szCs w:val="20"/>
                <w:color w:val="auto"/>
              </w:rPr>
            </w:pPr>
            <w:r>
              <w:rPr>
                <w:rFonts w:ascii="Arial" w:cs="Arial" w:eastAsia="Arial" w:hAnsi="Arial"/>
                <w:sz w:val="11"/>
                <w:szCs w:val="11"/>
                <w:color w:val="auto"/>
              </w:rPr>
              <w:t>Amortized</w:t>
            </w:r>
          </w:p>
        </w:tc>
        <w:tc>
          <w:tcPr>
            <w:tcW w:w="260" w:type="dxa"/>
            <w:vAlign w:val="bottom"/>
          </w:tcPr>
          <w:p>
            <w:pPr>
              <w:spacing w:after="0"/>
              <w:rPr>
                <w:sz w:val="9"/>
                <w:szCs w:val="9"/>
                <w:color w:val="auto"/>
              </w:rPr>
            </w:pPr>
          </w:p>
        </w:tc>
        <w:tc>
          <w:tcPr>
            <w:tcW w:w="920" w:type="dxa"/>
            <w:vAlign w:val="bottom"/>
          </w:tcPr>
          <w:p>
            <w:pPr>
              <w:jc w:val="right"/>
              <w:ind w:right="418"/>
              <w:spacing w:after="0" w:line="112" w:lineRule="exact"/>
              <w:rPr>
                <w:sz w:val="20"/>
                <w:szCs w:val="20"/>
                <w:color w:val="auto"/>
              </w:rPr>
            </w:pPr>
            <w:r>
              <w:rPr>
                <w:rFonts w:ascii="Arial" w:cs="Arial" w:eastAsia="Arial" w:hAnsi="Arial"/>
                <w:sz w:val="11"/>
                <w:szCs w:val="11"/>
                <w:color w:val="auto"/>
              </w:rPr>
              <w:t>Fair</w:t>
            </w:r>
          </w:p>
        </w:tc>
      </w:tr>
      <w:tr>
        <w:trPr>
          <w:trHeight w:val="148"/>
        </w:trPr>
        <w:tc>
          <w:tcPr>
            <w:tcW w:w="59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color w:val="auto"/>
              </w:rPr>
              <w:t>Cost</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color w:val="auto"/>
              </w:rPr>
              <w:t>Value</w:t>
            </w:r>
          </w:p>
        </w:tc>
      </w:tr>
      <w:tr>
        <w:trPr>
          <w:trHeight w:val="160"/>
        </w:trPr>
        <w:tc>
          <w:tcPr>
            <w:tcW w:w="5960" w:type="dxa"/>
            <w:vAlign w:val="bottom"/>
          </w:tcPr>
          <w:p>
            <w:pPr>
              <w:ind w:left="20"/>
              <w:spacing w:after="0"/>
              <w:rPr>
                <w:sz w:val="20"/>
                <w:szCs w:val="20"/>
                <w:color w:val="auto"/>
              </w:rPr>
            </w:pPr>
            <w:r>
              <w:rPr>
                <w:rFonts w:ascii="Arial" w:cs="Arial" w:eastAsia="Arial" w:hAnsi="Arial"/>
                <w:sz w:val="13"/>
                <w:szCs w:val="13"/>
                <w:color w:val="auto"/>
              </w:rPr>
              <w:t>Within one year</w:t>
            </w:r>
          </w:p>
        </w:tc>
        <w:tc>
          <w:tcPr>
            <w:tcW w:w="200" w:type="dxa"/>
            <w:vAlign w:val="bottom"/>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53,739</w:t>
            </w:r>
          </w:p>
        </w:tc>
        <w:tc>
          <w:tcPr>
            <w:tcW w:w="12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53,204</w:t>
            </w:r>
          </w:p>
        </w:tc>
        <w:tc>
          <w:tcPr>
            <w:tcW w:w="100" w:type="dxa"/>
            <w:vAlign w:val="bottom"/>
          </w:tcPr>
          <w:p>
            <w:pPr>
              <w:spacing w:after="0"/>
              <w:rPr>
                <w:sz w:val="13"/>
                <w:szCs w:val="13"/>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Over one to five years</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88,165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82,538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57,650</w:t>
            </w:r>
          </w:p>
        </w:tc>
      </w:tr>
      <w:tr>
        <w:trPr>
          <w:trHeight w:val="169"/>
        </w:trPr>
        <w:tc>
          <w:tcPr>
            <w:tcW w:w="5960" w:type="dxa"/>
            <w:vAlign w:val="bottom"/>
          </w:tcPr>
          <w:p>
            <w:pPr>
              <w:ind w:left="20"/>
              <w:spacing w:after="0"/>
              <w:rPr>
                <w:sz w:val="20"/>
                <w:szCs w:val="20"/>
                <w:color w:val="auto"/>
              </w:rPr>
            </w:pPr>
            <w:r>
              <w:rPr>
                <w:rFonts w:ascii="Arial" w:cs="Arial" w:eastAsia="Arial" w:hAnsi="Arial"/>
                <w:sz w:val="13"/>
                <w:szCs w:val="13"/>
                <w:color w:val="auto"/>
              </w:rPr>
              <w:t>Over five to ten years</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79,090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68,805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78,850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78,285</w:t>
            </w:r>
          </w:p>
        </w:tc>
      </w:tr>
      <w:tr>
        <w:trPr>
          <w:trHeight w:val="170"/>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Over ten years</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10,307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7,514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10,474</w:t>
            </w:r>
          </w:p>
        </w:tc>
      </w:tr>
      <w:tr>
        <w:trPr>
          <w:trHeight w:val="170"/>
        </w:trPr>
        <w:tc>
          <w:tcPr>
            <w:tcW w:w="5960" w:type="dxa"/>
            <w:vAlign w:val="bottom"/>
          </w:tcPr>
          <w:p>
            <w:pPr>
              <w:ind w:left="20"/>
              <w:spacing w:after="0" w:line="170" w:lineRule="exact"/>
              <w:rPr>
                <w:sz w:val="20"/>
                <w:szCs w:val="20"/>
                <w:color w:val="auto"/>
              </w:rPr>
            </w:pPr>
            <w:r>
              <w:rPr>
                <w:rFonts w:ascii="Arial" w:cs="Arial" w:eastAsia="Arial" w:hAnsi="Arial"/>
                <w:sz w:val="13"/>
                <w:szCs w:val="13"/>
                <w:color w:val="auto"/>
              </w:rPr>
              <w:t>Asset-backed securities</w:t>
            </w:r>
            <w:r>
              <w:rPr>
                <w:rFonts w:ascii="Arial" w:cs="Arial" w:eastAsia="Arial" w:hAnsi="Arial"/>
                <w:sz w:val="16"/>
                <w:szCs w:val="16"/>
                <w:color w:val="auto"/>
                <w:vertAlign w:val="superscript"/>
              </w:rPr>
              <w:t>(1)</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7,970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7,711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10,140</w:t>
            </w:r>
          </w:p>
        </w:tc>
      </w:tr>
      <w:tr>
        <w:trPr>
          <w:trHeight w:val="170"/>
        </w:trPr>
        <w:tc>
          <w:tcPr>
            <w:tcW w:w="59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Mortgage-backed securities</w:t>
            </w:r>
            <w:r>
              <w:rPr>
                <w:rFonts w:ascii="Arial" w:cs="Arial" w:eastAsia="Arial" w:hAnsi="Arial"/>
                <w:sz w:val="16"/>
                <w:szCs w:val="16"/>
                <w:color w:val="auto"/>
                <w:vertAlign w:val="superscript"/>
              </w:rPr>
              <w:t>(1)</w:t>
            </w: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35,626</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32,709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27,589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27,906</w:t>
            </w:r>
          </w:p>
        </w:tc>
      </w:tr>
      <w:tr>
        <w:trPr>
          <w:trHeight w:val="136"/>
        </w:trPr>
        <w:tc>
          <w:tcPr>
            <w:tcW w:w="5960" w:type="dxa"/>
            <w:vAlign w:val="bottom"/>
          </w:tcPr>
          <w:p>
            <w:pPr>
              <w:spacing w:after="0"/>
              <w:rPr>
                <w:sz w:val="11"/>
                <w:szCs w:val="11"/>
                <w:color w:val="auto"/>
              </w:rPr>
            </w:pPr>
          </w:p>
        </w:tc>
        <w:tc>
          <w:tcPr>
            <w:tcW w:w="200" w:type="dxa"/>
            <w:vAlign w:val="bottom"/>
          </w:tcPr>
          <w:p>
            <w:pPr>
              <w:jc w:val="right"/>
              <w:ind w:right="56"/>
              <w:spacing w:after="0" w:line="136" w:lineRule="exact"/>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274,897</w:t>
            </w:r>
          </w:p>
        </w:tc>
        <w:tc>
          <w:tcPr>
            <w:tcW w:w="120" w:type="dxa"/>
            <w:vAlign w:val="bottom"/>
          </w:tcPr>
          <w:p>
            <w:pPr>
              <w:spacing w:after="0"/>
              <w:rPr>
                <w:sz w:val="11"/>
                <w:szCs w:val="11"/>
                <w:color w:val="auto"/>
              </w:rPr>
            </w:pPr>
          </w:p>
        </w:tc>
        <w:tc>
          <w:tcPr>
            <w:tcW w:w="180" w:type="dxa"/>
            <w:vAlign w:val="bottom"/>
          </w:tcPr>
          <w:p>
            <w:pPr>
              <w:jc w:val="right"/>
              <w:ind w:right="36"/>
              <w:spacing w:after="0" w:line="136" w:lineRule="exact"/>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252,481</w:t>
            </w:r>
          </w:p>
        </w:tc>
        <w:tc>
          <w:tcPr>
            <w:tcW w:w="100" w:type="dxa"/>
            <w:vAlign w:val="bottom"/>
          </w:tcPr>
          <w:p>
            <w:pPr>
              <w:spacing w:after="0"/>
              <w:rPr>
                <w:sz w:val="11"/>
                <w:szCs w:val="11"/>
                <w:color w:val="auto"/>
              </w:rPr>
            </w:pPr>
          </w:p>
        </w:tc>
        <w:tc>
          <w:tcPr>
            <w:tcW w:w="220" w:type="dxa"/>
            <w:vAlign w:val="bottom"/>
          </w:tcPr>
          <w:p>
            <w:pPr>
              <w:jc w:val="right"/>
              <w:ind w:right="56"/>
              <w:spacing w:after="0" w:line="136"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36" w:lineRule="exact"/>
              <w:rPr>
                <w:sz w:val="20"/>
                <w:szCs w:val="20"/>
                <w:color w:val="auto"/>
              </w:rPr>
            </w:pPr>
            <w:r>
              <w:rPr>
                <w:rFonts w:ascii="Arial" w:cs="Arial" w:eastAsia="Arial" w:hAnsi="Arial"/>
                <w:sz w:val="13"/>
                <w:szCs w:val="13"/>
                <w:color w:val="auto"/>
              </w:rPr>
              <w:t>185,959</w:t>
            </w:r>
          </w:p>
        </w:tc>
        <w:tc>
          <w:tcPr>
            <w:tcW w:w="100" w:type="dxa"/>
            <w:vAlign w:val="bottom"/>
          </w:tcPr>
          <w:p>
            <w:pPr>
              <w:spacing w:after="0"/>
              <w:rPr>
                <w:sz w:val="11"/>
                <w:szCs w:val="11"/>
                <w:color w:val="auto"/>
              </w:rPr>
            </w:pPr>
          </w:p>
        </w:tc>
        <w:tc>
          <w:tcPr>
            <w:tcW w:w="260" w:type="dxa"/>
            <w:vAlign w:val="bottom"/>
          </w:tcPr>
          <w:p>
            <w:pPr>
              <w:jc w:val="right"/>
              <w:ind w:right="116"/>
              <w:spacing w:after="0" w:line="136"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184,455</w:t>
            </w:r>
          </w:p>
        </w:tc>
      </w:tr>
    </w:tbl>
    <w:p>
      <w:pPr>
        <w:ind w:left="11020"/>
        <w:spacing w:after="0"/>
        <w:rPr>
          <w:sz w:val="20"/>
          <w:szCs w:val="20"/>
          <w:color w:val="auto"/>
        </w:rPr>
      </w:pPr>
      <w:r>
        <w:rPr>
          <w:rFonts w:ascii="Arial" w:cs="Arial" w:eastAsia="Arial" w:hAnsi="Arial"/>
          <w:sz w:val="7"/>
          <w:szCs w:val="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-34925</wp:posOffset>
            </wp:positionV>
            <wp:extent cx="3220085" cy="266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20085" cy="26670"/>
                    </a:xfrm>
                    <a:prstGeom prst="rect">
                      <a:avLst/>
                    </a:prstGeom>
                    <a:noFill/>
                  </pic:spPr>
                </pic:pic>
              </a:graphicData>
            </a:graphic>
          </wp:anchor>
        </w:drawing>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Mortgage-backed and Asset-backed securities are due in monthly installments.</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SBA-PPP Loans</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During the global COVID-19 pandemic, pursuant to the CARES Act and the Consolidated Appropriations Act, 2021, the SBA-PPP provided forgivable loans to small businesses to enable them to maintain payroll, hire back employees who have been laid off, and cover applicable overhead. SBA-PPP loans have an interest rate of 1%, have 2- and 5-year terms, and carry a 100% guarantee of the SBA. The program ended on May 31, 2031.</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allowance for loan losses for SBA-PPP loans was separately evaluated given the explicit government guarantee. This analysis, which incorporated historical experience with similar SBA guarantees and underwriting, concluded that the likelihood of loss was remote and therefore no allowance for loan losses was assigned to these loans.</w:t>
      </w:r>
    </w:p>
    <w:p>
      <w:pPr>
        <w:spacing w:after="0" w:line="15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SBA-PPP loans receivable, which totaled $2.2 million, and $111.5 million at December 31, 2022 and 2021, respectively all of which rated as pass credits, not past due, nonaccrual, TDR, or otherwise impaired. Earned fees for the years ended December 31, 2022 and 2021 are $3.2 million and $ 5.7 million, respectively. Unearned net fees associated with the SBA-PPP loans amounted to $31 thousand and $3.2 million at December 31, 2022 and 2021, respectively. There were no outstanding commitments to extend additional SBA-PPP loans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74" w:name="page75"/>
    <w:bookmarkEnd w:id="74"/>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Major classifications of portfolio loans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December 31,</w:t>
            </w: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64"/>
        </w:trPr>
        <w:tc>
          <w:tcPr>
            <w:tcW w:w="3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2022</w:t>
            </w:r>
          </w:p>
        </w:tc>
        <w:tc>
          <w:tcPr>
            <w:tcW w:w="1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2021</w:t>
            </w:r>
          </w:p>
        </w:tc>
        <w:tc>
          <w:tcPr>
            <w:tcW w:w="1540" w:type="dxa"/>
            <w:vAlign w:val="bottom"/>
            <w:tcBorders>
              <w:bottom w:val="single" w:sz="8" w:color="auto"/>
            </w:tcBorders>
          </w:tcPr>
          <w:p>
            <w:pPr>
              <w:spacing w:after="0"/>
              <w:rPr>
                <w:sz w:val="14"/>
                <w:szCs w:val="14"/>
                <w:color w:val="auto"/>
              </w:rPr>
            </w:pPr>
          </w:p>
        </w:tc>
      </w:tr>
      <w:tr>
        <w:trPr>
          <w:trHeight w:val="160"/>
        </w:trPr>
        <w:tc>
          <w:tcPr>
            <w:tcW w:w="318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400" w:type="dxa"/>
            <w:vAlign w:val="bottom"/>
          </w:tcPr>
          <w:p>
            <w:pPr>
              <w:spacing w:after="0"/>
              <w:rPr>
                <w:sz w:val="13"/>
                <w:szCs w:val="13"/>
                <w:color w:val="auto"/>
              </w:rPr>
            </w:pPr>
          </w:p>
        </w:tc>
        <w:tc>
          <w:tcPr>
            <w:tcW w:w="2060" w:type="dxa"/>
            <w:vAlign w:val="bottom"/>
            <w:gridSpan w:val="3"/>
          </w:tcPr>
          <w:p>
            <w:pPr>
              <w:jc w:val="right"/>
              <w:ind w:right="1260"/>
              <w:spacing w:after="0"/>
              <w:rPr>
                <w:sz w:val="20"/>
                <w:szCs w:val="20"/>
                <w:color w:val="auto"/>
              </w:rPr>
            </w:pPr>
            <w:r>
              <w:rPr>
                <w:rFonts w:ascii="Arial" w:cs="Arial" w:eastAsia="Arial" w:hAnsi="Arial"/>
                <w:sz w:val="13"/>
                <w:szCs w:val="13"/>
                <w:b w:val="1"/>
                <w:bCs w:val="1"/>
                <w:color w:val="auto"/>
              </w:rPr>
              <w:t>Amount</w:t>
            </w:r>
          </w:p>
        </w:tc>
        <w:tc>
          <w:tcPr>
            <w:tcW w:w="1540" w:type="dxa"/>
            <w:vAlign w:val="bottom"/>
          </w:tcPr>
          <w:p>
            <w:pPr>
              <w:jc w:val="right"/>
              <w:ind w:right="697"/>
              <w:spacing w:after="0"/>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40" w:type="dxa"/>
            <w:vAlign w:val="bottom"/>
            <w:gridSpan w:val="3"/>
          </w:tcPr>
          <w:p>
            <w:pPr>
              <w:jc w:val="right"/>
              <w:ind w:right="1260"/>
              <w:spacing w:after="0"/>
              <w:rPr>
                <w:sz w:val="20"/>
                <w:szCs w:val="20"/>
                <w:color w:val="auto"/>
              </w:rPr>
            </w:pPr>
            <w:r>
              <w:rPr>
                <w:rFonts w:ascii="Arial" w:cs="Arial" w:eastAsia="Arial" w:hAnsi="Arial"/>
                <w:sz w:val="13"/>
                <w:szCs w:val="13"/>
                <w:b w:val="1"/>
                <w:bCs w:val="1"/>
                <w:color w:val="auto"/>
              </w:rPr>
              <w:t>Amount</w:t>
            </w:r>
          </w:p>
        </w:tc>
        <w:tc>
          <w:tcPr>
            <w:tcW w:w="1540" w:type="dxa"/>
            <w:vAlign w:val="bottom"/>
          </w:tcPr>
          <w:p>
            <w:pPr>
              <w:jc w:val="right"/>
              <w:ind w:right="696"/>
              <w:spacing w:after="0"/>
              <w:rPr>
                <w:sz w:val="20"/>
                <w:szCs w:val="20"/>
                <w:color w:val="auto"/>
              </w:rPr>
            </w:pPr>
            <w:r>
              <w:rPr>
                <w:rFonts w:ascii="Arial" w:cs="Arial" w:eastAsia="Arial" w:hAnsi="Arial"/>
                <w:sz w:val="13"/>
                <w:szCs w:val="13"/>
                <w:b w:val="1"/>
                <w:bCs w:val="1"/>
                <w:color w:val="auto"/>
              </w:rPr>
              <w:t>Percent</w:t>
            </w:r>
          </w:p>
        </w:tc>
      </w:tr>
      <w:tr>
        <w:trPr>
          <w:trHeight w:val="150"/>
        </w:trPr>
        <w:tc>
          <w:tcPr>
            <w:tcW w:w="318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color w:val="auto"/>
              </w:rPr>
              <w:t>Real estate:</w:t>
            </w:r>
          </w:p>
        </w:tc>
        <w:tc>
          <w:tcPr>
            <w:tcW w:w="4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69"/>
        </w:trPr>
        <w:tc>
          <w:tcPr>
            <w:tcW w:w="3180" w:type="dxa"/>
            <w:vAlign w:val="bottom"/>
          </w:tcPr>
          <w:p>
            <w:pPr>
              <w:ind w:left="120"/>
              <w:spacing w:after="0"/>
              <w:rPr>
                <w:sz w:val="20"/>
                <w:szCs w:val="20"/>
                <w:color w:val="auto"/>
              </w:rPr>
            </w:pPr>
            <w:r>
              <w:rPr>
                <w:rFonts w:ascii="Arial" w:cs="Arial" w:eastAsia="Arial" w:hAnsi="Arial"/>
                <w:sz w:val="13"/>
                <w:szCs w:val="13"/>
                <w:color w:val="auto"/>
              </w:rPr>
              <w:t>Residential</w:t>
            </w:r>
          </w:p>
        </w:tc>
        <w:tc>
          <w:tcPr>
            <w:tcW w:w="400" w:type="dxa"/>
            <w:vAlign w:val="bottom"/>
          </w:tcPr>
          <w:p>
            <w:pPr>
              <w:jc w:val="right"/>
              <w:ind w:right="236"/>
              <w:spacing w:after="0"/>
              <w:rPr>
                <w:sz w:val="20"/>
                <w:szCs w:val="20"/>
                <w:color w:val="auto"/>
              </w:rPr>
            </w:pPr>
            <w:r>
              <w:rPr>
                <w:rFonts w:ascii="Arial" w:cs="Arial" w:eastAsia="Arial" w:hAnsi="Arial"/>
                <w:sz w:val="13"/>
                <w:szCs w:val="13"/>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484,735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 xml:space="preserve">28 %  </w:t>
            </w: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401,607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26 %</w:t>
            </w:r>
          </w:p>
        </w:tc>
      </w:tr>
      <w:tr>
        <w:trPr>
          <w:trHeight w:val="170"/>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w:t>
            </w:r>
          </w:p>
        </w:tc>
        <w:tc>
          <w:tcPr>
            <w:tcW w:w="4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664,551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556,339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36</w:t>
            </w:r>
          </w:p>
        </w:tc>
      </w:tr>
      <w:tr>
        <w:trPr>
          <w:trHeight w:val="169"/>
        </w:trPr>
        <w:tc>
          <w:tcPr>
            <w:tcW w:w="3180" w:type="dxa"/>
            <w:vAlign w:val="bottom"/>
          </w:tcPr>
          <w:p>
            <w:pPr>
              <w:ind w:left="120"/>
              <w:spacing w:after="0"/>
              <w:rPr>
                <w:sz w:val="20"/>
                <w:szCs w:val="20"/>
                <w:color w:val="auto"/>
              </w:rPr>
            </w:pPr>
            <w:r>
              <w:rPr>
                <w:rFonts w:ascii="Arial" w:cs="Arial" w:eastAsia="Arial" w:hAnsi="Arial"/>
                <w:sz w:val="13"/>
                <w:szCs w:val="13"/>
                <w:color w:val="auto"/>
              </w:rPr>
              <w:t>Construction</w:t>
            </w:r>
          </w:p>
        </w:tc>
        <w:tc>
          <w:tcPr>
            <w:tcW w:w="4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238,099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ind w:right="97"/>
              <w:spacing w:after="0"/>
              <w:rPr>
                <w:sz w:val="20"/>
                <w:szCs w:val="20"/>
                <w:color w:val="auto"/>
              </w:rPr>
            </w:pPr>
            <w:r>
              <w:rPr>
                <w:rFonts w:ascii="Arial" w:cs="Arial" w:eastAsia="Arial" w:hAnsi="Arial"/>
                <w:sz w:val="13"/>
                <w:szCs w:val="13"/>
                <w:b w:val="1"/>
                <w:bCs w:val="1"/>
                <w:color w:val="auto"/>
              </w:rPr>
              <w:t>14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255,147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ind w:right="96"/>
              <w:spacing w:after="0"/>
              <w:rPr>
                <w:sz w:val="20"/>
                <w:szCs w:val="20"/>
                <w:color w:val="auto"/>
              </w:rPr>
            </w:pPr>
            <w:r>
              <w:rPr>
                <w:rFonts w:ascii="Arial" w:cs="Arial" w:eastAsia="Arial" w:hAnsi="Arial"/>
                <w:sz w:val="13"/>
                <w:szCs w:val="13"/>
                <w:b w:val="1"/>
                <w:bCs w:val="1"/>
                <w:color w:val="auto"/>
              </w:rPr>
              <w:t>17</w:t>
            </w:r>
          </w:p>
        </w:tc>
      </w:tr>
      <w:tr>
        <w:trPr>
          <w:trHeight w:val="170"/>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4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220,221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175,956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11</w:t>
            </w:r>
          </w:p>
        </w:tc>
      </w:tr>
      <w:tr>
        <w:trPr>
          <w:trHeight w:val="169"/>
        </w:trPr>
        <w:tc>
          <w:tcPr>
            <w:tcW w:w="3180" w:type="dxa"/>
            <w:vAlign w:val="bottom"/>
          </w:tcPr>
          <w:p>
            <w:pPr>
              <w:ind w:left="20"/>
              <w:spacing w:after="0"/>
              <w:rPr>
                <w:sz w:val="20"/>
                <w:szCs w:val="20"/>
                <w:color w:val="auto"/>
              </w:rPr>
            </w:pPr>
            <w:r>
              <w:rPr>
                <w:rFonts w:ascii="Arial" w:cs="Arial" w:eastAsia="Arial" w:hAnsi="Arial"/>
                <w:sz w:val="13"/>
                <w:szCs w:val="13"/>
                <w:color w:val="auto"/>
              </w:rPr>
              <w:t>Credit card, net of reserve</w:t>
            </w:r>
          </w:p>
        </w:tc>
        <w:tc>
          <w:tcPr>
            <w:tcW w:w="4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128,434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ind w:right="97"/>
              <w:spacing w:after="0"/>
              <w:rPr>
                <w:sz w:val="20"/>
                <w:szCs w:val="20"/>
                <w:color w:val="auto"/>
              </w:rPr>
            </w:pPr>
            <w:r>
              <w:rPr>
                <w:rFonts w:ascii="Arial" w:cs="Arial" w:eastAsia="Arial" w:hAnsi="Arial"/>
                <w:sz w:val="13"/>
                <w:szCs w:val="13"/>
                <w:b w:val="1"/>
                <w:bCs w:val="1"/>
                <w:color w:val="auto"/>
              </w:rPr>
              <w:t>7</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141,120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ind w:right="96"/>
              <w:spacing w:after="0"/>
              <w:rPr>
                <w:sz w:val="20"/>
                <w:szCs w:val="20"/>
                <w:color w:val="auto"/>
              </w:rPr>
            </w:pPr>
            <w:r>
              <w:rPr>
                <w:rFonts w:ascii="Arial" w:cs="Arial" w:eastAsia="Arial" w:hAnsi="Arial"/>
                <w:sz w:val="13"/>
                <w:szCs w:val="13"/>
                <w:b w:val="1"/>
                <w:bCs w:val="1"/>
                <w:color w:val="auto"/>
              </w:rPr>
              <w:t>9</w:t>
            </w:r>
          </w:p>
        </w:tc>
      </w:tr>
      <w:tr>
        <w:trPr>
          <w:trHeight w:val="170"/>
        </w:trPr>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consumer</w:t>
            </w:r>
          </w:p>
        </w:tc>
        <w:tc>
          <w:tcPr>
            <w:tcW w:w="4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1,179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jc w:val="right"/>
              <w:ind w:right="780"/>
              <w:spacing w:after="0"/>
              <w:rPr>
                <w:sz w:val="20"/>
                <w:szCs w:val="20"/>
                <w:color w:val="auto"/>
              </w:rPr>
            </w:pPr>
            <w:r>
              <w:rPr>
                <w:rFonts w:ascii="Arial" w:cs="Arial" w:eastAsia="Arial" w:hAnsi="Arial"/>
                <w:sz w:val="13"/>
                <w:szCs w:val="13"/>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w:t>
            </w:r>
          </w:p>
        </w:tc>
      </w:tr>
      <w:tr>
        <w:trPr>
          <w:trHeight w:val="161"/>
        </w:trPr>
        <w:tc>
          <w:tcPr>
            <w:tcW w:w="3180" w:type="dxa"/>
            <w:vAlign w:val="bottom"/>
          </w:tcPr>
          <w:p>
            <w:pPr>
              <w:ind w:left="120"/>
              <w:spacing w:after="0"/>
              <w:rPr>
                <w:sz w:val="20"/>
                <w:szCs w:val="20"/>
                <w:color w:val="auto"/>
              </w:rPr>
            </w:pPr>
            <w:r>
              <w:rPr>
                <w:rFonts w:ascii="Arial" w:cs="Arial" w:eastAsia="Arial" w:hAnsi="Arial"/>
                <w:sz w:val="13"/>
                <w:szCs w:val="13"/>
                <w:color w:val="auto"/>
              </w:rPr>
              <w:t>Portfolio loans receivable, gross</w:t>
            </w:r>
          </w:p>
        </w:tc>
        <w:tc>
          <w:tcPr>
            <w:tcW w:w="4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1,737,219</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100 %</w:t>
            </w: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1,531,202</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100 %</w:t>
            </w: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31"/>
        </w:trPr>
        <w:tc>
          <w:tcPr>
            <w:tcW w:w="31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Deferred origination fees, net</w:t>
            </w:r>
          </w:p>
        </w:tc>
        <w:tc>
          <w:tcPr>
            <w:tcW w:w="40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(8,627)</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(7,220)</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169"/>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Allowance for loan losses</w:t>
            </w: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(26,385)</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(25,181)</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r>
      <w:tr>
        <w:trPr>
          <w:trHeight w:val="181"/>
        </w:trPr>
        <w:tc>
          <w:tcPr>
            <w:tcW w:w="3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Portfolio loans receivable, net</w:t>
            </w: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1,702,207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16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1,498,801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4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makes loans to customers located primarily in the Washington, D.C. and Baltimore, Maryland metropolitan areas. Although the loan portfolio is diversified, its performance is influenced by the regional economy. The Company’s loan categories, excluding SBA-PPP loans, previously discussed in Note 4, are described below.</w:t>
      </w:r>
    </w:p>
    <w:p>
      <w:pPr>
        <w:spacing w:after="0" w:line="138"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14"/>
          <w:szCs w:val="14"/>
          <w:i w:val="1"/>
          <w:iCs w:val="1"/>
          <w:color w:val="auto"/>
        </w:rPr>
        <w:t>Residential Real Estate Loans</w:t>
      </w:r>
      <w:r>
        <w:rPr>
          <w:rFonts w:ascii="Arial" w:cs="Arial" w:eastAsia="Arial" w:hAnsi="Arial"/>
          <w:sz w:val="14"/>
          <w:szCs w:val="14"/>
          <w:color w:val="auto"/>
        </w:rPr>
        <w:t>. One-to-four family mortgage loans are primarily secured by owner-occupied primary residences and, to a lesser extent, investor-owned</w:t>
      </w:r>
      <w:r>
        <w:rPr>
          <w:rFonts w:ascii="Arial" w:cs="Arial" w:eastAsia="Arial" w:hAnsi="Arial"/>
          <w:sz w:val="14"/>
          <w:szCs w:val="14"/>
          <w:i w:val="1"/>
          <w:iCs w:val="1"/>
          <w:color w:val="auto"/>
        </w:rPr>
        <w:t xml:space="preserve"> </w:t>
      </w:r>
      <w:r>
        <w:rPr>
          <w:rFonts w:ascii="Arial" w:cs="Arial" w:eastAsia="Arial" w:hAnsi="Arial"/>
          <w:sz w:val="14"/>
          <w:szCs w:val="14"/>
          <w:color w:val="auto"/>
        </w:rPr>
        <w:t>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w:t>
      </w:r>
    </w:p>
    <w:p>
      <w:pPr>
        <w:spacing w:after="0" w:line="143"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i w:val="1"/>
          <w:iCs w:val="1"/>
          <w:color w:val="auto"/>
        </w:rPr>
        <w:t>Commercial Real Estate Loans</w:t>
      </w:r>
      <w:r>
        <w:rPr>
          <w:rFonts w:ascii="Arial" w:cs="Arial" w:eastAsia="Arial" w:hAnsi="Arial"/>
          <w:sz w:val="14"/>
          <w:szCs w:val="14"/>
          <w:color w:val="auto"/>
        </w:rPr>
        <w:t>. Commercial real estate loans are originated on owner-occupied and non-owner-occupied properties. These loans may be more adversely</w:t>
      </w:r>
      <w:r>
        <w:rPr>
          <w:rFonts w:ascii="Arial" w:cs="Arial" w:eastAsia="Arial" w:hAnsi="Arial"/>
          <w:sz w:val="14"/>
          <w:szCs w:val="14"/>
          <w:i w:val="1"/>
          <w:iCs w:val="1"/>
          <w:color w:val="auto"/>
        </w:rPr>
        <w:t xml:space="preserve"> </w:t>
      </w:r>
      <w:r>
        <w:rPr>
          <w:rFonts w:ascii="Arial" w:cs="Arial" w:eastAsia="Arial" w:hAnsi="Arial"/>
          <w:sz w:val="14"/>
          <w:szCs w:val="14"/>
          <w:color w:val="auto"/>
        </w:rPr>
        <w:t>affected by conditions in the real estate markets or in the general economy. Commercial loans that are secured by owner-occupied commercial real estate and primarily collateralized by operating cash flows are also included in this category of loans. As of December 31, 2022, there were approximately $378.7 million of owner-occupied commercial real estate loans, representing approximately 21.8% of the commercial real estate portfolio. Commercial real estate loan terms are generally extended for 10 years or less and amortize generally over 25 years or less. The interest rates on commercial real estate loans generally have initial fixed rate 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diverse in type. This diversity may help reduce the exposure to adverse economic events that affect any single industry.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75" w:name="page76"/>
    <w:bookmarkEnd w:id="75"/>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(continued)</w:t>
      </w:r>
    </w:p>
    <w:p>
      <w:pPr>
        <w:spacing w:after="0" w:line="183"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i w:val="1"/>
          <w:iCs w:val="1"/>
          <w:color w:val="auto"/>
        </w:rPr>
        <w:t>Construction Loans</w:t>
      </w:r>
      <w:r>
        <w:rPr>
          <w:rFonts w:ascii="Arial" w:cs="Arial" w:eastAsia="Arial" w:hAnsi="Arial"/>
          <w:sz w:val="14"/>
          <w:szCs w:val="14"/>
          <w:color w:val="auto"/>
        </w:rPr>
        <w:t>. Construction loans are offered within the Company’s Washington, D.C. and Baltimore, Maryland metropolitan operating areas to builders primarily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although exceptions are sometimes made. Semi-annual stress testing of the construction loan portfolio is conducted, and underlying real estate conditions are monitored as well as trends in sales outcomes versus underwriting valuations as part of ongoing risk management efforts. The borrowers’ progress in construction buildout is monitored to enforce the original underwriting guidelines for construction milestones and completion timelines.</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auto"/>
        </w:rPr>
        <w:t>Commercial and Industrial</w:t>
      </w:r>
      <w:r>
        <w:rPr>
          <w:rFonts w:ascii="Arial" w:cs="Arial" w:eastAsia="Arial" w:hAnsi="Arial"/>
          <w:sz w:val="14"/>
          <w:szCs w:val="14"/>
          <w:color w:val="auto"/>
        </w:rPr>
        <w:t>. In addition to other loan products, general commercial loans, including commercial lines of credit, working capital loans, term loans, equipment financing,</w:t>
      </w:r>
      <w:r>
        <w:rPr>
          <w:rFonts w:ascii="Arial" w:cs="Arial" w:eastAsia="Arial" w:hAnsi="Arial"/>
          <w:sz w:val="14"/>
          <w:szCs w:val="14"/>
          <w:i w:val="1"/>
          <w:iCs w:val="1"/>
          <w:color w:val="auto"/>
        </w:rPr>
        <w:t xml:space="preserve"> </w:t>
      </w:r>
      <w:r>
        <w:rPr>
          <w:rFonts w:ascii="Arial" w:cs="Arial" w:eastAsia="Arial" w:hAnsi="Arial"/>
          <w:sz w:val="14"/>
          <w:szCs w:val="14"/>
          <w:color w:val="auto"/>
        </w:rPr>
        <w:t>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spacing w:after="0" w:line="143" w:lineRule="exact"/>
        <w:rPr>
          <w:sz w:val="20"/>
          <w:szCs w:val="20"/>
          <w:color w:val="auto"/>
        </w:rPr>
      </w:pPr>
    </w:p>
    <w:p>
      <w:pPr>
        <w:jc w:val="both"/>
        <w:ind w:firstLine="255"/>
        <w:spacing w:after="0" w:line="247" w:lineRule="auto"/>
        <w:rPr>
          <w:sz w:val="20"/>
          <w:szCs w:val="20"/>
          <w:color w:val="auto"/>
        </w:rPr>
      </w:pPr>
      <w:r>
        <w:rPr>
          <w:rFonts w:ascii="Arial" w:cs="Arial" w:eastAsia="Arial" w:hAnsi="Arial"/>
          <w:sz w:val="14"/>
          <w:szCs w:val="14"/>
          <w:i w:val="1"/>
          <w:iCs w:val="1"/>
          <w:color w:val="auto"/>
        </w:rPr>
        <w:t>Credit Cards</w:t>
      </w:r>
      <w:r>
        <w:rPr>
          <w:rFonts w:ascii="Arial" w:cs="Arial" w:eastAsia="Arial" w:hAnsi="Arial"/>
          <w:sz w:val="14"/>
          <w:szCs w:val="14"/>
          <w:color w:val="auto"/>
        </w:rPr>
        <w:t>. Through the OpenSky</w:t>
      </w:r>
      <w:r>
        <w:rPr>
          <w:rFonts w:ascii="Arial" w:cs="Arial" w:eastAsia="Arial" w:hAnsi="Arial"/>
          <w:sz w:val="18"/>
          <w:szCs w:val="18"/>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credit card division, the Company offers secured, partially secured, and unsecured credit cards on a nationwide basis to under-banked</w:t>
      </w:r>
      <w:r>
        <w:rPr>
          <w:rFonts w:ascii="Arial" w:cs="Arial" w:eastAsia="Arial" w:hAnsi="Arial"/>
          <w:sz w:val="14"/>
          <w:szCs w:val="14"/>
          <w:i w:val="1"/>
          <w:iCs w:val="1"/>
          <w:color w:val="auto"/>
        </w:rPr>
        <w:t xml:space="preserve"> </w:t>
      </w:r>
      <w:r>
        <w:rPr>
          <w:rFonts w:ascii="Arial" w:cs="Arial" w:eastAsia="Arial" w:hAnsi="Arial"/>
          <w:sz w:val="14"/>
          <w:szCs w:val="14"/>
          <w:color w:val="auto"/>
        </w:rPr>
        <w:t>populations and those looking to rebuild their credit scores through a fully digital and mobile platform. The secured lines of credit are secured by a noninterest-bearing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repayments, but ultimately determined on a case-by-case basis). Partially secured and unsecured credit cards are only extended to existing secured card customers who have demonstrated sound credit behaviors. Approximately $109.4 million and $126.8 million of the $123.1 million and $140.2 million in secured and partially secured credit card balances were protected by savings deposits held by the Company as of December 31, 2022 and December 31, 2021, respectively. Unsecured balances were $26.8 million and $17.7 million, respectively, as of December 31, 2022 and December 31, 2021, respectively.</w:t>
      </w:r>
    </w:p>
    <w:p>
      <w:pPr>
        <w:spacing w:after="0" w:line="155"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Other Consumer Loans</w:t>
      </w:r>
      <w:r>
        <w:rPr>
          <w:rFonts w:ascii="Arial" w:cs="Arial" w:eastAsia="Arial" w:hAnsi="Arial"/>
          <w:sz w:val="14"/>
          <w:szCs w:val="14"/>
          <w:color w:val="auto"/>
        </w:rPr>
        <w:t>. To a limited extent and typically as an accommodation to existing customers, personal consumer loans, such as term loans, car loans or boat loans are</w:t>
      </w:r>
      <w:r>
        <w:rPr>
          <w:rFonts w:ascii="Arial" w:cs="Arial" w:eastAsia="Arial" w:hAnsi="Arial"/>
          <w:sz w:val="14"/>
          <w:szCs w:val="14"/>
          <w:i w:val="1"/>
          <w:iCs w:val="1"/>
          <w:color w:val="auto"/>
        </w:rPr>
        <w:t xml:space="preserve"> </w:t>
      </w:r>
      <w:r>
        <w:rPr>
          <w:rFonts w:ascii="Arial" w:cs="Arial" w:eastAsia="Arial" w:hAnsi="Arial"/>
          <w:sz w:val="14"/>
          <w:szCs w:val="14"/>
          <w:color w:val="auto"/>
        </w:rPr>
        <w:t>offered.</w:t>
      </w:r>
    </w:p>
    <w:p>
      <w:pPr>
        <w:spacing w:after="0" w:line="138"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 recorded as an accretable discount, which will be recognized in interest income over the terms of the related loans. For loans considered to be impaired at acquisition, the difference between the contractually required payments and expected cash flows are recorded as a non-accretable discount. The remaining non-accretable discounts on loans acquired was $ 285 thousand as of December 31, 2022 and December 31, 2021. Loans with non-accretable discounts had carrying values of $781 thousand and $818 thousand as of December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76" w:name="page77"/>
    <w:bookmarkEnd w:id="76"/>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(continued)</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 The following tables present, by class and reserving methodology, the allocation of the allowance for loan losses and the gross investment in loans as of December 31, 2022 and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8"/>
                <w:szCs w:val="8"/>
                <w:b w:val="1"/>
                <w:bCs w:val="1"/>
                <w:color w:val="auto"/>
              </w:rPr>
              <w:t>Allowance for Loan Losses</w:t>
            </w:r>
          </w:p>
        </w:tc>
        <w:tc>
          <w:tcPr>
            <w:tcW w:w="140" w:type="dxa"/>
            <w:vAlign w:val="bottom"/>
          </w:tcPr>
          <w:p>
            <w:pPr>
              <w:spacing w:after="0"/>
              <w:rPr>
                <w:sz w:val="7"/>
                <w:szCs w:val="7"/>
                <w:color w:val="auto"/>
              </w:rPr>
            </w:pPr>
          </w:p>
        </w:tc>
        <w:tc>
          <w:tcPr>
            <w:tcW w:w="1900" w:type="dxa"/>
            <w:vAlign w:val="bottom"/>
            <w:gridSpan w:val="4"/>
          </w:tcPr>
          <w:p>
            <w:pPr>
              <w:jc w:val="center"/>
              <w:ind w:right="91"/>
              <w:spacing w:after="0"/>
              <w:rPr>
                <w:sz w:val="20"/>
                <w:szCs w:val="20"/>
                <w:color w:val="auto"/>
              </w:rPr>
            </w:pPr>
            <w:r>
              <w:rPr>
                <w:rFonts w:ascii="Arial" w:cs="Arial" w:eastAsia="Arial" w:hAnsi="Arial"/>
                <w:sz w:val="8"/>
                <w:szCs w:val="8"/>
                <w:b w:val="1"/>
                <w:bCs w:val="1"/>
                <w:color w:val="auto"/>
              </w:rPr>
              <w:t>Outstanding Loan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120" w:type="dxa"/>
            <w:vAlign w:val="bottom"/>
            <w:gridSpan w:val="2"/>
            <w:vMerge w:val="restart"/>
          </w:tcPr>
          <w:p>
            <w:pPr>
              <w:spacing w:after="0"/>
              <w:rPr>
                <w:sz w:val="20"/>
                <w:szCs w:val="20"/>
                <w:color w:val="auto"/>
              </w:rPr>
            </w:pPr>
            <w:r>
              <w:rPr>
                <w:rFonts w:ascii="Arial" w:cs="Arial" w:eastAsia="Arial" w:hAnsi="Arial"/>
                <w:sz w:val="8"/>
                <w:szCs w:val="8"/>
                <w:i w:val="1"/>
                <w:iCs w:val="1"/>
                <w:color w:val="auto"/>
              </w:rPr>
              <w:t>(in thousands)</w:t>
            </w: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gridSpan w:val="5"/>
          </w:tcPr>
          <w:p>
            <w:pPr>
              <w:jc w:val="center"/>
              <w:ind w:right="280"/>
              <w:spacing w:after="0" w:line="85" w:lineRule="exact"/>
              <w:rPr>
                <w:sz w:val="20"/>
                <w:szCs w:val="20"/>
                <w:color w:val="auto"/>
              </w:rPr>
            </w:pPr>
            <w:r>
              <w:rPr>
                <w:rFonts w:ascii="Arial" w:cs="Arial" w:eastAsia="Arial" w:hAnsi="Arial"/>
                <w:sz w:val="8"/>
                <w:szCs w:val="8"/>
                <w:b w:val="1"/>
                <w:bCs w:val="1"/>
                <w:color w:val="auto"/>
              </w:rPr>
              <w:t>Ending Balance Evaluated</w:t>
            </w:r>
          </w:p>
        </w:tc>
        <w:tc>
          <w:tcPr>
            <w:tcW w:w="140" w:type="dxa"/>
            <w:vAlign w:val="bottom"/>
          </w:tcPr>
          <w:p>
            <w:pPr>
              <w:spacing w:after="0"/>
              <w:rPr>
                <w:sz w:val="7"/>
                <w:szCs w:val="7"/>
                <w:color w:val="auto"/>
              </w:rPr>
            </w:pPr>
          </w:p>
        </w:tc>
        <w:tc>
          <w:tcPr>
            <w:tcW w:w="1900" w:type="dxa"/>
            <w:vAlign w:val="bottom"/>
            <w:gridSpan w:val="4"/>
          </w:tcPr>
          <w:p>
            <w:pPr>
              <w:jc w:val="center"/>
              <w:ind w:right="91"/>
              <w:spacing w:after="0" w:line="85" w:lineRule="exact"/>
              <w:rPr>
                <w:sz w:val="20"/>
                <w:szCs w:val="20"/>
                <w:color w:val="auto"/>
              </w:rPr>
            </w:pPr>
            <w:r>
              <w:rPr>
                <w:rFonts w:ascii="Arial" w:cs="Arial" w:eastAsia="Arial" w:hAnsi="Arial"/>
                <w:sz w:val="8"/>
                <w:szCs w:val="8"/>
                <w:b w:val="1"/>
                <w:bCs w:val="1"/>
                <w:color w:val="auto"/>
              </w:rPr>
              <w:t>Balances Evaluated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8"/>
                <w:szCs w:val="8"/>
                <w:b w:val="1"/>
                <w:bCs w:val="1"/>
                <w:color w:val="auto"/>
              </w:rPr>
              <w:t>for Impairment:</w:t>
            </w: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4"/>
          </w:tcPr>
          <w:p>
            <w:pPr>
              <w:jc w:val="center"/>
              <w:ind w:right="91"/>
              <w:spacing w:after="0"/>
              <w:rPr>
                <w:sz w:val="20"/>
                <w:szCs w:val="20"/>
                <w:color w:val="auto"/>
              </w:rPr>
            </w:pPr>
            <w:r>
              <w:rPr>
                <w:rFonts w:ascii="Arial" w:cs="Arial" w:eastAsia="Arial" w:hAnsi="Arial"/>
                <w:sz w:val="8"/>
                <w:szCs w:val="8"/>
                <w:b w:val="1"/>
                <w:bCs w:val="1"/>
                <w:color w:val="auto"/>
              </w:rPr>
              <w:t>for Impairment: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Arial" w:cs="Arial" w:eastAsia="Arial" w:hAnsi="Arial"/>
                <w:sz w:val="10"/>
                <w:szCs w:val="10"/>
                <w:b w:val="1"/>
                <w:bCs w:val="1"/>
                <w:color w:val="auto"/>
                <w:w w:val="97"/>
              </w:rPr>
              <w:t>December 31, 2022</w:t>
            </w:r>
          </w:p>
        </w:tc>
        <w:tc>
          <w:tcPr>
            <w:tcW w:w="12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Beginning</w:t>
            </w:r>
          </w:p>
        </w:tc>
        <w:tc>
          <w:tcPr>
            <w:tcW w:w="14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Provision for</w:t>
            </w: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Charge-Offs</w:t>
            </w:r>
          </w:p>
        </w:tc>
        <w:tc>
          <w:tcPr>
            <w:tcW w:w="16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Recoveries</w:t>
            </w:r>
          </w:p>
        </w:tc>
        <w:tc>
          <w:tcPr>
            <w:tcW w:w="160" w:type="dxa"/>
            <w:vAlign w:val="bottom"/>
          </w:tcPr>
          <w:p>
            <w:pPr>
              <w:spacing w:after="0"/>
              <w:rPr>
                <w:sz w:val="10"/>
                <w:szCs w:val="1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Ending</w:t>
            </w:r>
          </w:p>
        </w:tc>
        <w:tc>
          <w:tcPr>
            <w:tcW w:w="1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Individually</w:t>
            </w:r>
          </w:p>
        </w:tc>
        <w:tc>
          <w:tcPr>
            <w:tcW w:w="26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Collectively</w:t>
            </w:r>
          </w:p>
        </w:tc>
        <w:tc>
          <w:tcPr>
            <w:tcW w:w="14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Individually</w:t>
            </w:r>
          </w:p>
        </w:tc>
        <w:tc>
          <w:tcPr>
            <w:tcW w:w="160" w:type="dxa"/>
            <w:vAlign w:val="bottom"/>
          </w:tcPr>
          <w:p>
            <w:pPr>
              <w:spacing w:after="0"/>
              <w:rPr>
                <w:sz w:val="10"/>
                <w:szCs w:val="10"/>
                <w:color w:val="auto"/>
              </w:rPr>
            </w:pPr>
          </w:p>
        </w:tc>
        <w:tc>
          <w:tcPr>
            <w:tcW w:w="840" w:type="dxa"/>
            <w:vAlign w:val="bottom"/>
            <w:vMerge w:val="restart"/>
          </w:tcPr>
          <w:p>
            <w:pPr>
              <w:jc w:val="right"/>
              <w:ind w:right="211"/>
              <w:spacing w:after="0"/>
              <w:rPr>
                <w:sz w:val="20"/>
                <w:szCs w:val="20"/>
                <w:color w:val="auto"/>
              </w:rPr>
            </w:pPr>
            <w:r>
              <w:rPr>
                <w:rFonts w:ascii="Arial" w:cs="Arial" w:eastAsia="Arial" w:hAnsi="Arial"/>
                <w:sz w:val="8"/>
                <w:szCs w:val="8"/>
                <w:b w:val="1"/>
                <w:bCs w:val="1"/>
                <w:color w:val="auto"/>
              </w:rPr>
              <w:t>Collectively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Balance</w:t>
            </w:r>
          </w:p>
        </w:tc>
        <w:tc>
          <w:tcPr>
            <w:tcW w:w="140" w:type="dxa"/>
            <w:vAlign w:val="bottom"/>
          </w:tcPr>
          <w:p>
            <w:pPr>
              <w:spacing w:after="0"/>
              <w:rPr>
                <w:sz w:val="8"/>
                <w:szCs w:val="8"/>
                <w:color w:val="auto"/>
              </w:rPr>
            </w:pP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Loan Losses</w:t>
            </w: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Balance</w:t>
            </w:r>
          </w:p>
        </w:tc>
        <w:tc>
          <w:tcPr>
            <w:tcW w:w="1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gridSpan w:val="2"/>
            <w:vMerge w:val="restart"/>
          </w:tcPr>
          <w:p>
            <w:pPr>
              <w:spacing w:after="0"/>
              <w:rPr>
                <w:sz w:val="20"/>
                <w:szCs w:val="20"/>
                <w:color w:val="auto"/>
              </w:rPr>
            </w:pPr>
            <w:r>
              <w:rPr>
                <w:rFonts w:ascii="Arial" w:cs="Arial" w:eastAsia="Arial" w:hAnsi="Arial"/>
                <w:sz w:val="10"/>
                <w:szCs w:val="10"/>
                <w:color w:val="auto"/>
              </w:rPr>
              <w:t>Real estate: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Residential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5,612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0"/>
                <w:szCs w:val="10"/>
                <w:b w:val="1"/>
                <w:bCs w:val="1"/>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5,481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5,481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4,288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480,447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120" w:type="dxa"/>
            <w:vAlign w:val="bottom"/>
            <w:gridSpan w:val="2"/>
          </w:tcPr>
          <w:p>
            <w:pPr>
              <w:ind w:left="100"/>
              <w:spacing w:after="0"/>
              <w:rPr>
                <w:sz w:val="20"/>
                <w:szCs w:val="20"/>
                <w:color w:val="auto"/>
              </w:rPr>
            </w:pPr>
            <w:r>
              <w:rPr>
                <w:rFonts w:ascii="Arial" w:cs="Arial" w:eastAsia="Arial" w:hAnsi="Arial"/>
                <w:sz w:val="10"/>
                <w:szCs w:val="10"/>
                <w:color w:val="auto"/>
              </w:rPr>
              <w:t>Commercial</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8,566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(468)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54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8,098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8,098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1,563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662,988</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Construction</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4,699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3,782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3,782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2,837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235,262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Commercial and Industrial</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2,637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298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54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2,935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12"/>
              <w:spacing w:after="0"/>
              <w:rPr>
                <w:sz w:val="20"/>
                <w:szCs w:val="20"/>
                <w:color w:val="auto"/>
              </w:rPr>
            </w:pPr>
            <w:r>
              <w:rPr>
                <w:rFonts w:ascii="Arial" w:cs="Arial" w:eastAsia="Arial" w:hAnsi="Arial"/>
                <w:sz w:val="10"/>
                <w:szCs w:val="10"/>
                <w:b w:val="1"/>
                <w:bCs w:val="1"/>
                <w:color w:val="auto"/>
              </w:rPr>
              <w:t>372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2,563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705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219,516</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 xml:space="preserve">Credit card </w:t>
            </w:r>
            <w:r>
              <w:rPr>
                <w:rFonts w:ascii="Arial" w:cs="Arial" w:eastAsia="Arial" w:hAnsi="Arial"/>
                <w:sz w:val="12"/>
                <w:szCs w:val="12"/>
                <w:color w:val="auto"/>
                <w:vertAlign w:val="superscript"/>
              </w:rPr>
              <w:t>(1)</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3,655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7,833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(5,461)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6,078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6,078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128,434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Other consumer</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54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11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1,179</w:t>
            </w:r>
          </w:p>
        </w:tc>
        <w:tc>
          <w:tcPr>
            <w:tcW w:w="0" w:type="dxa"/>
            <w:vAlign w:val="bottom"/>
          </w:tcPr>
          <w:p>
            <w:pPr>
              <w:spacing w:after="0"/>
              <w:rPr>
                <w:sz w:val="1"/>
                <w:szCs w:val="1"/>
                <w:color w:val="auto"/>
              </w:rPr>
            </w:pPr>
          </w:p>
        </w:tc>
      </w:tr>
      <w:tr>
        <w:trPr>
          <w:trHeight w:val="158"/>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12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Total</w:t>
            </w: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25,181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6,631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(5,478)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51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26,385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372</w:t>
            </w:r>
          </w:p>
        </w:tc>
        <w:tc>
          <w:tcPr>
            <w:tcW w:w="100" w:type="dxa"/>
            <w:vAlign w:val="bottom"/>
            <w:tcBorders>
              <w:top w:val="single" w:sz="8" w:color="CCEEFF"/>
              <w:bottom w:val="single" w:sz="8" w:color="auto"/>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26,013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9,393</w:t>
            </w:r>
          </w:p>
        </w:tc>
        <w:tc>
          <w:tcPr>
            <w:tcW w:w="120" w:type="dxa"/>
            <w:vAlign w:val="bottom"/>
            <w:tcBorders>
              <w:top w:val="single" w:sz="8" w:color="CCEEFF"/>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1,727,826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line="106" w:lineRule="exact"/>
              <w:rPr>
                <w:sz w:val="20"/>
                <w:szCs w:val="20"/>
                <w:color w:val="auto"/>
              </w:rPr>
            </w:pPr>
            <w:r>
              <w:rPr>
                <w:rFonts w:ascii="Arial" w:cs="Arial" w:eastAsia="Arial" w:hAnsi="Arial"/>
                <w:sz w:val="10"/>
                <w:szCs w:val="10"/>
                <w:b w:val="1"/>
                <w:bCs w:val="1"/>
                <w:color w:val="auto"/>
                <w:w w:val="97"/>
              </w:rPr>
              <w:t>December 31, 2021</w:t>
            </w:r>
          </w:p>
        </w:tc>
        <w:tc>
          <w:tcPr>
            <w:tcW w:w="12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Real estate:</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Residential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7,153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5,612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2,835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398,772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20" w:type="dxa"/>
            <w:vAlign w:val="bottom"/>
            <w:gridSpan w:val="2"/>
          </w:tcPr>
          <w:p>
            <w:pPr>
              <w:ind w:left="100"/>
              <w:spacing w:after="0"/>
              <w:rPr>
                <w:sz w:val="20"/>
                <w:szCs w:val="20"/>
                <w:color w:val="auto"/>
              </w:rPr>
            </w:pPr>
            <w:r>
              <w:rPr>
                <w:rFonts w:ascii="Arial" w:cs="Arial" w:eastAsia="Arial" w:hAnsi="Arial"/>
                <w:sz w:val="10"/>
                <w:szCs w:val="10"/>
                <w:color w:val="auto"/>
              </w:rPr>
              <w:t>Commercial</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6,786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1,941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8,566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8,566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556,314</w:t>
            </w: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Construction</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4,595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4,699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4,699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7,803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247,344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Commercial and Industrial</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2,417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2,637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12"/>
              <w:spacing w:after="0"/>
              <w:rPr>
                <w:sz w:val="20"/>
                <w:szCs w:val="20"/>
                <w:color w:val="auto"/>
              </w:rPr>
            </w:pPr>
            <w:r>
              <w:rPr>
                <w:rFonts w:ascii="Arial" w:cs="Arial" w:eastAsia="Arial" w:hAnsi="Arial"/>
                <w:sz w:val="10"/>
                <w:szCs w:val="10"/>
                <w:color w:val="auto"/>
              </w:rPr>
              <w:t>218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2,419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676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175,280</w:t>
            </w: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 xml:space="preserve">Credit card </w:t>
            </w:r>
            <w:r>
              <w:rPr>
                <w:rFonts w:ascii="Arial" w:cs="Arial" w:eastAsia="Arial" w:hAnsi="Arial"/>
                <w:sz w:val="12"/>
                <w:szCs w:val="12"/>
                <w:color w:val="auto"/>
                <w:vertAlign w:val="superscript"/>
              </w:rPr>
              <w:t>(1)</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2,462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3,655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3,655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141,120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Other consumer</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1,033</w:t>
            </w:r>
          </w:p>
        </w:tc>
        <w:tc>
          <w:tcPr>
            <w:tcW w:w="0" w:type="dxa"/>
            <w:vAlign w:val="bottom"/>
          </w:tcPr>
          <w:p>
            <w:pPr>
              <w:spacing w:after="0"/>
              <w:rPr>
                <w:sz w:val="1"/>
                <w:szCs w:val="1"/>
                <w:color w:val="auto"/>
              </w:rPr>
            </w:pPr>
          </w:p>
        </w:tc>
      </w:tr>
      <w:tr>
        <w:trPr>
          <w:trHeight w:val="16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12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Total</w:t>
            </w: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23,434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3,359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(1,654)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25,181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218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24,963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11,339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1,519,863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71" w:lineRule="exact"/>
        <w:rPr>
          <w:sz w:val="20"/>
          <w:szCs w:val="20"/>
          <w:color w:val="auto"/>
        </w:rPr>
      </w:pPr>
    </w:p>
    <w:p>
      <w:pPr>
        <w:ind w:left="380" w:hanging="120"/>
        <w:spacing w:after="0"/>
        <w:tabs>
          <w:tab w:leader="none" w:pos="380" w:val="left"/>
        </w:tabs>
        <w:numPr>
          <w:ilvl w:val="0"/>
          <w:numId w:val="17"/>
        </w:numPr>
        <w:rPr>
          <w:rFonts w:ascii="Arial" w:cs="Arial" w:eastAsia="Arial" w:hAnsi="Arial"/>
          <w:sz w:val="7"/>
          <w:szCs w:val="7"/>
          <w:color w:val="auto"/>
        </w:rPr>
      </w:pPr>
      <w:r>
        <w:rPr>
          <w:rFonts w:ascii="Arial" w:cs="Arial" w:eastAsia="Arial" w:hAnsi="Arial"/>
          <w:sz w:val="11"/>
          <w:szCs w:val="11"/>
          <w:color w:val="auto"/>
        </w:rPr>
        <w:t>Credit cards loans are collectively evaluated by past due status and as such are not individually risk rated.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77" w:name="page78"/>
    <w:bookmarkEnd w:id="77"/>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(continued)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Past due portfolio loans, segregated by delinquency and class of loans, as of December 31, 2022 and 2021 were as follows:</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4"/>
              </w:rPr>
              <w:t>Loans</w:t>
            </w:r>
          </w:p>
        </w:tc>
        <w:tc>
          <w:tcPr>
            <w:tcW w:w="18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Loans</w:t>
            </w:r>
          </w:p>
        </w:tc>
        <w:tc>
          <w:tcPr>
            <w:tcW w:w="20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1"/>
              </w:rPr>
              <w:t>Total</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Accruing</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20" w:type="dxa"/>
            <w:vAlign w:val="bottom"/>
            <w:gridSpan w:val="3"/>
            <w:vMerge w:val="restart"/>
          </w:tcPr>
          <w:p>
            <w:pPr>
              <w:ind w:left="20"/>
              <w:spacing w:after="0"/>
              <w:rPr>
                <w:sz w:val="20"/>
                <w:szCs w:val="20"/>
                <w:color w:val="auto"/>
              </w:rPr>
            </w:pPr>
            <w:r>
              <w:rPr>
                <w:rFonts w:ascii="Arial" w:cs="Arial" w:eastAsia="Arial" w:hAnsi="Arial"/>
                <w:sz w:val="8"/>
                <w:szCs w:val="8"/>
                <w:i w:val="1"/>
                <w:iCs w:val="1"/>
                <w:color w:val="auto"/>
              </w:rPr>
              <w:t>(in thousands)</w:t>
            </w:r>
          </w:p>
        </w:tc>
        <w:tc>
          <w:tcPr>
            <w:tcW w:w="1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tcPr>
          <w:p>
            <w:pPr>
              <w:jc w:val="center"/>
              <w:ind w:right="300"/>
              <w:spacing w:after="0" w:line="96" w:lineRule="exact"/>
              <w:rPr>
                <w:sz w:val="20"/>
                <w:szCs w:val="20"/>
                <w:color w:val="auto"/>
              </w:rPr>
            </w:pPr>
            <w:r>
              <w:rPr>
                <w:rFonts w:ascii="Arial" w:cs="Arial" w:eastAsia="Arial" w:hAnsi="Arial"/>
                <w:sz w:val="10"/>
                <w:szCs w:val="10"/>
                <w:b w:val="1"/>
                <w:bCs w:val="1"/>
                <w:color w:val="auto"/>
                <w:w w:val="98"/>
              </w:rPr>
              <w:t>90 or More</w:t>
            </w:r>
          </w:p>
        </w:tc>
        <w:tc>
          <w:tcPr>
            <w:tcW w:w="2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w w:val="99"/>
              </w:rPr>
              <w:t>Loans 90 or</w:t>
            </w: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82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2"/>
            <w:vMerge w:val="restart"/>
          </w:tcPr>
          <w:p>
            <w:pPr>
              <w:jc w:val="center"/>
              <w:ind w:right="280"/>
              <w:spacing w:after="0" w:line="106" w:lineRule="exact"/>
              <w:rPr>
                <w:sz w:val="20"/>
                <w:szCs w:val="20"/>
                <w:color w:val="auto"/>
              </w:rPr>
            </w:pPr>
            <w:r>
              <w:rPr>
                <w:rFonts w:ascii="Arial" w:cs="Arial" w:eastAsia="Arial" w:hAnsi="Arial"/>
                <w:sz w:val="10"/>
                <w:szCs w:val="10"/>
                <w:b w:val="1"/>
                <w:bCs w:val="1"/>
                <w:color w:val="auto"/>
                <w:w w:val="99"/>
              </w:rPr>
              <w:t>30-89 Days</w:t>
            </w:r>
          </w:p>
        </w:tc>
        <w:tc>
          <w:tcPr>
            <w:tcW w:w="180" w:type="dxa"/>
            <w:vAlign w:val="bottom"/>
          </w:tcPr>
          <w:p>
            <w:pPr>
              <w:spacing w:after="0"/>
              <w:rPr>
                <w:sz w:val="4"/>
                <w:szCs w:val="4"/>
                <w:color w:val="auto"/>
              </w:rPr>
            </w:pPr>
          </w:p>
        </w:tc>
        <w:tc>
          <w:tcPr>
            <w:tcW w:w="1000" w:type="dxa"/>
            <w:vAlign w:val="bottom"/>
            <w:gridSpan w:val="2"/>
            <w:vMerge w:val="restart"/>
          </w:tcPr>
          <w:p>
            <w:pPr>
              <w:jc w:val="center"/>
              <w:ind w:right="280"/>
              <w:spacing w:after="0" w:line="106" w:lineRule="exact"/>
              <w:rPr>
                <w:sz w:val="20"/>
                <w:szCs w:val="20"/>
                <w:color w:val="auto"/>
              </w:rPr>
            </w:pPr>
            <w:r>
              <w:rPr>
                <w:rFonts w:ascii="Arial" w:cs="Arial" w:eastAsia="Arial" w:hAnsi="Arial"/>
                <w:sz w:val="10"/>
                <w:szCs w:val="10"/>
                <w:b w:val="1"/>
                <w:bCs w:val="1"/>
                <w:color w:val="auto"/>
              </w:rPr>
              <w:t>Days</w:t>
            </w:r>
          </w:p>
        </w:tc>
        <w:tc>
          <w:tcPr>
            <w:tcW w:w="200" w:type="dxa"/>
            <w:vAlign w:val="bottom"/>
          </w:tcPr>
          <w:p>
            <w:pPr>
              <w:spacing w:after="0"/>
              <w:rPr>
                <w:sz w:val="4"/>
                <w:szCs w:val="4"/>
                <w:color w:val="auto"/>
              </w:rPr>
            </w:pPr>
          </w:p>
        </w:tc>
        <w:tc>
          <w:tcPr>
            <w:tcW w:w="980" w:type="dxa"/>
            <w:vAlign w:val="bottom"/>
            <w:gridSpan w:val="2"/>
            <w:vMerge w:val="restart"/>
          </w:tcPr>
          <w:p>
            <w:pPr>
              <w:jc w:val="center"/>
              <w:ind w:right="320"/>
              <w:spacing w:after="0" w:line="106" w:lineRule="exact"/>
              <w:rPr>
                <w:sz w:val="20"/>
                <w:szCs w:val="20"/>
                <w:color w:val="auto"/>
              </w:rPr>
            </w:pPr>
            <w:r>
              <w:rPr>
                <w:rFonts w:ascii="Arial" w:cs="Arial" w:eastAsia="Arial" w:hAnsi="Arial"/>
                <w:sz w:val="10"/>
                <w:szCs w:val="10"/>
                <w:b w:val="1"/>
                <w:bCs w:val="1"/>
                <w:color w:val="auto"/>
                <w:w w:val="98"/>
              </w:rPr>
              <w:t>Past Due</w:t>
            </w:r>
          </w:p>
        </w:tc>
        <w:tc>
          <w:tcPr>
            <w:tcW w:w="220" w:type="dxa"/>
            <w:vAlign w:val="bottom"/>
          </w:tcPr>
          <w:p>
            <w:pPr>
              <w:spacing w:after="0"/>
              <w:rPr>
                <w:sz w:val="4"/>
                <w:szCs w:val="4"/>
                <w:color w:val="auto"/>
              </w:rPr>
            </w:pPr>
          </w:p>
        </w:tc>
        <w:tc>
          <w:tcPr>
            <w:tcW w:w="960" w:type="dxa"/>
            <w:vAlign w:val="bottom"/>
            <w:gridSpan w:val="2"/>
            <w:vMerge w:val="restart"/>
          </w:tcPr>
          <w:p>
            <w:pPr>
              <w:jc w:val="center"/>
              <w:ind w:right="320"/>
              <w:spacing w:after="0" w:line="106" w:lineRule="exact"/>
              <w:rPr>
                <w:sz w:val="20"/>
                <w:szCs w:val="20"/>
                <w:color w:val="auto"/>
              </w:rPr>
            </w:pPr>
            <w:r>
              <w:rPr>
                <w:rFonts w:ascii="Arial" w:cs="Arial" w:eastAsia="Arial" w:hAnsi="Arial"/>
                <w:sz w:val="10"/>
                <w:szCs w:val="10"/>
                <w:b w:val="1"/>
                <w:bCs w:val="1"/>
                <w:color w:val="auto"/>
                <w:w w:val="99"/>
              </w:rPr>
              <w:t>Current</w:t>
            </w:r>
          </w:p>
        </w:tc>
        <w:tc>
          <w:tcPr>
            <w:tcW w:w="280" w:type="dxa"/>
            <w:vAlign w:val="bottom"/>
          </w:tcPr>
          <w:p>
            <w:pPr>
              <w:spacing w:after="0"/>
              <w:rPr>
                <w:sz w:val="4"/>
                <w:szCs w:val="4"/>
                <w:color w:val="auto"/>
              </w:rPr>
            </w:pPr>
          </w:p>
        </w:tc>
        <w:tc>
          <w:tcPr>
            <w:tcW w:w="1120" w:type="dxa"/>
            <w:vAlign w:val="bottom"/>
            <w:gridSpan w:val="2"/>
            <w:vMerge w:val="restart"/>
          </w:tcPr>
          <w:p>
            <w:pPr>
              <w:jc w:val="center"/>
              <w:ind w:right="380"/>
              <w:spacing w:after="0" w:line="106" w:lineRule="exact"/>
              <w:rPr>
                <w:sz w:val="20"/>
                <w:szCs w:val="20"/>
                <w:color w:val="auto"/>
              </w:rPr>
            </w:pPr>
            <w:r>
              <w:rPr>
                <w:rFonts w:ascii="Arial" w:cs="Arial" w:eastAsia="Arial" w:hAnsi="Arial"/>
                <w:sz w:val="10"/>
                <w:szCs w:val="10"/>
                <w:b w:val="1"/>
                <w:bCs w:val="1"/>
                <w:color w:val="auto"/>
                <w:w w:val="91"/>
              </w:rPr>
              <w:t>Total</w:t>
            </w:r>
          </w:p>
        </w:tc>
        <w:tc>
          <w:tcPr>
            <w:tcW w:w="160" w:type="dxa"/>
            <w:vAlign w:val="bottom"/>
          </w:tcPr>
          <w:p>
            <w:pPr>
              <w:spacing w:after="0"/>
              <w:rPr>
                <w:sz w:val="4"/>
                <w:szCs w:val="4"/>
                <w:color w:val="auto"/>
              </w:rPr>
            </w:pPr>
          </w:p>
        </w:tc>
        <w:tc>
          <w:tcPr>
            <w:tcW w:w="1020" w:type="dxa"/>
            <w:vAlign w:val="bottom"/>
            <w:gridSpan w:val="2"/>
            <w:vMerge w:val="restart"/>
          </w:tcPr>
          <w:p>
            <w:pPr>
              <w:jc w:val="center"/>
              <w:ind w:right="280"/>
              <w:spacing w:after="0" w:line="106" w:lineRule="exact"/>
              <w:rPr>
                <w:sz w:val="20"/>
                <w:szCs w:val="20"/>
                <w:color w:val="auto"/>
              </w:rPr>
            </w:pPr>
            <w:r>
              <w:rPr>
                <w:rFonts w:ascii="Arial" w:cs="Arial" w:eastAsia="Arial" w:hAnsi="Arial"/>
                <w:sz w:val="10"/>
                <w:szCs w:val="10"/>
                <w:b w:val="1"/>
                <w:bCs w:val="1"/>
                <w:color w:val="auto"/>
              </w:rPr>
              <w:t>More days</w:t>
            </w:r>
          </w:p>
        </w:tc>
        <w:tc>
          <w:tcPr>
            <w:tcW w:w="200" w:type="dxa"/>
            <w:vAlign w:val="bottom"/>
          </w:tcPr>
          <w:p>
            <w:pPr>
              <w:spacing w:after="0"/>
              <w:rPr>
                <w:sz w:val="4"/>
                <w:szCs w:val="4"/>
                <w:color w:val="auto"/>
              </w:rPr>
            </w:pPr>
          </w:p>
        </w:tc>
        <w:tc>
          <w:tcPr>
            <w:tcW w:w="780" w:type="dxa"/>
            <w:vAlign w:val="bottom"/>
            <w:vMerge w:val="restart"/>
          </w:tcPr>
          <w:p>
            <w:pPr>
              <w:jc w:val="right"/>
              <w:ind w:right="91"/>
              <w:spacing w:after="0" w:line="106" w:lineRule="exact"/>
              <w:rPr>
                <w:sz w:val="20"/>
                <w:szCs w:val="20"/>
                <w:color w:val="auto"/>
              </w:rPr>
            </w:pPr>
            <w:r>
              <w:rPr>
                <w:rFonts w:ascii="Arial" w:cs="Arial" w:eastAsia="Arial" w:hAnsi="Arial"/>
                <w:sz w:val="10"/>
                <w:szCs w:val="10"/>
                <w:b w:val="1"/>
                <w:bCs w:val="1"/>
                <w:color w:val="auto"/>
              </w:rPr>
              <w:t>Nonaccrual</w:t>
            </w:r>
          </w:p>
        </w:tc>
        <w:tc>
          <w:tcPr>
            <w:tcW w:w="0" w:type="dxa"/>
            <w:vAlign w:val="bottom"/>
          </w:tcPr>
          <w:p>
            <w:pPr>
              <w:spacing w:after="0"/>
              <w:rPr>
                <w:sz w:val="1"/>
                <w:szCs w:val="1"/>
                <w:color w:val="auto"/>
              </w:rPr>
            </w:pPr>
          </w:p>
        </w:tc>
      </w:tr>
      <w:tr>
        <w:trPr>
          <w:trHeight w:val="50"/>
        </w:trPr>
        <w:tc>
          <w:tcPr>
            <w:tcW w:w="282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December 31, 2022</w:t>
            </w:r>
          </w:p>
        </w:tc>
        <w:tc>
          <w:tcPr>
            <w:tcW w:w="1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8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8"/>
              </w:rPr>
              <w:t>Past Due</w:t>
            </w:r>
          </w:p>
        </w:tc>
        <w:tc>
          <w:tcPr>
            <w:tcW w:w="180" w:type="dxa"/>
            <w:vAlign w:val="bottom"/>
          </w:tcPr>
          <w:p>
            <w:pPr>
              <w:spacing w:after="0"/>
              <w:rPr>
                <w:sz w:val="9"/>
                <w:szCs w:val="9"/>
                <w:color w:val="auto"/>
              </w:rPr>
            </w:pPr>
          </w:p>
        </w:tc>
        <w:tc>
          <w:tcPr>
            <w:tcW w:w="100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8"/>
              </w:rPr>
              <w:t>Past Due</w:t>
            </w:r>
          </w:p>
        </w:tc>
        <w:tc>
          <w:tcPr>
            <w:tcW w:w="200" w:type="dxa"/>
            <w:vAlign w:val="bottom"/>
          </w:tcPr>
          <w:p>
            <w:pPr>
              <w:spacing w:after="0"/>
              <w:rPr>
                <w:sz w:val="9"/>
                <w:szCs w:val="9"/>
                <w:color w:val="auto"/>
              </w:rPr>
            </w:pPr>
          </w:p>
        </w:tc>
        <w:tc>
          <w:tcPr>
            <w:tcW w:w="98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rPr>
              <w:t>Loans</w:t>
            </w:r>
          </w:p>
        </w:tc>
        <w:tc>
          <w:tcPr>
            <w:tcW w:w="220" w:type="dxa"/>
            <w:vAlign w:val="bottom"/>
          </w:tcPr>
          <w:p>
            <w:pPr>
              <w:spacing w:after="0"/>
              <w:rPr>
                <w:sz w:val="9"/>
                <w:szCs w:val="9"/>
                <w:color w:val="auto"/>
              </w:rPr>
            </w:pPr>
          </w:p>
        </w:tc>
        <w:tc>
          <w:tcPr>
            <w:tcW w:w="96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w w:val="94"/>
              </w:rPr>
              <w:t>Loans</w:t>
            </w:r>
          </w:p>
        </w:tc>
        <w:tc>
          <w:tcPr>
            <w:tcW w:w="280" w:type="dxa"/>
            <w:vAlign w:val="bottom"/>
          </w:tcPr>
          <w:p>
            <w:pPr>
              <w:spacing w:after="0"/>
              <w:rPr>
                <w:sz w:val="9"/>
                <w:szCs w:val="9"/>
                <w:color w:val="auto"/>
              </w:rPr>
            </w:pPr>
          </w:p>
        </w:tc>
        <w:tc>
          <w:tcPr>
            <w:tcW w:w="1120" w:type="dxa"/>
            <w:vAlign w:val="bottom"/>
            <w:gridSpan w:val="2"/>
          </w:tcPr>
          <w:p>
            <w:pPr>
              <w:jc w:val="center"/>
              <w:ind w:right="380"/>
              <w:spacing w:after="0" w:line="106" w:lineRule="exact"/>
              <w:rPr>
                <w:sz w:val="20"/>
                <w:szCs w:val="20"/>
                <w:color w:val="auto"/>
              </w:rPr>
            </w:pPr>
            <w:r>
              <w:rPr>
                <w:rFonts w:ascii="Arial" w:cs="Arial" w:eastAsia="Arial" w:hAnsi="Arial"/>
                <w:sz w:val="10"/>
                <w:szCs w:val="10"/>
                <w:b w:val="1"/>
                <w:bCs w:val="1"/>
                <w:color w:val="auto"/>
              </w:rPr>
              <w:t>Loans</w:t>
            </w:r>
          </w:p>
        </w:tc>
        <w:tc>
          <w:tcPr>
            <w:tcW w:w="160" w:type="dxa"/>
            <w:vAlign w:val="bottom"/>
          </w:tcPr>
          <w:p>
            <w:pPr>
              <w:spacing w:after="0"/>
              <w:rPr>
                <w:sz w:val="9"/>
                <w:szCs w:val="9"/>
                <w:color w:val="auto"/>
              </w:rPr>
            </w:pPr>
          </w:p>
        </w:tc>
        <w:tc>
          <w:tcPr>
            <w:tcW w:w="102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98"/>
              </w:rPr>
              <w:t>Past Due</w:t>
            </w:r>
          </w:p>
        </w:tc>
        <w:tc>
          <w:tcPr>
            <w:tcW w:w="200" w:type="dxa"/>
            <w:vAlign w:val="bottom"/>
          </w:tcPr>
          <w:p>
            <w:pPr>
              <w:spacing w:after="0"/>
              <w:rPr>
                <w:sz w:val="9"/>
                <w:szCs w:val="9"/>
                <w:color w:val="auto"/>
              </w:rPr>
            </w:pPr>
          </w:p>
        </w:tc>
        <w:tc>
          <w:tcPr>
            <w:tcW w:w="780" w:type="dxa"/>
            <w:vAlign w:val="bottom"/>
          </w:tcPr>
          <w:p>
            <w:pPr>
              <w:jc w:val="right"/>
              <w:ind w:right="211"/>
              <w:spacing w:after="0" w:line="106" w:lineRule="exact"/>
              <w:rPr>
                <w:sz w:val="20"/>
                <w:szCs w:val="20"/>
                <w:color w:val="auto"/>
              </w:rPr>
            </w:pPr>
            <w:r>
              <w:rPr>
                <w:rFonts w:ascii="Arial" w:cs="Arial" w:eastAsia="Arial" w:hAnsi="Arial"/>
                <w:sz w:val="10"/>
                <w:szCs w:val="10"/>
                <w:b w:val="1"/>
                <w:bCs w:val="1"/>
                <w:color w:val="auto"/>
              </w:rPr>
              <w:t>Loans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20" w:type="dxa"/>
            <w:vAlign w:val="bottom"/>
            <w:gridSpan w:val="3"/>
            <w:vMerge w:val="restart"/>
          </w:tcPr>
          <w:p>
            <w:pPr>
              <w:ind w:left="20"/>
              <w:spacing w:after="0"/>
              <w:rPr>
                <w:sz w:val="20"/>
                <w:szCs w:val="20"/>
                <w:color w:val="auto"/>
              </w:rPr>
            </w:pPr>
            <w:r>
              <w:rPr>
                <w:rFonts w:ascii="Arial" w:cs="Arial" w:eastAsia="Arial" w:hAnsi="Arial"/>
                <w:sz w:val="10"/>
                <w:szCs w:val="10"/>
                <w:color w:val="auto"/>
              </w:rPr>
              <w:t>Real estate:</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8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Residential</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146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4,284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4,430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480,305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484,735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0" w:type="dxa"/>
            <w:vAlign w:val="bottom"/>
            <w:gridSpan w:val="2"/>
          </w:tcPr>
          <w:p>
            <w:pPr>
              <w:ind w:left="80"/>
              <w:spacing w:after="0"/>
              <w:rPr>
                <w:sz w:val="20"/>
                <w:szCs w:val="20"/>
                <w:color w:val="auto"/>
              </w:rPr>
            </w:pPr>
            <w:r>
              <w:rPr>
                <w:rFonts w:ascii="Arial" w:cs="Arial" w:eastAsia="Arial" w:hAnsi="Arial"/>
                <w:sz w:val="10"/>
                <w:szCs w:val="10"/>
                <w:color w:val="auto"/>
              </w:rPr>
              <w:t>Commercial</w:t>
            </w:r>
          </w:p>
        </w:tc>
        <w:tc>
          <w:tcPr>
            <w:tcW w:w="18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b w:val="1"/>
                <w:bCs w:val="1"/>
                <w:color w:val="auto"/>
              </w:rPr>
              <w:t>1,563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1,563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b w:val="1"/>
                <w:bCs w:val="1"/>
                <w:color w:val="auto"/>
              </w:rPr>
              <w:t>662,988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664,551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1,5</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Construction</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1,804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2,837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4,641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233,458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238,099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2,8</w:t>
            </w:r>
          </w:p>
        </w:tc>
        <w:tc>
          <w:tcPr>
            <w:tcW w:w="0" w:type="dxa"/>
            <w:vAlign w:val="bottom"/>
          </w:tcPr>
          <w:p>
            <w:pPr>
              <w:spacing w:after="0"/>
              <w:rPr>
                <w:sz w:val="1"/>
                <w:szCs w:val="1"/>
                <w:color w:val="auto"/>
              </w:rPr>
            </w:pPr>
          </w:p>
        </w:tc>
      </w:tr>
      <w:tr>
        <w:trPr>
          <w:trHeight w:val="134"/>
        </w:trPr>
        <w:tc>
          <w:tcPr>
            <w:tcW w:w="2820" w:type="dxa"/>
            <w:vAlign w:val="bottom"/>
            <w:gridSpan w:val="3"/>
          </w:tcPr>
          <w:p>
            <w:pPr>
              <w:ind w:left="20"/>
              <w:spacing w:after="0"/>
              <w:rPr>
                <w:sz w:val="20"/>
                <w:szCs w:val="20"/>
                <w:color w:val="auto"/>
              </w:rPr>
            </w:pPr>
            <w:r>
              <w:rPr>
                <w:rFonts w:ascii="Arial" w:cs="Arial" w:eastAsia="Arial" w:hAnsi="Arial"/>
                <w:sz w:val="10"/>
                <w:szCs w:val="10"/>
                <w:color w:val="auto"/>
              </w:rPr>
              <w:t>Commercial and Industrial</w:t>
            </w:r>
          </w:p>
        </w:tc>
        <w:tc>
          <w:tcPr>
            <w:tcW w:w="18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b w:val="1"/>
                <w:bCs w:val="1"/>
                <w:color w:val="auto"/>
              </w:rPr>
              <w:t>503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b w:val="1"/>
                <w:bCs w:val="1"/>
                <w:color w:val="auto"/>
              </w:rPr>
              <w:t>569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1,072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b w:val="1"/>
                <w:bCs w:val="1"/>
                <w:color w:val="auto"/>
              </w:rPr>
              <w:t>219,149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220,221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7</w:t>
            </w:r>
          </w:p>
        </w:tc>
        <w:tc>
          <w:tcPr>
            <w:tcW w:w="0" w:type="dxa"/>
            <w:vAlign w:val="bottom"/>
          </w:tcPr>
          <w:p>
            <w:pPr>
              <w:spacing w:after="0"/>
              <w:rPr>
                <w:sz w:val="1"/>
                <w:szCs w:val="1"/>
                <w:color w:val="auto"/>
              </w:rPr>
            </w:pPr>
          </w:p>
        </w:tc>
      </w:tr>
      <w:tr>
        <w:trPr>
          <w:trHeight w:val="142"/>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auto"/>
              </w:rPr>
              <w:t>Credit card</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15,928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363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16,291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112,143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128,434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363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20" w:type="dxa"/>
            <w:vAlign w:val="bottom"/>
            <w:gridSpan w:val="3"/>
          </w:tcPr>
          <w:p>
            <w:pPr>
              <w:ind w:left="20"/>
              <w:spacing w:after="0"/>
              <w:rPr>
                <w:sz w:val="20"/>
                <w:szCs w:val="20"/>
                <w:color w:val="auto"/>
              </w:rPr>
            </w:pPr>
            <w:r>
              <w:rPr>
                <w:rFonts w:ascii="Arial" w:cs="Arial" w:eastAsia="Arial" w:hAnsi="Arial"/>
                <w:sz w:val="10"/>
                <w:szCs w:val="10"/>
                <w:color w:val="auto"/>
              </w:rPr>
              <w:t>Other consumer</w:t>
            </w:r>
          </w:p>
        </w:tc>
        <w:tc>
          <w:tcPr>
            <w:tcW w:w="18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b w:val="1"/>
                <w:bCs w:val="1"/>
                <w:color w:val="auto"/>
              </w:rPr>
              <w:t>1,179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1,179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8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Total</w:t>
            </w: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w:t>
            </w: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18,381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9,616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27,997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1,709,222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1,737,219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363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820" w:type="dxa"/>
            <w:vAlign w:val="bottom"/>
            <w:gridSpan w:val="3"/>
            <w:shd w:val="clear" w:color="auto" w:fill="CCEEFF"/>
          </w:tcPr>
          <w:p>
            <w:pPr>
              <w:ind w:left="20"/>
              <w:spacing w:after="0" w:line="106" w:lineRule="exact"/>
              <w:rPr>
                <w:sz w:val="20"/>
                <w:szCs w:val="20"/>
                <w:color w:val="auto"/>
              </w:rPr>
            </w:pPr>
            <w:r>
              <w:rPr>
                <w:rFonts w:ascii="Arial" w:cs="Arial" w:eastAsia="Arial" w:hAnsi="Arial"/>
                <w:sz w:val="10"/>
                <w:szCs w:val="10"/>
                <w:b w:val="1"/>
                <w:bCs w:val="1"/>
                <w:color w:val="auto"/>
              </w:rPr>
              <w:t>December 31, 2021</w:t>
            </w: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820" w:type="dxa"/>
            <w:vAlign w:val="bottom"/>
            <w:gridSpan w:val="3"/>
          </w:tcPr>
          <w:p>
            <w:pPr>
              <w:ind w:left="20"/>
              <w:spacing w:after="0"/>
              <w:rPr>
                <w:sz w:val="20"/>
                <w:szCs w:val="20"/>
                <w:color w:val="auto"/>
              </w:rPr>
            </w:pPr>
            <w:r>
              <w:rPr>
                <w:rFonts w:ascii="Arial" w:cs="Arial" w:eastAsia="Arial" w:hAnsi="Arial"/>
                <w:sz w:val="10"/>
                <w:szCs w:val="10"/>
                <w:color w:val="auto"/>
              </w:rPr>
              <w:t>Real estate:</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Residential</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469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2,494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2,963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398,644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401,607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00" w:type="dxa"/>
            <w:vAlign w:val="bottom"/>
            <w:gridSpan w:val="2"/>
          </w:tcPr>
          <w:p>
            <w:pPr>
              <w:ind w:left="80"/>
              <w:spacing w:after="0"/>
              <w:rPr>
                <w:sz w:val="20"/>
                <w:szCs w:val="20"/>
                <w:color w:val="auto"/>
              </w:rPr>
            </w:pPr>
            <w:r>
              <w:rPr>
                <w:rFonts w:ascii="Arial" w:cs="Arial" w:eastAsia="Arial" w:hAnsi="Arial"/>
                <w:sz w:val="10"/>
                <w:szCs w:val="10"/>
                <w:color w:val="auto"/>
              </w:rPr>
              <w:t>Commercial</w:t>
            </w:r>
          </w:p>
        </w:tc>
        <w:tc>
          <w:tcPr>
            <w:tcW w:w="18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392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555,947</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556,339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Construction</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7,803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7,803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247,344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255,147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w:t>
            </w:r>
          </w:p>
        </w:tc>
        <w:tc>
          <w:tcPr>
            <w:tcW w:w="0" w:type="dxa"/>
            <w:vAlign w:val="bottom"/>
          </w:tcPr>
          <w:p>
            <w:pPr>
              <w:spacing w:after="0"/>
              <w:rPr>
                <w:sz w:val="1"/>
                <w:szCs w:val="1"/>
                <w:color w:val="auto"/>
              </w:rPr>
            </w:pPr>
          </w:p>
        </w:tc>
      </w:tr>
      <w:tr>
        <w:trPr>
          <w:trHeight w:val="131"/>
        </w:trPr>
        <w:tc>
          <w:tcPr>
            <w:tcW w:w="2820" w:type="dxa"/>
            <w:vAlign w:val="bottom"/>
            <w:gridSpan w:val="3"/>
          </w:tcPr>
          <w:p>
            <w:pPr>
              <w:ind w:left="20"/>
              <w:spacing w:after="0"/>
              <w:rPr>
                <w:sz w:val="20"/>
                <w:szCs w:val="20"/>
                <w:color w:val="auto"/>
              </w:rPr>
            </w:pPr>
            <w:r>
              <w:rPr>
                <w:rFonts w:ascii="Arial" w:cs="Arial" w:eastAsia="Arial" w:hAnsi="Arial"/>
                <w:sz w:val="10"/>
                <w:szCs w:val="10"/>
                <w:color w:val="auto"/>
              </w:rPr>
              <w:t>Commercial and Industrial</w:t>
            </w:r>
          </w:p>
        </w:tc>
        <w:tc>
          <w:tcPr>
            <w:tcW w:w="18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183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593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776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175,180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175,956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45"/>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auto"/>
              </w:rPr>
              <w:t>Credit card</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19,022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19,032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122,088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141,120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20" w:type="dxa"/>
            <w:vAlign w:val="bottom"/>
            <w:gridSpan w:val="3"/>
          </w:tcPr>
          <w:p>
            <w:pPr>
              <w:ind w:left="20"/>
              <w:spacing w:after="0"/>
              <w:rPr>
                <w:sz w:val="20"/>
                <w:szCs w:val="20"/>
                <w:color w:val="auto"/>
              </w:rPr>
            </w:pPr>
            <w:r>
              <w:rPr>
                <w:rFonts w:ascii="Arial" w:cs="Arial" w:eastAsia="Arial" w:hAnsi="Arial"/>
                <w:sz w:val="10"/>
                <w:szCs w:val="10"/>
                <w:color w:val="auto"/>
              </w:rPr>
              <w:t>Other consumer</w:t>
            </w:r>
          </w:p>
        </w:tc>
        <w:tc>
          <w:tcPr>
            <w:tcW w:w="18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1,033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1,033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8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Total</w:t>
            </w: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20,041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10,925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30,966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1,500,236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1,531,202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Impaired loans also include acquired loans for which management has recorded a non-accretable discount. Impaired loans as of December 31, 2022 and 2021 were as follows:</w:t>
      </w:r>
    </w:p>
    <w:p>
      <w:pPr>
        <w:spacing w:after="0" w:line="255"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Unpaid</w:t>
            </w:r>
          </w:p>
        </w:tc>
        <w:tc>
          <w:tcPr>
            <w:tcW w:w="200" w:type="dxa"/>
            <w:vAlign w:val="bottom"/>
          </w:tcPr>
          <w:p>
            <w:pPr>
              <w:spacing w:after="0"/>
              <w:rPr>
                <w:sz w:val="10"/>
                <w:szCs w:val="1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Recorded</w:t>
            </w:r>
          </w:p>
        </w:tc>
        <w:tc>
          <w:tcPr>
            <w:tcW w:w="200" w:type="dxa"/>
            <w:vAlign w:val="bottom"/>
          </w:tcPr>
          <w:p>
            <w:pPr>
              <w:spacing w:after="0"/>
              <w:rPr>
                <w:sz w:val="10"/>
                <w:szCs w:val="1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9"/>
              </w:rPr>
              <w:t>Recorded</w:t>
            </w:r>
          </w:p>
        </w:tc>
        <w:tc>
          <w:tcPr>
            <w:tcW w:w="20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1"/>
              </w:rPr>
              <w:t>Total</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rPr>
              <w:t>Average</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440" w:type="dxa"/>
            <w:vAlign w:val="bottom"/>
            <w:gridSpan w:val="3"/>
            <w:vMerge w:val="restart"/>
          </w:tcPr>
          <w:p>
            <w:pPr>
              <w:ind w:left="20"/>
              <w:spacing w:after="0"/>
              <w:rPr>
                <w:sz w:val="20"/>
                <w:szCs w:val="20"/>
                <w:color w:val="auto"/>
              </w:rPr>
            </w:pPr>
            <w:r>
              <w:rPr>
                <w:rFonts w:ascii="Arial" w:cs="Arial" w:eastAsia="Arial" w:hAnsi="Arial"/>
                <w:sz w:val="8"/>
                <w:szCs w:val="8"/>
                <w:i w:val="1"/>
                <w:iCs w:val="1"/>
                <w:color w:val="auto"/>
              </w:rPr>
              <w:t>(in thousands)</w:t>
            </w:r>
          </w:p>
        </w:tc>
        <w:tc>
          <w:tcPr>
            <w:tcW w:w="220" w:type="dxa"/>
            <w:vAlign w:val="bottom"/>
          </w:tcPr>
          <w:p>
            <w:pPr>
              <w:spacing w:after="0"/>
              <w:rPr>
                <w:sz w:val="8"/>
                <w:szCs w:val="8"/>
                <w:color w:val="auto"/>
              </w:rPr>
            </w:pPr>
          </w:p>
        </w:tc>
        <w:tc>
          <w:tcPr>
            <w:tcW w:w="1140" w:type="dxa"/>
            <w:vAlign w:val="bottom"/>
            <w:gridSpan w:val="2"/>
          </w:tcPr>
          <w:p>
            <w:pPr>
              <w:jc w:val="center"/>
              <w:ind w:right="300"/>
              <w:spacing w:after="0" w:line="96" w:lineRule="exact"/>
              <w:rPr>
                <w:sz w:val="20"/>
                <w:szCs w:val="20"/>
                <w:color w:val="auto"/>
              </w:rPr>
            </w:pPr>
            <w:r>
              <w:rPr>
                <w:rFonts w:ascii="Arial" w:cs="Arial" w:eastAsia="Arial" w:hAnsi="Arial"/>
                <w:sz w:val="10"/>
                <w:szCs w:val="10"/>
                <w:b w:val="1"/>
                <w:bCs w:val="1"/>
                <w:color w:val="auto"/>
              </w:rPr>
              <w:t>Contractual</w:t>
            </w:r>
          </w:p>
        </w:tc>
        <w:tc>
          <w:tcPr>
            <w:tcW w:w="200" w:type="dxa"/>
            <w:vAlign w:val="bottom"/>
          </w:tcPr>
          <w:p>
            <w:pPr>
              <w:spacing w:after="0"/>
              <w:rPr>
                <w:sz w:val="8"/>
                <w:szCs w:val="8"/>
                <w:color w:val="auto"/>
              </w:rPr>
            </w:pPr>
          </w:p>
        </w:tc>
        <w:tc>
          <w:tcPr>
            <w:tcW w:w="1040" w:type="dxa"/>
            <w:vAlign w:val="bottom"/>
            <w:gridSpan w:val="2"/>
          </w:tcPr>
          <w:p>
            <w:pPr>
              <w:jc w:val="center"/>
              <w:ind w:right="280"/>
              <w:spacing w:after="0" w:line="96" w:lineRule="exact"/>
              <w:rPr>
                <w:sz w:val="20"/>
                <w:szCs w:val="20"/>
                <w:color w:val="auto"/>
              </w:rPr>
            </w:pPr>
            <w:r>
              <w:rPr>
                <w:rFonts w:ascii="Arial" w:cs="Arial" w:eastAsia="Arial" w:hAnsi="Arial"/>
                <w:sz w:val="10"/>
                <w:szCs w:val="10"/>
                <w:b w:val="1"/>
                <w:bCs w:val="1"/>
                <w:color w:val="auto"/>
                <w:w w:val="98"/>
              </w:rPr>
              <w:t>Investment</w:t>
            </w:r>
          </w:p>
        </w:tc>
        <w:tc>
          <w:tcPr>
            <w:tcW w:w="200" w:type="dxa"/>
            <w:vAlign w:val="bottom"/>
          </w:tcPr>
          <w:p>
            <w:pPr>
              <w:spacing w:after="0"/>
              <w:rPr>
                <w:sz w:val="8"/>
                <w:szCs w:val="8"/>
                <w:color w:val="auto"/>
              </w:rPr>
            </w:pPr>
          </w:p>
        </w:tc>
        <w:tc>
          <w:tcPr>
            <w:tcW w:w="1060" w:type="dxa"/>
            <w:vAlign w:val="bottom"/>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w w:val="98"/>
              </w:rPr>
              <w:t>Investment</w:t>
            </w:r>
          </w:p>
        </w:tc>
        <w:tc>
          <w:tcPr>
            <w:tcW w:w="2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44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line="96" w:lineRule="exact"/>
              <w:rPr>
                <w:sz w:val="20"/>
                <w:szCs w:val="20"/>
                <w:color w:val="auto"/>
              </w:rPr>
            </w:pPr>
            <w:r>
              <w:rPr>
                <w:rFonts w:ascii="Arial" w:cs="Arial" w:eastAsia="Arial" w:hAnsi="Arial"/>
                <w:sz w:val="10"/>
                <w:szCs w:val="10"/>
                <w:b w:val="1"/>
                <w:bCs w:val="1"/>
                <w:color w:val="auto"/>
                <w:w w:val="99"/>
              </w:rPr>
              <w:t>Principal</w:t>
            </w:r>
          </w:p>
        </w:tc>
        <w:tc>
          <w:tcPr>
            <w:tcW w:w="200" w:type="dxa"/>
            <w:vAlign w:val="bottom"/>
          </w:tcPr>
          <w:p>
            <w:pPr>
              <w:spacing w:after="0"/>
              <w:rPr>
                <w:sz w:val="4"/>
                <w:szCs w:val="4"/>
                <w:color w:val="auto"/>
              </w:rPr>
            </w:pPr>
          </w:p>
        </w:tc>
        <w:tc>
          <w:tcPr>
            <w:tcW w:w="1040" w:type="dxa"/>
            <w:vAlign w:val="bottom"/>
            <w:gridSpan w:val="2"/>
            <w:vMerge w:val="restart"/>
          </w:tcPr>
          <w:p>
            <w:pPr>
              <w:jc w:val="center"/>
              <w:ind w:right="280"/>
              <w:spacing w:after="0" w:line="96" w:lineRule="exact"/>
              <w:rPr>
                <w:sz w:val="20"/>
                <w:szCs w:val="20"/>
                <w:color w:val="auto"/>
              </w:rPr>
            </w:pPr>
            <w:r>
              <w:rPr>
                <w:rFonts w:ascii="Arial" w:cs="Arial" w:eastAsia="Arial" w:hAnsi="Arial"/>
                <w:sz w:val="10"/>
                <w:szCs w:val="10"/>
                <w:b w:val="1"/>
                <w:bCs w:val="1"/>
                <w:color w:val="auto"/>
              </w:rPr>
              <w:t>with no</w:t>
            </w:r>
          </w:p>
        </w:tc>
        <w:tc>
          <w:tcPr>
            <w:tcW w:w="200" w:type="dxa"/>
            <w:vAlign w:val="bottom"/>
          </w:tcPr>
          <w:p>
            <w:pPr>
              <w:spacing w:after="0"/>
              <w:rPr>
                <w:sz w:val="4"/>
                <w:szCs w:val="4"/>
                <w:color w:val="auto"/>
              </w:rPr>
            </w:pPr>
          </w:p>
        </w:tc>
        <w:tc>
          <w:tcPr>
            <w:tcW w:w="1060" w:type="dxa"/>
            <w:vAlign w:val="bottom"/>
            <w:gridSpan w:val="2"/>
            <w:vMerge w:val="restart"/>
          </w:tcPr>
          <w:p>
            <w:pPr>
              <w:jc w:val="center"/>
              <w:ind w:right="260"/>
              <w:spacing w:after="0" w:line="96" w:lineRule="exact"/>
              <w:rPr>
                <w:sz w:val="20"/>
                <w:szCs w:val="20"/>
                <w:color w:val="auto"/>
              </w:rPr>
            </w:pPr>
            <w:r>
              <w:rPr>
                <w:rFonts w:ascii="Arial" w:cs="Arial" w:eastAsia="Arial" w:hAnsi="Arial"/>
                <w:sz w:val="10"/>
                <w:szCs w:val="10"/>
                <w:b w:val="1"/>
                <w:bCs w:val="1"/>
                <w:color w:val="auto"/>
                <w:w w:val="99"/>
              </w:rPr>
              <w:t>with</w:t>
            </w:r>
          </w:p>
        </w:tc>
        <w:tc>
          <w:tcPr>
            <w:tcW w:w="200" w:type="dxa"/>
            <w:vAlign w:val="bottom"/>
          </w:tcPr>
          <w:p>
            <w:pPr>
              <w:spacing w:after="0"/>
              <w:rPr>
                <w:sz w:val="4"/>
                <w:szCs w:val="4"/>
                <w:color w:val="auto"/>
              </w:rPr>
            </w:pPr>
          </w:p>
        </w:tc>
        <w:tc>
          <w:tcPr>
            <w:tcW w:w="1060" w:type="dxa"/>
            <w:vAlign w:val="bottom"/>
            <w:gridSpan w:val="2"/>
            <w:vMerge w:val="restart"/>
          </w:tcPr>
          <w:p>
            <w:pPr>
              <w:jc w:val="center"/>
              <w:ind w:right="280"/>
              <w:spacing w:after="0" w:line="96" w:lineRule="exact"/>
              <w:rPr>
                <w:sz w:val="20"/>
                <w:szCs w:val="20"/>
                <w:color w:val="auto"/>
              </w:rPr>
            </w:pPr>
            <w:r>
              <w:rPr>
                <w:rFonts w:ascii="Arial" w:cs="Arial" w:eastAsia="Arial" w:hAnsi="Arial"/>
                <w:sz w:val="10"/>
                <w:szCs w:val="10"/>
                <w:b w:val="1"/>
                <w:bCs w:val="1"/>
                <w:color w:val="auto"/>
                <w:w w:val="99"/>
              </w:rPr>
              <w:t>Recorded</w:t>
            </w:r>
          </w:p>
        </w:tc>
        <w:tc>
          <w:tcPr>
            <w:tcW w:w="180" w:type="dxa"/>
            <w:vAlign w:val="bottom"/>
          </w:tcPr>
          <w:p>
            <w:pPr>
              <w:spacing w:after="0"/>
              <w:rPr>
                <w:sz w:val="4"/>
                <w:szCs w:val="4"/>
                <w:color w:val="auto"/>
              </w:rPr>
            </w:pPr>
          </w:p>
        </w:tc>
        <w:tc>
          <w:tcPr>
            <w:tcW w:w="1000" w:type="dxa"/>
            <w:vAlign w:val="bottom"/>
            <w:gridSpan w:val="2"/>
            <w:vMerge w:val="restart"/>
          </w:tcPr>
          <w:p>
            <w:pPr>
              <w:jc w:val="center"/>
              <w:ind w:right="280"/>
              <w:spacing w:after="0" w:line="96" w:lineRule="exact"/>
              <w:rPr>
                <w:sz w:val="20"/>
                <w:szCs w:val="20"/>
                <w:color w:val="auto"/>
              </w:rPr>
            </w:pPr>
            <w:r>
              <w:rPr>
                <w:rFonts w:ascii="Arial" w:cs="Arial" w:eastAsia="Arial" w:hAnsi="Arial"/>
                <w:sz w:val="10"/>
                <w:szCs w:val="10"/>
                <w:b w:val="1"/>
                <w:bCs w:val="1"/>
                <w:color w:val="auto"/>
                <w:w w:val="99"/>
              </w:rPr>
              <w:t>Related</w:t>
            </w:r>
          </w:p>
        </w:tc>
        <w:tc>
          <w:tcPr>
            <w:tcW w:w="200" w:type="dxa"/>
            <w:vAlign w:val="bottom"/>
          </w:tcPr>
          <w:p>
            <w:pPr>
              <w:spacing w:after="0"/>
              <w:rPr>
                <w:sz w:val="4"/>
                <w:szCs w:val="4"/>
                <w:color w:val="auto"/>
              </w:rPr>
            </w:pPr>
          </w:p>
        </w:tc>
        <w:tc>
          <w:tcPr>
            <w:tcW w:w="1080" w:type="dxa"/>
            <w:vAlign w:val="bottom"/>
            <w:gridSpan w:val="2"/>
            <w:vMerge w:val="restart"/>
          </w:tcPr>
          <w:p>
            <w:pPr>
              <w:jc w:val="center"/>
              <w:ind w:right="280"/>
              <w:spacing w:after="0" w:line="96" w:lineRule="exact"/>
              <w:rPr>
                <w:sz w:val="20"/>
                <w:szCs w:val="20"/>
                <w:color w:val="auto"/>
              </w:rPr>
            </w:pPr>
            <w:r>
              <w:rPr>
                <w:rFonts w:ascii="Arial" w:cs="Arial" w:eastAsia="Arial" w:hAnsi="Arial"/>
                <w:sz w:val="10"/>
                <w:szCs w:val="10"/>
                <w:b w:val="1"/>
                <w:bCs w:val="1"/>
                <w:color w:val="auto"/>
                <w:w w:val="95"/>
              </w:rPr>
              <w:t>Recorded</w:t>
            </w:r>
          </w:p>
        </w:tc>
        <w:tc>
          <w:tcPr>
            <w:tcW w:w="200" w:type="dxa"/>
            <w:vAlign w:val="bottom"/>
          </w:tcPr>
          <w:p>
            <w:pPr>
              <w:spacing w:after="0"/>
              <w:rPr>
                <w:sz w:val="4"/>
                <w:szCs w:val="4"/>
                <w:color w:val="auto"/>
              </w:rPr>
            </w:pPr>
          </w:p>
        </w:tc>
        <w:tc>
          <w:tcPr>
            <w:tcW w:w="880" w:type="dxa"/>
            <w:vAlign w:val="bottom"/>
            <w:vMerge w:val="restart"/>
          </w:tcPr>
          <w:p>
            <w:pPr>
              <w:jc w:val="right"/>
              <w:ind w:right="265"/>
              <w:spacing w:after="0" w:line="96" w:lineRule="exact"/>
              <w:rPr>
                <w:sz w:val="20"/>
                <w:szCs w:val="20"/>
                <w:color w:val="auto"/>
              </w:rPr>
            </w:pPr>
            <w:r>
              <w:rPr>
                <w:rFonts w:ascii="Arial" w:cs="Arial" w:eastAsia="Arial" w:hAnsi="Arial"/>
                <w:sz w:val="10"/>
                <w:szCs w:val="10"/>
                <w:b w:val="1"/>
                <w:bCs w:val="1"/>
                <w:color w:val="auto"/>
              </w:rPr>
              <w:t>Interest</w:t>
            </w:r>
          </w:p>
        </w:tc>
        <w:tc>
          <w:tcPr>
            <w:tcW w:w="0" w:type="dxa"/>
            <w:vAlign w:val="bottom"/>
          </w:tcPr>
          <w:p>
            <w:pPr>
              <w:spacing w:after="0"/>
              <w:rPr>
                <w:sz w:val="1"/>
                <w:szCs w:val="1"/>
                <w:color w:val="auto"/>
              </w:rPr>
            </w:pPr>
          </w:p>
        </w:tc>
      </w:tr>
      <w:tr>
        <w:trPr>
          <w:trHeight w:val="40"/>
        </w:trPr>
        <w:tc>
          <w:tcPr>
            <w:tcW w:w="24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December 31, 2022</w:t>
            </w:r>
          </w:p>
        </w:tc>
        <w:tc>
          <w:tcPr>
            <w:tcW w:w="2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24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8"/>
              </w:rPr>
              <w:t>Balance</w:t>
            </w:r>
          </w:p>
        </w:tc>
        <w:tc>
          <w:tcPr>
            <w:tcW w:w="200" w:type="dxa"/>
            <w:vAlign w:val="bottom"/>
          </w:tcPr>
          <w:p>
            <w:pPr>
              <w:spacing w:after="0"/>
              <w:rPr>
                <w:sz w:val="10"/>
                <w:szCs w:val="1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Allowance</w:t>
            </w:r>
          </w:p>
        </w:tc>
        <w:tc>
          <w:tcPr>
            <w:tcW w:w="200" w:type="dxa"/>
            <w:vAlign w:val="bottom"/>
          </w:tcPr>
          <w:p>
            <w:pPr>
              <w:spacing w:after="0"/>
              <w:rPr>
                <w:sz w:val="10"/>
                <w:szCs w:val="1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Allowance</w:t>
            </w:r>
          </w:p>
        </w:tc>
        <w:tc>
          <w:tcPr>
            <w:tcW w:w="200" w:type="dxa"/>
            <w:vAlign w:val="bottom"/>
          </w:tcPr>
          <w:p>
            <w:pPr>
              <w:spacing w:after="0"/>
              <w:rPr>
                <w:sz w:val="10"/>
                <w:szCs w:val="1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Investment</w:t>
            </w:r>
          </w:p>
        </w:tc>
        <w:tc>
          <w:tcPr>
            <w:tcW w:w="1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Allowance</w:t>
            </w:r>
          </w:p>
        </w:tc>
        <w:tc>
          <w:tcPr>
            <w:tcW w:w="20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Investment</w:t>
            </w:r>
          </w:p>
        </w:tc>
        <w:tc>
          <w:tcPr>
            <w:tcW w:w="200" w:type="dxa"/>
            <w:vAlign w:val="bottom"/>
          </w:tcPr>
          <w:p>
            <w:pPr>
              <w:spacing w:after="0"/>
              <w:rPr>
                <w:sz w:val="10"/>
                <w:szCs w:val="10"/>
                <w:color w:val="auto"/>
              </w:rPr>
            </w:pPr>
          </w:p>
        </w:tc>
        <w:tc>
          <w:tcPr>
            <w:tcW w:w="880" w:type="dxa"/>
            <w:vAlign w:val="bottom"/>
          </w:tcPr>
          <w:p>
            <w:pPr>
              <w:jc w:val="right"/>
              <w:ind w:right="165"/>
              <w:spacing w:after="0"/>
              <w:rPr>
                <w:sz w:val="20"/>
                <w:szCs w:val="20"/>
                <w:color w:val="auto"/>
              </w:rPr>
            </w:pPr>
            <w:r>
              <w:rPr>
                <w:rFonts w:ascii="Arial" w:cs="Arial" w:eastAsia="Arial" w:hAnsi="Arial"/>
                <w:sz w:val="10"/>
                <w:szCs w:val="10"/>
                <w:b w:val="1"/>
                <w:bCs w:val="1"/>
                <w:color w:val="auto"/>
              </w:rPr>
              <w:t>Recognized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40" w:type="dxa"/>
            <w:vAlign w:val="bottom"/>
            <w:gridSpan w:val="3"/>
            <w:vMerge w:val="restart"/>
          </w:tcPr>
          <w:p>
            <w:pPr>
              <w:ind w:left="20"/>
              <w:spacing w:after="0"/>
              <w:rPr>
                <w:sz w:val="20"/>
                <w:szCs w:val="20"/>
                <w:color w:val="auto"/>
              </w:rPr>
            </w:pPr>
            <w:r>
              <w:rPr>
                <w:rFonts w:ascii="Arial" w:cs="Arial" w:eastAsia="Arial" w:hAnsi="Arial"/>
                <w:sz w:val="11"/>
                <w:szCs w:val="11"/>
                <w:color w:val="auto"/>
              </w:rPr>
              <w:t>Real estate:</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4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Residential</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4,476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4,288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4,288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4,629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20" w:type="dxa"/>
            <w:vAlign w:val="bottom"/>
            <w:gridSpan w:val="2"/>
          </w:tcPr>
          <w:p>
            <w:pPr>
              <w:ind w:left="80"/>
              <w:spacing w:after="0"/>
              <w:rPr>
                <w:sz w:val="20"/>
                <w:szCs w:val="20"/>
                <w:color w:val="auto"/>
              </w:rPr>
            </w:pPr>
            <w:r>
              <w:rPr>
                <w:rFonts w:ascii="Arial" w:cs="Arial" w:eastAsia="Arial" w:hAnsi="Arial"/>
                <w:sz w:val="11"/>
                <w:szCs w:val="11"/>
                <w:color w:val="auto"/>
              </w:rPr>
              <w:t>Commercial</w:t>
            </w:r>
          </w:p>
        </w:tc>
        <w:tc>
          <w:tcPr>
            <w:tcW w:w="22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Arial" w:cs="Arial" w:eastAsia="Arial" w:hAnsi="Arial"/>
                <w:sz w:val="11"/>
                <w:szCs w:val="11"/>
                <w:b w:val="1"/>
                <w:bCs w:val="1"/>
                <w:color w:val="auto"/>
              </w:rPr>
              <w:t>1,647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1,563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1,563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3"/>
                <w:szCs w:val="13"/>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b w:val="1"/>
                <w:bCs w:val="1"/>
                <w:color w:val="auto"/>
              </w:rPr>
              <w:t>1,656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52</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Construction</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2,939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2,837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2,837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2,938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75</w:t>
            </w:r>
          </w:p>
        </w:tc>
        <w:tc>
          <w:tcPr>
            <w:tcW w:w="0" w:type="dxa"/>
            <w:vAlign w:val="bottom"/>
          </w:tcPr>
          <w:p>
            <w:pPr>
              <w:spacing w:after="0"/>
              <w:rPr>
                <w:sz w:val="1"/>
                <w:szCs w:val="1"/>
                <w:color w:val="auto"/>
              </w:rPr>
            </w:pPr>
          </w:p>
        </w:tc>
      </w:tr>
      <w:tr>
        <w:trPr>
          <w:trHeight w:val="155"/>
        </w:trPr>
        <w:tc>
          <w:tcPr>
            <w:tcW w:w="244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Commercial and Industrial</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899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458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705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372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1,199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77</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2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color w:val="auto"/>
              </w:rPr>
              <w:t>Total</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9,961</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8,935</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458</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9,393</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372</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10,422</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2021</w:t>
            </w: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440" w:type="dxa"/>
            <w:vAlign w:val="bottom"/>
            <w:gridSpan w:val="3"/>
          </w:tcPr>
          <w:p>
            <w:pPr>
              <w:ind w:left="20"/>
              <w:spacing w:after="0"/>
              <w:rPr>
                <w:sz w:val="20"/>
                <w:szCs w:val="20"/>
                <w:color w:val="auto"/>
              </w:rPr>
            </w:pPr>
            <w:r>
              <w:rPr>
                <w:rFonts w:ascii="Arial" w:cs="Arial" w:eastAsia="Arial" w:hAnsi="Arial"/>
                <w:sz w:val="11"/>
                <w:szCs w:val="11"/>
                <w:color w:val="auto"/>
              </w:rPr>
              <w:t>Real estate:</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Residential</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3,022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4,578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20" w:type="dxa"/>
            <w:vAlign w:val="bottom"/>
            <w:gridSpan w:val="2"/>
          </w:tcPr>
          <w:p>
            <w:pPr>
              <w:ind w:left="80"/>
              <w:spacing w:after="0"/>
              <w:rPr>
                <w:sz w:val="20"/>
                <w:szCs w:val="20"/>
                <w:color w:val="auto"/>
              </w:rPr>
            </w:pPr>
            <w:r>
              <w:rPr>
                <w:rFonts w:ascii="Arial" w:cs="Arial" w:eastAsia="Arial" w:hAnsi="Arial"/>
                <w:sz w:val="11"/>
                <w:szCs w:val="11"/>
                <w:color w:val="auto"/>
              </w:rPr>
              <w:t>Commercial</w:t>
            </w:r>
          </w:p>
        </w:tc>
        <w:tc>
          <w:tcPr>
            <w:tcW w:w="22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Arial" w:cs="Arial" w:eastAsia="Arial" w:hAnsi="Arial"/>
                <w:sz w:val="11"/>
                <w:szCs w:val="11"/>
                <w:color w:val="auto"/>
              </w:rPr>
              <w:t>90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90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63"/>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Construction</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7,885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7,803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9,746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155"/>
        </w:trPr>
        <w:tc>
          <w:tcPr>
            <w:tcW w:w="244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Commercial and Industrial</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832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336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218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1,056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color w:val="auto"/>
              </w:rPr>
              <w:t>Total</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11,829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11,003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336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11,339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15,470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78" w:name="page79"/>
    <w:bookmarkEnd w:id="78"/>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(continued)</w:t>
      </w:r>
    </w:p>
    <w:p>
      <w:pPr>
        <w:spacing w:after="0" w:line="19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There were $1.3 million and $6 thousand, respectively, of loans secured by one to four family residential properties in the process of foreclosure as of December 31, 2022 and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Credit quality indicators</w:t>
      </w:r>
    </w:p>
    <w:p>
      <w:pPr>
        <w:spacing w:after="0" w:line="19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general economic conditions in the Company’s market.</w:t>
      </w:r>
    </w:p>
    <w:p>
      <w:pPr>
        <w:spacing w:after="0" w:line="152"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The Company utilizes a risk grading matrix to assign a risk grade to each of its loans. A description of the general characteristics of loans characterized as classified is as follows:</w:t>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Special Mention</w:t>
      </w:r>
    </w:p>
    <w:p>
      <w:pPr>
        <w:spacing w:after="0" w:line="19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Substandard</w:t>
      </w:r>
    </w:p>
    <w:p>
      <w:pPr>
        <w:spacing w:after="0" w:line="19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Borrowers may exhibit recent or unexpected unprofitable operations, an inadequate debt service coverage ratio, or marginal liquidity and capitalization. These loans require more intense supervision by Company management.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Doubtful</w:t>
      </w:r>
    </w:p>
    <w:p>
      <w:pPr>
        <w:spacing w:after="0" w:line="19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79" w:name="page80"/>
    <w:bookmarkEnd w:id="79"/>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(continued)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balances of classified loans based on the risk grade. Classified loans include Special Mention, Substandard, and Doubtful loans:</w:t>
      </w:r>
    </w:p>
    <w:p>
      <w:pPr>
        <w:spacing w:after="0" w:line="199" w:lineRule="exact"/>
        <w:rPr>
          <w:sz w:val="20"/>
          <w:szCs w:val="20"/>
          <w:color w:val="auto"/>
        </w:rPr>
      </w:pPr>
    </w:p>
    <w:tbl>
      <w:tblPr>
        <w:tblLayout w:type="fixed"/>
        <w:tblInd w:w="270" w:type="dxa"/>
        <w:tblCellMar>
          <w:top w:w="0" w:type="dxa"/>
          <w:left w:w="0" w:type="dxa"/>
          <w:bottom w:w="0" w:type="dxa"/>
          <w:right w:w="0" w:type="dxa"/>
        </w:tblCellMar>
      </w:tblPr>
      <w:tr>
        <w:trPr>
          <w:trHeight w:val="161"/>
        </w:trPr>
        <w:tc>
          <w:tcPr>
            <w:tcW w:w="2840" w:type="dxa"/>
            <w:vAlign w:val="bottom"/>
            <w:gridSpan w:val="2"/>
          </w:tcPr>
          <w:p>
            <w:pPr>
              <w:ind w:left="20"/>
              <w:spacing w:after="0"/>
              <w:rPr>
                <w:sz w:val="20"/>
                <w:szCs w:val="20"/>
                <w:color w:val="auto"/>
              </w:rPr>
            </w:pPr>
            <w:r>
              <w:rPr>
                <w:rFonts w:ascii="Arial" w:cs="Arial" w:eastAsia="Arial" w:hAnsi="Arial"/>
                <w:sz w:val="8"/>
                <w:szCs w:val="8"/>
                <w:i w:val="1"/>
                <w:iCs w:val="1"/>
                <w:color w:val="auto"/>
              </w:rPr>
              <w:t>(in thousands)</w:t>
            </w:r>
          </w:p>
        </w:tc>
        <w:tc>
          <w:tcPr>
            <w:tcW w:w="28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1"/>
                <w:szCs w:val="11"/>
                <w:b w:val="1"/>
                <w:bCs w:val="1"/>
                <w:color w:val="auto"/>
              </w:rPr>
              <w:t>Pass</w:t>
            </w:r>
            <w:r>
              <w:rPr>
                <w:rFonts w:ascii="Arial" w:cs="Arial" w:eastAsia="Arial" w:hAnsi="Arial"/>
                <w:sz w:val="14"/>
                <w:szCs w:val="14"/>
                <w:b w:val="1"/>
                <w:bCs w:val="1"/>
                <w:color w:val="auto"/>
                <w:vertAlign w:val="superscript"/>
              </w:rPr>
              <w:t>(1)</w:t>
            </w: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Special Mention</w:t>
            </w: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Substandard</w:t>
            </w:r>
          </w:p>
        </w:tc>
        <w:tc>
          <w:tcPr>
            <w:tcW w:w="1000" w:type="dxa"/>
            <w:vAlign w:val="bottom"/>
          </w:tcPr>
          <w:p>
            <w:pPr>
              <w:jc w:val="right"/>
              <w:ind w:right="58"/>
              <w:spacing w:after="0"/>
              <w:rPr>
                <w:sz w:val="20"/>
                <w:szCs w:val="20"/>
                <w:color w:val="auto"/>
              </w:rPr>
            </w:pPr>
            <w:r>
              <w:rPr>
                <w:rFonts w:ascii="Arial" w:cs="Arial" w:eastAsia="Arial" w:hAnsi="Arial"/>
                <w:sz w:val="11"/>
                <w:szCs w:val="11"/>
                <w:b w:val="1"/>
                <w:bCs w:val="1"/>
                <w:color w:val="auto"/>
              </w:rPr>
              <w:t>Doubtful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1"/>
                <w:szCs w:val="11"/>
                <w:b w:val="1"/>
                <w:bCs w:val="1"/>
                <w:color w:val="auto"/>
              </w:rPr>
              <w:t>Ungraded</w:t>
            </w:r>
            <w:r>
              <w:rPr>
                <w:rFonts w:ascii="Arial" w:cs="Arial" w:eastAsia="Arial" w:hAnsi="Arial"/>
                <w:sz w:val="14"/>
                <w:szCs w:val="14"/>
                <w:b w:val="1"/>
                <w:bCs w:val="1"/>
                <w:color w:val="auto"/>
                <w:vertAlign w:val="superscript"/>
              </w:rPr>
              <w:t>(2)</w:t>
            </w:r>
          </w:p>
        </w:tc>
        <w:tc>
          <w:tcPr>
            <w:tcW w:w="300" w:type="dxa"/>
            <w:vAlign w:val="bottom"/>
          </w:tcPr>
          <w:p>
            <w:pPr>
              <w:spacing w:after="0"/>
              <w:rPr>
                <w:sz w:val="14"/>
                <w:szCs w:val="14"/>
                <w:color w:val="auto"/>
              </w:rPr>
            </w:pPr>
          </w:p>
        </w:tc>
        <w:tc>
          <w:tcPr>
            <w:tcW w:w="860" w:type="dxa"/>
            <w:vAlign w:val="bottom"/>
          </w:tcPr>
          <w:p>
            <w:pPr>
              <w:jc w:val="right"/>
              <w:ind w:right="317"/>
              <w:spacing w:after="0"/>
              <w:rPr>
                <w:sz w:val="20"/>
                <w:szCs w:val="20"/>
                <w:color w:val="auto"/>
              </w:rPr>
            </w:pPr>
            <w:r>
              <w:rPr>
                <w:rFonts w:ascii="Arial" w:cs="Arial" w:eastAsia="Arial" w:hAnsi="Arial"/>
                <w:sz w:val="11"/>
                <w:szCs w:val="11"/>
                <w:b w:val="1"/>
                <w:bCs w:val="1"/>
                <w:color w:val="auto"/>
              </w:rPr>
              <w:t>Total</w:t>
            </w:r>
          </w:p>
        </w:tc>
      </w:tr>
      <w:tr>
        <w:trPr>
          <w:trHeight w:val="118"/>
        </w:trPr>
        <w:tc>
          <w:tcPr>
            <w:tcW w:w="2840" w:type="dxa"/>
            <w:vAlign w:val="bottom"/>
            <w:tcBorders>
              <w:top w:val="single" w:sz="8" w:color="CCEEFF"/>
              <w:left w:val="single" w:sz="8" w:color="CCEEFF"/>
            </w:tcBorders>
            <w:gridSpan w:val="2"/>
            <w:shd w:val="clear" w:color="auto" w:fill="CCEEFF"/>
          </w:tcPr>
          <w:p>
            <w:pPr>
              <w:ind w:left="20"/>
              <w:spacing w:after="0" w:line="118" w:lineRule="exact"/>
              <w:rPr>
                <w:sz w:val="20"/>
                <w:szCs w:val="20"/>
                <w:color w:val="auto"/>
              </w:rPr>
            </w:pPr>
            <w:r>
              <w:rPr>
                <w:rFonts w:ascii="Arial" w:cs="Arial" w:eastAsia="Arial" w:hAnsi="Arial"/>
                <w:sz w:val="13"/>
                <w:szCs w:val="13"/>
                <w:b w:val="1"/>
                <w:bCs w:val="1"/>
                <w:color w:val="auto"/>
              </w:rPr>
              <w:t>December 31, 2022</w:t>
            </w:r>
          </w:p>
        </w:tc>
        <w:tc>
          <w:tcPr>
            <w:tcW w:w="28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r>
      <w:tr>
        <w:trPr>
          <w:trHeight w:val="32"/>
        </w:trPr>
        <w:tc>
          <w:tcPr>
            <w:tcW w:w="1160" w:type="dxa"/>
            <w:vAlign w:val="bottom"/>
            <w:tcBorders>
              <w:left w:val="single" w:sz="8" w:color="CCEEFF"/>
            </w:tcBorders>
            <w:shd w:val="clear" w:color="auto" w:fill="000000"/>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r>
        <w:trPr>
          <w:trHeight w:val="168"/>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Real estate:</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8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Residential</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469,304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9,966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5,465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8"/>
              <w:spacing w:after="0"/>
              <w:rPr>
                <w:sz w:val="20"/>
                <w:szCs w:val="20"/>
                <w:color w:val="auto"/>
              </w:rPr>
            </w:pPr>
            <w:r>
              <w:rPr>
                <w:rFonts w:ascii="Arial" w:cs="Arial" w:eastAsia="Arial" w:hAnsi="Arial"/>
                <w:sz w:val="13"/>
                <w:szCs w:val="13"/>
                <w:b w:val="1"/>
                <w:bCs w:val="1"/>
                <w:color w:val="auto"/>
                <w:w w:val="82"/>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484,73</w:t>
            </w:r>
          </w:p>
        </w:tc>
      </w:tr>
      <w:tr>
        <w:trPr>
          <w:trHeight w:val="169"/>
        </w:trPr>
        <w:tc>
          <w:tcPr>
            <w:tcW w:w="2840" w:type="dxa"/>
            <w:vAlign w:val="bottom"/>
            <w:gridSpan w:val="2"/>
          </w:tcPr>
          <w:p>
            <w:pPr>
              <w:ind w:left="140"/>
              <w:spacing w:after="0"/>
              <w:rPr>
                <w:sz w:val="20"/>
                <w:szCs w:val="20"/>
                <w:color w:val="auto"/>
              </w:rPr>
            </w:pPr>
            <w:r>
              <w:rPr>
                <w:rFonts w:ascii="Arial" w:cs="Arial" w:eastAsia="Arial" w:hAnsi="Arial"/>
                <w:sz w:val="13"/>
                <w:szCs w:val="13"/>
                <w:color w:val="auto"/>
              </w:rPr>
              <w:t>Commercial</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657,411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5,577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1,563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664,55</w:t>
            </w:r>
          </w:p>
        </w:tc>
      </w:tr>
      <w:tr>
        <w:trPr>
          <w:trHeight w:val="170"/>
        </w:trPr>
        <w:tc>
          <w:tcPr>
            <w:tcW w:w="28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Construction</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235,262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238,09</w:t>
            </w:r>
          </w:p>
        </w:tc>
      </w:tr>
      <w:tr>
        <w:trPr>
          <w:trHeight w:val="169"/>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Commercial and Industrial</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196,381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22,469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1,371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220,22</w:t>
            </w:r>
          </w:p>
        </w:tc>
      </w:tr>
      <w:tr>
        <w:trPr>
          <w:trHeight w:val="170"/>
        </w:trPr>
        <w:tc>
          <w:tcPr>
            <w:tcW w:w="284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Credit card</w:t>
            </w: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128,434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128,43</w:t>
            </w:r>
          </w:p>
        </w:tc>
      </w:tr>
      <w:tr>
        <w:trPr>
          <w:trHeight w:val="169"/>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Other consumer</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1,179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spacing w:after="0"/>
              <w:rPr>
                <w:sz w:val="14"/>
                <w:szCs w:val="14"/>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1,17</w:t>
            </w:r>
          </w:p>
        </w:tc>
      </w:tr>
      <w:tr>
        <w:trPr>
          <w:trHeight w:val="186"/>
        </w:trPr>
        <w:tc>
          <w:tcPr>
            <w:tcW w:w="2840" w:type="dxa"/>
            <w:vAlign w:val="bottom"/>
            <w:tcBorders>
              <w:top w:val="single" w:sz="8" w:color="CCEEFF"/>
              <w:left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Portfolio loans receivable, gross</w:t>
            </w: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1,559,537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38,012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11,236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858"/>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128,434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1,737,21</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8"/>
        </w:trPr>
        <w:tc>
          <w:tcPr>
            <w:tcW w:w="2840" w:type="dxa"/>
            <w:vAlign w:val="bottom"/>
            <w:tcBorders>
              <w:left w:val="single" w:sz="8" w:color="CCEEFF"/>
            </w:tcBorders>
            <w:gridSpan w:val="2"/>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December 31, 2021</w:t>
            </w: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32"/>
        </w:trPr>
        <w:tc>
          <w:tcPr>
            <w:tcW w:w="1160" w:type="dxa"/>
            <w:vAlign w:val="bottom"/>
            <w:tcBorders>
              <w:left w:val="single" w:sz="8" w:color="CCEEFF"/>
            </w:tcBorders>
            <w:shd w:val="clear" w:color="auto" w:fill="000000"/>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r>
        <w:trPr>
          <w:trHeight w:val="168"/>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Real estate:</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8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Residential</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394,488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8"/>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401,60</w:t>
            </w:r>
          </w:p>
        </w:tc>
      </w:tr>
      <w:tr>
        <w:trPr>
          <w:trHeight w:val="168"/>
        </w:trPr>
        <w:tc>
          <w:tcPr>
            <w:tcW w:w="2840" w:type="dxa"/>
            <w:vAlign w:val="bottom"/>
            <w:gridSpan w:val="2"/>
          </w:tcPr>
          <w:p>
            <w:pPr>
              <w:ind w:left="140"/>
              <w:spacing w:after="0"/>
              <w:rPr>
                <w:sz w:val="20"/>
                <w:szCs w:val="20"/>
                <w:color w:val="auto"/>
              </w:rPr>
            </w:pPr>
            <w:r>
              <w:rPr>
                <w:rFonts w:ascii="Arial" w:cs="Arial" w:eastAsia="Arial" w:hAnsi="Arial"/>
                <w:sz w:val="13"/>
                <w:szCs w:val="13"/>
                <w:color w:val="auto"/>
              </w:rPr>
              <w:t>Commercial</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548,244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8,070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556,33</w:t>
            </w:r>
          </w:p>
        </w:tc>
      </w:tr>
      <w:tr>
        <w:trPr>
          <w:trHeight w:val="172"/>
        </w:trPr>
        <w:tc>
          <w:tcPr>
            <w:tcW w:w="28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Construction</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243,848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255,14</w:t>
            </w:r>
          </w:p>
        </w:tc>
      </w:tr>
      <w:tr>
        <w:trPr>
          <w:trHeight w:val="168"/>
        </w:trPr>
        <w:tc>
          <w:tcPr>
            <w:tcW w:w="2840" w:type="dxa"/>
            <w:vAlign w:val="bottom"/>
            <w:gridSpan w:val="2"/>
          </w:tcPr>
          <w:p>
            <w:pPr>
              <w:ind w:left="20"/>
              <w:spacing w:after="0"/>
              <w:rPr>
                <w:sz w:val="20"/>
                <w:szCs w:val="20"/>
                <w:color w:val="auto"/>
              </w:rPr>
            </w:pPr>
            <w:r>
              <w:rPr>
                <w:rFonts w:ascii="Arial" w:cs="Arial" w:eastAsia="Arial" w:hAnsi="Arial"/>
                <w:sz w:val="13"/>
                <w:szCs w:val="13"/>
                <w:color w:val="auto"/>
              </w:rPr>
              <w:t>Commercial and Industrial</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164,066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10,417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1,473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175,95</w:t>
            </w:r>
          </w:p>
        </w:tc>
      </w:tr>
      <w:tr>
        <w:trPr>
          <w:trHeight w:val="172"/>
        </w:trPr>
        <w:tc>
          <w:tcPr>
            <w:tcW w:w="284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Credit card</w:t>
            </w: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141,120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141,12</w:t>
            </w:r>
          </w:p>
        </w:tc>
      </w:tr>
      <w:tr>
        <w:trPr>
          <w:trHeight w:val="168"/>
        </w:trPr>
        <w:tc>
          <w:tcPr>
            <w:tcW w:w="28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consumer</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w:t>
            </w:r>
          </w:p>
        </w:tc>
      </w:tr>
      <w:tr>
        <w:trPr>
          <w:trHeight w:val="183"/>
        </w:trPr>
        <w:tc>
          <w:tcPr>
            <w:tcW w:w="284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Portfolio loans receivable, gross</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1,351,679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24,523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8"/>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1,531,20</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22" w:lineRule="exact"/>
        <w:rPr>
          <w:sz w:val="20"/>
          <w:szCs w:val="20"/>
          <w:color w:val="auto"/>
        </w:rPr>
      </w:pPr>
    </w:p>
    <w:p>
      <w:pPr>
        <w:ind w:left="120" w:hanging="115"/>
        <w:spacing w:after="0"/>
        <w:tabs>
          <w:tab w:leader="none" w:pos="120" w:val="left"/>
        </w:tabs>
        <w:numPr>
          <w:ilvl w:val="0"/>
          <w:numId w:val="18"/>
        </w:numPr>
        <w:rPr>
          <w:rFonts w:ascii="Arial" w:cs="Arial" w:eastAsia="Arial" w:hAnsi="Arial"/>
          <w:sz w:val="14"/>
          <w:szCs w:val="14"/>
          <w:color w:val="auto"/>
          <w:vertAlign w:val="superscript"/>
        </w:rPr>
      </w:pPr>
      <w:r>
        <w:rPr>
          <w:rFonts w:ascii="Arial" w:cs="Arial" w:eastAsia="Arial" w:hAnsi="Arial"/>
          <w:sz w:val="11"/>
          <w:szCs w:val="11"/>
          <w:color w:val="auto"/>
        </w:rPr>
        <w:t>Pass includes loans graded exceptional, very good, good, satisfactory and pass/watch.</w:t>
      </w:r>
    </w:p>
    <w:p>
      <w:pPr>
        <w:spacing w:after="0"/>
        <w:rPr>
          <w:rFonts w:ascii="Arial" w:cs="Arial" w:eastAsia="Arial" w:hAnsi="Arial"/>
          <w:sz w:val="14"/>
          <w:szCs w:val="14"/>
          <w:color w:val="auto"/>
          <w:vertAlign w:val="superscript"/>
        </w:rPr>
      </w:pPr>
      <w:r>
        <w:rPr>
          <w:rFonts w:ascii="Arial" w:cs="Arial" w:eastAsia="Arial" w:hAnsi="Arial"/>
          <w:sz w:val="7"/>
          <w:szCs w:val="7"/>
          <w:color w:val="auto"/>
        </w:rPr>
        <w:t>(2)</w:t>
      </w:r>
      <w:r>
        <w:rPr>
          <w:rFonts w:ascii="Arial" w:cs="Arial" w:eastAsia="Arial" w:hAnsi="Arial"/>
          <w:sz w:val="11"/>
          <w:szCs w:val="11"/>
          <w:color w:val="auto"/>
        </w:rPr>
        <w:t>Credit card loans are not individually graded.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80" w:name="page81"/>
    <w:bookmarkEnd w:id="80"/>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(continued)</w:t>
      </w:r>
    </w:p>
    <w:p>
      <w:pPr>
        <w:spacing w:after="0" w:line="197" w:lineRule="exact"/>
        <w:rPr>
          <w:sz w:val="20"/>
          <w:szCs w:val="20"/>
          <w:color w:val="auto"/>
        </w:rPr>
      </w:pPr>
    </w:p>
    <w:p>
      <w:pPr>
        <w:jc w:val="both"/>
        <w:ind w:right="80" w:firstLine="255"/>
        <w:spacing w:after="0" w:line="257" w:lineRule="auto"/>
        <w:rPr>
          <w:sz w:val="20"/>
          <w:szCs w:val="20"/>
          <w:color w:val="auto"/>
        </w:rPr>
      </w:pPr>
      <w:r>
        <w:rPr>
          <w:rFonts w:ascii="Arial" w:cs="Arial" w:eastAsia="Arial" w:hAnsi="Arial"/>
          <w:sz w:val="14"/>
          <w:szCs w:val="14"/>
          <w:color w:val="auto"/>
        </w:rPr>
        <w:t>Impaired loans also include certain loans that have been modified in troubled debt restructurings (“TDRs”)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confirmation of the borrower’s sustained repayment performance for a reasonable period, generally six months. The status of TDRs is as follows:</w:t>
      </w:r>
    </w:p>
    <w:p>
      <w:pPr>
        <w:spacing w:after="0" w:line="347" w:lineRule="exact"/>
        <w:rPr>
          <w:sz w:val="20"/>
          <w:szCs w:val="20"/>
          <w:color w:val="auto"/>
        </w:rPr>
      </w:pPr>
    </w:p>
    <w:tbl>
      <w:tblPr>
        <w:tblLayout w:type="fixed"/>
        <w:tblInd w:w="2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60" w:type="dxa"/>
            <w:vAlign w:val="bottom"/>
          </w:tcPr>
          <w:p>
            <w:pPr>
              <w:jc w:val="center"/>
              <w:ind w:left="236"/>
              <w:spacing w:after="0"/>
              <w:rPr>
                <w:sz w:val="20"/>
                <w:szCs w:val="20"/>
                <w:color w:val="auto"/>
              </w:rPr>
            </w:pPr>
            <w:r>
              <w:rPr>
                <w:rFonts w:ascii="Arial" w:cs="Arial" w:eastAsia="Arial" w:hAnsi="Arial"/>
                <w:sz w:val="13"/>
                <w:szCs w:val="13"/>
                <w:b w:val="1"/>
                <w:bCs w:val="1"/>
                <w:color w:val="auto"/>
                <w:w w:val="98"/>
              </w:rPr>
              <w:t>Number of</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Recorded Investment</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60"/>
        </w:trPr>
        <w:tc>
          <w:tcPr>
            <w:tcW w:w="4600" w:type="dxa"/>
            <w:vAlign w:val="bottom"/>
            <w:gridSpan w:val="3"/>
          </w:tcPr>
          <w:p>
            <w:pPr>
              <w:ind w:left="20"/>
              <w:spacing w:after="0"/>
              <w:rPr>
                <w:sz w:val="20"/>
                <w:szCs w:val="20"/>
                <w:color w:val="auto"/>
              </w:rPr>
            </w:pPr>
            <w:r>
              <w:rPr>
                <w:rFonts w:ascii="Arial" w:cs="Arial" w:eastAsia="Arial" w:hAnsi="Arial"/>
                <w:sz w:val="8"/>
                <w:szCs w:val="8"/>
                <w:i w:val="1"/>
                <w:iCs w:val="1"/>
                <w:color w:val="auto"/>
              </w:rPr>
              <w:t>(dollars in thousands)</w:t>
            </w:r>
          </w:p>
        </w:tc>
        <w:tc>
          <w:tcPr>
            <w:tcW w:w="1260" w:type="dxa"/>
            <w:vAlign w:val="bottom"/>
          </w:tcPr>
          <w:p>
            <w:pPr>
              <w:jc w:val="center"/>
              <w:ind w:left="236"/>
              <w:spacing w:after="0"/>
              <w:rPr>
                <w:sz w:val="20"/>
                <w:szCs w:val="20"/>
                <w:color w:val="auto"/>
              </w:rPr>
            </w:pPr>
            <w:r>
              <w:rPr>
                <w:rFonts w:ascii="Arial" w:cs="Arial" w:eastAsia="Arial" w:hAnsi="Arial"/>
                <w:sz w:val="13"/>
                <w:szCs w:val="13"/>
                <w:b w:val="1"/>
                <w:bCs w:val="1"/>
                <w:color w:val="auto"/>
                <w:w w:val="98"/>
              </w:rPr>
              <w:t>Contracts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b w:val="1"/>
                <w:bCs w:val="1"/>
                <w:color w:val="auto"/>
              </w:rPr>
              <w:t>Performing</w:t>
            </w:r>
          </w:p>
        </w:tc>
        <w:tc>
          <w:tcPr>
            <w:tcW w:w="140" w:type="dxa"/>
            <w:vAlign w:val="bottom"/>
          </w:tcPr>
          <w:p>
            <w:pPr>
              <w:spacing w:after="0"/>
              <w:rPr>
                <w:sz w:val="13"/>
                <w:szCs w:val="13"/>
                <w:color w:val="auto"/>
              </w:rPr>
            </w:pPr>
          </w:p>
        </w:tc>
        <w:tc>
          <w:tcPr>
            <w:tcW w:w="1700" w:type="dxa"/>
            <w:vAlign w:val="bottom"/>
            <w:gridSpan w:val="2"/>
          </w:tcPr>
          <w:p>
            <w:pPr>
              <w:ind w:left="280"/>
              <w:spacing w:after="0"/>
              <w:rPr>
                <w:sz w:val="20"/>
                <w:szCs w:val="20"/>
                <w:color w:val="auto"/>
              </w:rPr>
            </w:pPr>
            <w:r>
              <w:rPr>
                <w:rFonts w:ascii="Arial" w:cs="Arial" w:eastAsia="Arial" w:hAnsi="Arial"/>
                <w:sz w:val="13"/>
                <w:szCs w:val="13"/>
                <w:b w:val="1"/>
                <w:bCs w:val="1"/>
                <w:color w:val="auto"/>
              </w:rPr>
              <w:t>Nonperforming</w:t>
            </w:r>
          </w:p>
        </w:tc>
        <w:tc>
          <w:tcPr>
            <w:tcW w:w="340" w:type="dxa"/>
            <w:vAlign w:val="bottom"/>
          </w:tcPr>
          <w:p>
            <w:pPr>
              <w:spacing w:after="0"/>
              <w:rPr>
                <w:sz w:val="13"/>
                <w:szCs w:val="13"/>
                <w:color w:val="auto"/>
              </w:rPr>
            </w:pPr>
          </w:p>
        </w:tc>
        <w:tc>
          <w:tcPr>
            <w:tcW w:w="980" w:type="dxa"/>
            <w:vAlign w:val="bottom"/>
          </w:tcPr>
          <w:p>
            <w:pPr>
              <w:jc w:val="right"/>
              <w:ind w:right="356"/>
              <w:spacing w:after="0"/>
              <w:rPr>
                <w:sz w:val="20"/>
                <w:szCs w:val="20"/>
                <w:color w:val="auto"/>
              </w:rPr>
            </w:pPr>
            <w:r>
              <w:rPr>
                <w:rFonts w:ascii="Arial" w:cs="Arial" w:eastAsia="Arial" w:hAnsi="Arial"/>
                <w:sz w:val="13"/>
                <w:szCs w:val="13"/>
                <w:b w:val="1"/>
                <w:bCs w:val="1"/>
                <w:color w:val="auto"/>
              </w:rPr>
              <w:t>Total</w:t>
            </w:r>
          </w:p>
        </w:tc>
      </w:tr>
      <w:tr>
        <w:trPr>
          <w:trHeight w:val="118"/>
        </w:trPr>
        <w:tc>
          <w:tcPr>
            <w:tcW w:w="4600" w:type="dxa"/>
            <w:vAlign w:val="bottom"/>
            <w:tcBorders>
              <w:top w:val="single" w:sz="8" w:color="CCEEFF"/>
            </w:tcBorders>
            <w:gridSpan w:val="3"/>
            <w:shd w:val="clear" w:color="auto" w:fill="CCEEFF"/>
          </w:tcPr>
          <w:p>
            <w:pPr>
              <w:ind w:left="20"/>
              <w:spacing w:after="0" w:line="118" w:lineRule="exact"/>
              <w:rPr>
                <w:sz w:val="20"/>
                <w:szCs w:val="20"/>
                <w:color w:val="auto"/>
              </w:rPr>
            </w:pPr>
            <w:r>
              <w:rPr>
                <w:rFonts w:ascii="Arial" w:cs="Arial" w:eastAsia="Arial" w:hAnsi="Arial"/>
                <w:sz w:val="13"/>
                <w:szCs w:val="13"/>
                <w:b w:val="1"/>
                <w:bCs w:val="1"/>
                <w:color w:val="auto"/>
              </w:rPr>
              <w:t>December 31, 2022</w:t>
            </w:r>
          </w:p>
        </w:tc>
        <w:tc>
          <w:tcPr>
            <w:tcW w:w="12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r>
      <w:tr>
        <w:trPr>
          <w:trHeight w:val="32"/>
        </w:trPr>
        <w:tc>
          <w:tcPr>
            <w:tcW w:w="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r>
        <w:trPr>
          <w:trHeight w:val="168"/>
        </w:trPr>
        <w:tc>
          <w:tcPr>
            <w:tcW w:w="4600" w:type="dxa"/>
            <w:vAlign w:val="bottom"/>
            <w:gridSpan w:val="3"/>
          </w:tcPr>
          <w:p>
            <w:pPr>
              <w:ind w:left="20"/>
              <w:spacing w:after="0"/>
              <w:rPr>
                <w:sz w:val="20"/>
                <w:szCs w:val="20"/>
                <w:color w:val="auto"/>
              </w:rPr>
            </w:pPr>
            <w:r>
              <w:rPr>
                <w:rFonts w:ascii="Arial" w:cs="Arial" w:eastAsia="Arial" w:hAnsi="Arial"/>
                <w:sz w:val="13"/>
                <w:szCs w:val="13"/>
                <w:color w:val="auto"/>
              </w:rPr>
              <w:t>Real estate:</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4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Residential</w:t>
            </w: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w:t>
            </w: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r>
      <w:tr>
        <w:trPr>
          <w:trHeight w:val="139"/>
        </w:trPr>
        <w:tc>
          <w:tcPr>
            <w:tcW w:w="20" w:type="dxa"/>
            <w:vAlign w:val="bottom"/>
          </w:tcPr>
          <w:p>
            <w:pPr>
              <w:spacing w:after="0"/>
              <w:rPr>
                <w:sz w:val="12"/>
                <w:szCs w:val="12"/>
                <w:color w:val="auto"/>
              </w:rPr>
            </w:pPr>
          </w:p>
        </w:tc>
        <w:tc>
          <w:tcPr>
            <w:tcW w:w="4580" w:type="dxa"/>
            <w:vAlign w:val="bottom"/>
            <w:gridSpan w:val="2"/>
          </w:tcPr>
          <w:p>
            <w:pPr>
              <w:ind w:left="160"/>
              <w:spacing w:after="0" w:line="139" w:lineRule="exact"/>
              <w:rPr>
                <w:sz w:val="20"/>
                <w:szCs w:val="20"/>
                <w:color w:val="auto"/>
              </w:rPr>
            </w:pPr>
            <w:r>
              <w:rPr>
                <w:rFonts w:ascii="Arial" w:cs="Arial" w:eastAsia="Arial" w:hAnsi="Arial"/>
                <w:sz w:val="13"/>
                <w:szCs w:val="13"/>
                <w:color w:val="auto"/>
              </w:rPr>
              <w:t>Total</w:t>
            </w:r>
          </w:p>
        </w:tc>
        <w:tc>
          <w:tcPr>
            <w:tcW w:w="12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16"/>
              <w:spacing w:after="0" w:line="139" w:lineRule="exact"/>
              <w:rPr>
                <w:sz w:val="20"/>
                <w:szCs w:val="20"/>
                <w:color w:val="auto"/>
              </w:rPr>
            </w:pPr>
            <w:r>
              <w:rPr>
                <w:rFonts w:ascii="Arial" w:cs="Arial" w:eastAsia="Arial" w:hAnsi="Arial"/>
                <w:sz w:val="13"/>
                <w:szCs w:val="13"/>
                <w:b w:val="1"/>
                <w:bCs w:val="1"/>
                <w:color w:val="auto"/>
              </w:rPr>
              <w:t>$</w:t>
            </w:r>
          </w:p>
        </w:tc>
        <w:tc>
          <w:tcPr>
            <w:tcW w:w="1300" w:type="dxa"/>
            <w:vAlign w:val="bottom"/>
            <w:tcBorders>
              <w:top w:val="single" w:sz="8" w:color="auto"/>
              <w:bottom w:val="single" w:sz="8" w:color="auto"/>
            </w:tcBorders>
          </w:tcPr>
          <w:p>
            <w:pPr>
              <w:ind w:left="1120"/>
              <w:spacing w:after="0" w:line="13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16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288</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96"/>
              <w:spacing w:after="0" w:line="139" w:lineRule="exact"/>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4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38"/>
        </w:trPr>
        <w:tc>
          <w:tcPr>
            <w:tcW w:w="460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December 31, 2021</w:t>
            </w: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76"/>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Real estate:</w:t>
            </w: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4580" w:type="dxa"/>
            <w:vAlign w:val="bottom"/>
            <w:gridSpan w:val="2"/>
          </w:tcPr>
          <w:p>
            <w:pPr>
              <w:ind w:left="120"/>
              <w:spacing w:after="0"/>
              <w:rPr>
                <w:sz w:val="20"/>
                <w:szCs w:val="20"/>
                <w:color w:val="auto"/>
              </w:rPr>
            </w:pPr>
            <w:r>
              <w:rPr>
                <w:rFonts w:ascii="Arial" w:cs="Arial" w:eastAsia="Arial" w:hAnsi="Arial"/>
                <w:sz w:val="13"/>
                <w:szCs w:val="13"/>
                <w:color w:val="auto"/>
              </w:rPr>
              <w:t>Residential</w:t>
            </w:r>
          </w:p>
        </w:tc>
        <w:tc>
          <w:tcPr>
            <w:tcW w:w="1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400" w:type="dxa"/>
            <w:vAlign w:val="bottom"/>
            <w:gridSpan w:val="2"/>
          </w:tcPr>
          <w:p>
            <w:pPr>
              <w:ind w:left="11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600" w:type="dxa"/>
            <w:vAlign w:val="bottom"/>
          </w:tcPr>
          <w:p>
            <w:pPr>
              <w:jc w:val="right"/>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0"/>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12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580" w:type="dxa"/>
            <w:vAlign w:val="bottom"/>
            <w:gridSpan w:val="2"/>
          </w:tcPr>
          <w:p>
            <w:pPr>
              <w:ind w:left="160"/>
              <w:spacing w:after="0"/>
              <w:rPr>
                <w:sz w:val="20"/>
                <w:szCs w:val="20"/>
                <w:color w:val="auto"/>
              </w:rPr>
            </w:pPr>
            <w:r>
              <w:rPr>
                <w:rFonts w:ascii="Arial" w:cs="Arial" w:eastAsia="Arial" w:hAnsi="Arial"/>
                <w:sz w:val="13"/>
                <w:szCs w:val="13"/>
                <w:color w:val="auto"/>
              </w:rPr>
              <w:t>Total</w:t>
            </w:r>
          </w:p>
        </w:tc>
        <w:tc>
          <w:tcPr>
            <w:tcW w:w="1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400" w:type="dxa"/>
            <w:vAlign w:val="bottom"/>
            <w:gridSpan w:val="2"/>
          </w:tcPr>
          <w:p>
            <w:pPr>
              <w:ind w:left="11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600" w:type="dxa"/>
            <w:vAlign w:val="bottom"/>
          </w:tcPr>
          <w:p>
            <w:pPr>
              <w:jc w:val="right"/>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right="80" w:firstLine="255"/>
        <w:spacing w:after="0" w:line="257" w:lineRule="auto"/>
        <w:rPr>
          <w:sz w:val="20"/>
          <w:szCs w:val="20"/>
          <w:color w:val="auto"/>
        </w:rPr>
      </w:pPr>
      <w:r>
        <w:rPr>
          <w:rFonts w:ascii="Arial" w:cs="Arial" w:eastAsia="Arial" w:hAnsi="Arial"/>
          <w:sz w:val="14"/>
          <w:szCs w:val="14"/>
          <w:color w:val="auto"/>
        </w:rPr>
        <w:t>At December 31, 2022 the Company had one defaulted TDR for $288 thousand. In the 12 months ending December 31, 2022, four TDRs, totaling $215 thousand paid off. There were no new TDRs added in 2022. During the year ended December 31, 2021, the Company restructured one residential portfolio loan for $319 thousand in which the borrower was granted a rate reduction and payment recast. There were no material financial effects as a direct result of this modification. There was one commercial TDR that was paid off during the twelve months ended December 31, 2021 for $200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81" w:name="page82"/>
    <w:bookmarkEnd w:id="81"/>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(continued)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Outstanding loan commitments were as follows:</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3"/>
                <w:szCs w:val="13"/>
                <w:b w:val="1"/>
                <w:bCs w:val="1"/>
                <w:color w:val="auto"/>
              </w:rPr>
              <w:t>December 31,</w:t>
            </w:r>
          </w:p>
        </w:tc>
        <w:tc>
          <w:tcPr>
            <w:tcW w:w="1160" w:type="dxa"/>
            <w:vAlign w:val="bottom"/>
            <w:tcBorders>
              <w:bottom w:val="single" w:sz="8" w:color="auto"/>
            </w:tcBorders>
          </w:tcPr>
          <w:p>
            <w:pPr>
              <w:spacing w:after="0"/>
              <w:rPr>
                <w:sz w:val="14"/>
                <w:szCs w:val="14"/>
                <w:color w:val="auto"/>
              </w:rPr>
            </w:pPr>
          </w:p>
        </w:tc>
      </w:tr>
      <w:tr>
        <w:trPr>
          <w:trHeight w:val="16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r>
      <w:tr>
        <w:trPr>
          <w:trHeight w:val="150"/>
        </w:trPr>
        <w:tc>
          <w:tcPr>
            <w:tcW w:w="73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Unused lines of credit</w:t>
            </w: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68"/>
        </w:trPr>
        <w:tc>
          <w:tcPr>
            <w:tcW w:w="7300" w:type="dxa"/>
            <w:vAlign w:val="bottom"/>
          </w:tcPr>
          <w:p>
            <w:pPr>
              <w:ind w:left="100"/>
              <w:spacing w:after="0"/>
              <w:rPr>
                <w:sz w:val="20"/>
                <w:szCs w:val="20"/>
                <w:color w:val="auto"/>
              </w:rPr>
            </w:pPr>
            <w:r>
              <w:rPr>
                <w:rFonts w:ascii="Arial" w:cs="Arial" w:eastAsia="Arial" w:hAnsi="Arial"/>
                <w:sz w:val="13"/>
                <w:szCs w:val="13"/>
                <w:color w:val="auto"/>
              </w:rPr>
              <w:t>Real Estate:</w:t>
            </w: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Residential</w:t>
            </w: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14,336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r>
      <w:tr>
        <w:trPr>
          <w:trHeight w:val="169"/>
        </w:trPr>
        <w:tc>
          <w:tcPr>
            <w:tcW w:w="7300" w:type="dxa"/>
            <w:vAlign w:val="bottom"/>
          </w:tcPr>
          <w:p>
            <w:pPr>
              <w:ind w:left="180"/>
              <w:spacing w:after="0"/>
              <w:rPr>
                <w:sz w:val="20"/>
                <w:szCs w:val="20"/>
                <w:color w:val="auto"/>
              </w:rPr>
            </w:pPr>
            <w:r>
              <w:rPr>
                <w:rFonts w:ascii="Arial" w:cs="Arial" w:eastAsia="Arial" w:hAnsi="Arial"/>
                <w:sz w:val="13"/>
                <w:szCs w:val="13"/>
                <w:color w:val="auto"/>
              </w:rPr>
              <w:t>Residential - Home Equity</w:t>
            </w: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43,128</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37,6</w:t>
            </w:r>
          </w:p>
        </w:tc>
      </w:tr>
      <w:tr>
        <w:trPr>
          <w:trHeight w:val="170"/>
        </w:trPr>
        <w:tc>
          <w:tcPr>
            <w:tcW w:w="7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w:t>
            </w: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36,609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r>
      <w:tr>
        <w:trPr>
          <w:trHeight w:val="169"/>
        </w:trPr>
        <w:tc>
          <w:tcPr>
            <w:tcW w:w="7300" w:type="dxa"/>
            <w:vAlign w:val="bottom"/>
          </w:tcPr>
          <w:p>
            <w:pPr>
              <w:ind w:left="180"/>
              <w:spacing w:after="0"/>
              <w:rPr>
                <w:sz w:val="20"/>
                <w:szCs w:val="20"/>
                <w:color w:val="auto"/>
              </w:rPr>
            </w:pPr>
            <w:r>
              <w:rPr>
                <w:rFonts w:ascii="Arial" w:cs="Arial" w:eastAsia="Arial" w:hAnsi="Arial"/>
                <w:sz w:val="13"/>
                <w:szCs w:val="13"/>
                <w:color w:val="auto"/>
              </w:rPr>
              <w:t>Construction</w:t>
            </w: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93,913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118,5</w:t>
            </w:r>
          </w:p>
        </w:tc>
      </w:tr>
      <w:tr>
        <w:trPr>
          <w:trHeight w:val="170"/>
        </w:trPr>
        <w:tc>
          <w:tcPr>
            <w:tcW w:w="7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and Industrial</w:t>
            </w: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45,747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r>
      <w:tr>
        <w:trPr>
          <w:trHeight w:val="170"/>
        </w:trPr>
        <w:tc>
          <w:tcPr>
            <w:tcW w:w="7300" w:type="dxa"/>
            <w:vAlign w:val="bottom"/>
          </w:tcPr>
          <w:p>
            <w:pPr>
              <w:ind w:left="100"/>
              <w:spacing w:after="0" w:line="170" w:lineRule="exact"/>
              <w:rPr>
                <w:sz w:val="20"/>
                <w:szCs w:val="20"/>
                <w:color w:val="auto"/>
              </w:rPr>
            </w:pPr>
            <w:r>
              <w:rPr>
                <w:rFonts w:ascii="Arial" w:cs="Arial" w:eastAsia="Arial" w:hAnsi="Arial"/>
                <w:sz w:val="13"/>
                <w:szCs w:val="13"/>
                <w:color w:val="auto"/>
              </w:rPr>
              <w:t>Credit card</w:t>
            </w:r>
            <w:r>
              <w:rPr>
                <w:rFonts w:ascii="Arial" w:cs="Arial" w:eastAsia="Arial" w:hAnsi="Arial"/>
                <w:sz w:val="16"/>
                <w:szCs w:val="16"/>
                <w:color w:val="auto"/>
                <w:vertAlign w:val="superscript"/>
              </w:rPr>
              <w:t>(1)</w:t>
            </w: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111,227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123,8</w:t>
            </w:r>
          </w:p>
        </w:tc>
      </w:tr>
      <w:tr>
        <w:trPr>
          <w:trHeight w:val="169"/>
        </w:trPr>
        <w:tc>
          <w:tcPr>
            <w:tcW w:w="7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consumer</w:t>
            </w: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102</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60"/>
        </w:trPr>
        <w:tc>
          <w:tcPr>
            <w:tcW w:w="7300" w:type="dxa"/>
            <w:vAlign w:val="bottom"/>
          </w:tcPr>
          <w:p>
            <w:pPr>
              <w:spacing w:after="0"/>
              <w:rPr>
                <w:sz w:val="13"/>
                <w:szCs w:val="13"/>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345,062</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360,3</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31"/>
        </w:trPr>
        <w:tc>
          <w:tcPr>
            <w:tcW w:w="7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3"/>
                <w:szCs w:val="13"/>
                <w:color w:val="auto"/>
              </w:rPr>
              <w:t>Commitments to originate residential loans held for sale</w:t>
            </w:r>
          </w:p>
        </w:tc>
        <w:tc>
          <w:tcPr>
            <w:tcW w:w="460" w:type="dxa"/>
            <w:vAlign w:val="bottom"/>
          </w:tcPr>
          <w:p>
            <w:pPr>
              <w:jc w:val="right"/>
              <w:ind w:right="296"/>
              <w:spacing w:after="0"/>
              <w:rPr>
                <w:sz w:val="20"/>
                <w:szCs w:val="20"/>
                <w:color w:val="auto"/>
              </w:rPr>
            </w:pPr>
            <w:r>
              <w:rPr>
                <w:rFonts w:ascii="Arial" w:cs="Arial" w:eastAsia="Arial" w:hAnsi="Arial"/>
                <w:sz w:val="13"/>
                <w:szCs w:val="13"/>
                <w:b w:val="1"/>
                <w:bCs w:val="1"/>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7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70"/>
        </w:trPr>
        <w:tc>
          <w:tcPr>
            <w:tcW w:w="7300" w:type="dxa"/>
            <w:vAlign w:val="bottom"/>
          </w:tcPr>
          <w:p>
            <w:pPr>
              <w:ind w:left="20"/>
              <w:spacing w:after="0"/>
              <w:rPr>
                <w:sz w:val="20"/>
                <w:szCs w:val="20"/>
                <w:color w:val="auto"/>
              </w:rPr>
            </w:pPr>
            <w:r>
              <w:rPr>
                <w:rFonts w:ascii="Arial" w:cs="Arial" w:eastAsia="Arial" w:hAnsi="Arial"/>
                <w:sz w:val="13"/>
                <w:szCs w:val="13"/>
                <w:color w:val="auto"/>
              </w:rPr>
              <w:t>Letters of credit</w:t>
            </w: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5,105</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r>
      <w:tr>
        <w:trPr>
          <w:trHeight w:val="20"/>
        </w:trPr>
        <w:tc>
          <w:tcPr>
            <w:tcW w:w="7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120" w:hanging="115"/>
        <w:spacing w:after="0" w:line="188" w:lineRule="auto"/>
        <w:tabs>
          <w:tab w:leader="none" w:pos="120" w:val="left"/>
        </w:tabs>
        <w:numPr>
          <w:ilvl w:val="0"/>
          <w:numId w:val="19"/>
        </w:numPr>
        <w:rPr>
          <w:rFonts w:ascii="Arial" w:cs="Arial" w:eastAsia="Arial" w:hAnsi="Arial"/>
          <w:sz w:val="14"/>
          <w:szCs w:val="14"/>
          <w:color w:val="auto"/>
          <w:vertAlign w:val="superscript"/>
        </w:rPr>
      </w:pPr>
      <w:r>
        <w:rPr>
          <w:rFonts w:ascii="Arial" w:cs="Arial" w:eastAsia="Arial" w:hAnsi="Arial"/>
          <w:sz w:val="9"/>
          <w:szCs w:val="9"/>
          <w:color w:val="auto"/>
        </w:rPr>
        <w:t>Outstanding loan commitments in the credit card portfolio include $106.9 million and $121.7 million in secured balances as of December 31, 2022 and 2021, respectively.</w:t>
      </w:r>
    </w:p>
    <w:p>
      <w:pPr>
        <w:spacing w:after="0" w:line="184" w:lineRule="exact"/>
        <w:rPr>
          <w:sz w:val="20"/>
          <w:szCs w:val="20"/>
          <w:color w:val="auto"/>
        </w:rPr>
      </w:pPr>
    </w:p>
    <w:p>
      <w:pPr>
        <w:jc w:val="both"/>
        <w:ind w:right="80" w:firstLine="255"/>
        <w:spacing w:after="0" w:line="256" w:lineRule="auto"/>
        <w:rPr>
          <w:sz w:val="20"/>
          <w:szCs w:val="20"/>
          <w:color w:val="auto"/>
        </w:rPr>
      </w:pPr>
      <w:r>
        <w:rPr>
          <w:rFonts w:ascii="Arial" w:cs="Arial" w:eastAsia="Arial" w:hAnsi="Arial"/>
          <w:sz w:val="14"/>
          <w:szCs w:val="14"/>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at any given time, draw upon their lines in full. Loan commitments generally have variable interest rates, fixed expiration dates, and may require payment of a fee. Letters of credit are conditional commitments issued by us to guarantee the performance of a customer to a third party. In the event of nonperformance by the customer in accordance with the terms of the agreement with the third party, the Company would be required to fund the commitment.</w:t>
      </w:r>
    </w:p>
    <w:p>
      <w:pPr>
        <w:spacing w:after="0" w:line="160" w:lineRule="exact"/>
        <w:rPr>
          <w:sz w:val="20"/>
          <w:szCs w:val="20"/>
          <w:color w:val="auto"/>
        </w:rPr>
      </w:pPr>
    </w:p>
    <w:p>
      <w:pPr>
        <w:jc w:val="both"/>
        <w:ind w:right="80" w:firstLine="255"/>
        <w:spacing w:after="0" w:line="259" w:lineRule="auto"/>
        <w:rPr>
          <w:sz w:val="20"/>
          <w:szCs w:val="20"/>
          <w:color w:val="auto"/>
        </w:rPr>
      </w:pPr>
      <w:r>
        <w:rPr>
          <w:rFonts w:ascii="Arial" w:cs="Arial" w:eastAsia="Arial" w:hAnsi="Arial"/>
          <w:sz w:val="14"/>
          <w:szCs w:val="14"/>
          <w:color w:val="auto"/>
        </w:rPr>
        <w:t>The Company's maximum exposure to credit loss in the event of nonperformance by the customer is the contractual amount of the credit commitment. Loan commitments and lines of credit are generally made on the same terms, including with regard to collateral, as outstanding loans. Management is not aware of any accounting loss to be incurred by funding these loan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82" w:name="page83"/>
    <w:bookmarkEnd w:id="82"/>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Portfolio Loans Receivable (continued)</w:t>
      </w:r>
    </w:p>
    <w:p>
      <w:pPr>
        <w:spacing w:after="0" w:line="197"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The Company maintains an estimated reserve for off balance sheet items such as unfunded lines of credit, which is reflected in other liabilities, with increases or decreases in the reserve being charged to or released from operating expense. Activity for this account is as follows for the periods presented:</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730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r>
      <w:tr>
        <w:trPr>
          <w:trHeight w:val="162"/>
        </w:trPr>
        <w:tc>
          <w:tcPr>
            <w:tcW w:w="7300" w:type="dxa"/>
            <w:vAlign w:val="bottom"/>
          </w:tcPr>
          <w:p>
            <w:pPr>
              <w:ind w:left="20"/>
              <w:spacing w:after="0"/>
              <w:rPr>
                <w:sz w:val="20"/>
                <w:szCs w:val="20"/>
                <w:color w:val="auto"/>
              </w:rPr>
            </w:pPr>
            <w:r>
              <w:rPr>
                <w:rFonts w:ascii="Arial" w:cs="Arial" w:eastAsia="Arial" w:hAnsi="Arial"/>
                <w:sz w:val="13"/>
                <w:szCs w:val="13"/>
                <w:color w:val="auto"/>
              </w:rPr>
              <w:t>Balance at beginning of period</w:t>
            </w:r>
          </w:p>
        </w:tc>
        <w:tc>
          <w:tcPr>
            <w:tcW w:w="460" w:type="dxa"/>
            <w:vAlign w:val="bottom"/>
          </w:tcPr>
          <w:p>
            <w:pPr>
              <w:jc w:val="right"/>
              <w:ind w:right="296"/>
              <w:spacing w:after="0"/>
              <w:rPr>
                <w:sz w:val="20"/>
                <w:szCs w:val="20"/>
                <w:color w:val="auto"/>
              </w:rPr>
            </w:pPr>
            <w:r>
              <w:rPr>
                <w:rFonts w:ascii="Arial" w:cs="Arial" w:eastAsia="Arial" w:hAnsi="Arial"/>
                <w:sz w:val="13"/>
                <w:szCs w:val="13"/>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1,736</w:t>
            </w:r>
          </w:p>
        </w:tc>
        <w:tc>
          <w:tcPr>
            <w:tcW w:w="100" w:type="dxa"/>
            <w:vAlign w:val="bottom"/>
          </w:tcPr>
          <w:p>
            <w:pPr>
              <w:spacing w:after="0"/>
              <w:rPr>
                <w:sz w:val="14"/>
                <w:szCs w:val="14"/>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70"/>
        </w:trPr>
        <w:tc>
          <w:tcPr>
            <w:tcW w:w="7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(reversal of) off balance sheet credit commitments</w:t>
            </w: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300" w:type="dxa"/>
            <w:vAlign w:val="bottom"/>
          </w:tcPr>
          <w:p>
            <w:pPr>
              <w:ind w:left="100"/>
              <w:spacing w:after="0"/>
              <w:rPr>
                <w:sz w:val="20"/>
                <w:szCs w:val="20"/>
                <w:color w:val="auto"/>
              </w:rPr>
            </w:pPr>
            <w:r>
              <w:rPr>
                <w:rFonts w:ascii="Arial" w:cs="Arial" w:eastAsia="Arial" w:hAnsi="Arial"/>
                <w:sz w:val="13"/>
                <w:szCs w:val="13"/>
                <w:color w:val="auto"/>
              </w:rPr>
              <w:t>Add: Recoveries</w:t>
            </w:r>
          </w:p>
        </w:tc>
        <w:tc>
          <w:tcPr>
            <w:tcW w:w="46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7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Less: Charge-offs</w:t>
            </w:r>
          </w:p>
        </w:tc>
        <w:tc>
          <w:tcPr>
            <w:tcW w:w="4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1"/>
        </w:trPr>
        <w:tc>
          <w:tcPr>
            <w:tcW w:w="730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1,682</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20"/>
        </w:trPr>
        <w:tc>
          <w:tcPr>
            <w:tcW w:w="7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right="80" w:firstLine="255"/>
        <w:spacing w:after="0" w:line="259" w:lineRule="auto"/>
        <w:rPr>
          <w:sz w:val="20"/>
          <w:szCs w:val="20"/>
          <w:color w:val="auto"/>
        </w:rPr>
      </w:pPr>
      <w:r>
        <w:rPr>
          <w:rFonts w:ascii="Arial" w:cs="Arial" w:eastAsia="Arial" w:hAnsi="Arial"/>
          <w:sz w:val="14"/>
          <w:szCs w:val="14"/>
          <w:color w:val="auto"/>
        </w:rPr>
        <w:t>The Company makes representations and warranties that loans sold to investors meet the investors’ program guidelines and that the information provided by the borrowers is accurate and complete. In the event of a default on a loan sold, the investor may have the right to make a claim for losses due to document deficiencies, program non-compliance, early payment default, and fraud or borrower misrepresentations.</w:t>
      </w:r>
    </w:p>
    <w:p>
      <w:pPr>
        <w:spacing w:after="0" w:line="158"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The Company maintains a reserve for potential losses on mortgage loans sold, which is reflected in other liabilities, with changes being charged to or released from operating expense. Activity in this reserve is as follows for the periods presented:</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730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r>
      <w:tr>
        <w:trPr>
          <w:trHeight w:val="162"/>
        </w:trPr>
        <w:tc>
          <w:tcPr>
            <w:tcW w:w="7300" w:type="dxa"/>
            <w:vAlign w:val="bottom"/>
          </w:tcPr>
          <w:p>
            <w:pPr>
              <w:ind w:left="20"/>
              <w:spacing w:after="0"/>
              <w:rPr>
                <w:sz w:val="20"/>
                <w:szCs w:val="20"/>
                <w:color w:val="auto"/>
              </w:rPr>
            </w:pPr>
            <w:r>
              <w:rPr>
                <w:rFonts w:ascii="Arial" w:cs="Arial" w:eastAsia="Arial" w:hAnsi="Arial"/>
                <w:sz w:val="13"/>
                <w:szCs w:val="13"/>
                <w:color w:val="auto"/>
              </w:rPr>
              <w:t>Balance at beginning of period</w:t>
            </w:r>
          </w:p>
        </w:tc>
        <w:tc>
          <w:tcPr>
            <w:tcW w:w="460" w:type="dxa"/>
            <w:vAlign w:val="bottom"/>
          </w:tcPr>
          <w:p>
            <w:pPr>
              <w:jc w:val="right"/>
              <w:ind w:right="296"/>
              <w:spacing w:after="0"/>
              <w:rPr>
                <w:sz w:val="20"/>
                <w:szCs w:val="20"/>
                <w:color w:val="auto"/>
              </w:rPr>
            </w:pPr>
            <w:r>
              <w:rPr>
                <w:rFonts w:ascii="Arial" w:cs="Arial" w:eastAsia="Arial" w:hAnsi="Arial"/>
                <w:sz w:val="13"/>
                <w:szCs w:val="13"/>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1,164</w:t>
            </w:r>
          </w:p>
        </w:tc>
        <w:tc>
          <w:tcPr>
            <w:tcW w:w="100" w:type="dxa"/>
            <w:vAlign w:val="bottom"/>
          </w:tcPr>
          <w:p>
            <w:pPr>
              <w:spacing w:after="0"/>
              <w:rPr>
                <w:sz w:val="14"/>
                <w:szCs w:val="14"/>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0"/>
        </w:trPr>
        <w:tc>
          <w:tcPr>
            <w:tcW w:w="7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mortgage loan put backs</w:t>
            </w: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9"/>
        </w:trPr>
        <w:tc>
          <w:tcPr>
            <w:tcW w:w="7300" w:type="dxa"/>
            <w:vAlign w:val="bottom"/>
          </w:tcPr>
          <w:p>
            <w:pPr>
              <w:ind w:left="100"/>
              <w:spacing w:after="0"/>
              <w:rPr>
                <w:sz w:val="20"/>
                <w:szCs w:val="20"/>
                <w:color w:val="auto"/>
              </w:rPr>
            </w:pPr>
            <w:r>
              <w:rPr>
                <w:rFonts w:ascii="Arial" w:cs="Arial" w:eastAsia="Arial" w:hAnsi="Arial"/>
                <w:sz w:val="13"/>
                <w:szCs w:val="13"/>
                <w:color w:val="auto"/>
              </w:rPr>
              <w:t>Add: Recoveries</w:t>
            </w:r>
          </w:p>
        </w:tc>
        <w:tc>
          <w:tcPr>
            <w:tcW w:w="46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7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Less: Charge-offs</w:t>
            </w:r>
          </w:p>
        </w:tc>
        <w:tc>
          <w:tcPr>
            <w:tcW w:w="4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1"/>
        </w:trPr>
        <w:tc>
          <w:tcPr>
            <w:tcW w:w="730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1,173</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w:t>
            </w:r>
          </w:p>
        </w:tc>
      </w:tr>
      <w:tr>
        <w:trPr>
          <w:trHeight w:val="20"/>
        </w:trPr>
        <w:tc>
          <w:tcPr>
            <w:tcW w:w="7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Premises and Equipment</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Premises and equipment and the related depreciation and amortization consist of the following:</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734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2021</w:t>
            </w:r>
          </w:p>
        </w:tc>
      </w:tr>
      <w:tr>
        <w:trPr>
          <w:trHeight w:val="162"/>
        </w:trPr>
        <w:tc>
          <w:tcPr>
            <w:tcW w:w="7340" w:type="dxa"/>
            <w:vAlign w:val="bottom"/>
          </w:tcPr>
          <w:p>
            <w:pPr>
              <w:ind w:left="20"/>
              <w:spacing w:after="0"/>
              <w:rPr>
                <w:sz w:val="20"/>
                <w:szCs w:val="20"/>
                <w:color w:val="auto"/>
              </w:rPr>
            </w:pPr>
            <w:r>
              <w:rPr>
                <w:rFonts w:ascii="Arial" w:cs="Arial" w:eastAsia="Arial" w:hAnsi="Arial"/>
                <w:sz w:val="13"/>
                <w:szCs w:val="13"/>
                <w:color w:val="auto"/>
              </w:rPr>
              <w:t>Leasehold improvements</w:t>
            </w:r>
          </w:p>
        </w:tc>
        <w:tc>
          <w:tcPr>
            <w:tcW w:w="440" w:type="dxa"/>
            <w:vAlign w:val="bottom"/>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1,683</w:t>
            </w:r>
          </w:p>
        </w:tc>
        <w:tc>
          <w:tcPr>
            <w:tcW w:w="80" w:type="dxa"/>
            <w:vAlign w:val="bottom"/>
          </w:tcPr>
          <w:p>
            <w:pPr>
              <w:spacing w:after="0"/>
              <w:rPr>
                <w:sz w:val="14"/>
                <w:szCs w:val="14"/>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1,71</w:t>
            </w:r>
          </w:p>
        </w:tc>
      </w:tr>
      <w:tr>
        <w:trPr>
          <w:trHeight w:val="170"/>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 and equipment</w:t>
            </w: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4,775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r>
      <w:tr>
        <w:trPr>
          <w:trHeight w:val="169"/>
        </w:trPr>
        <w:tc>
          <w:tcPr>
            <w:tcW w:w="7340" w:type="dxa"/>
            <w:vAlign w:val="bottom"/>
          </w:tcPr>
          <w:p>
            <w:pPr>
              <w:ind w:left="20"/>
              <w:spacing w:after="0"/>
              <w:rPr>
                <w:sz w:val="20"/>
                <w:szCs w:val="20"/>
                <w:color w:val="auto"/>
              </w:rPr>
            </w:pPr>
            <w:r>
              <w:rPr>
                <w:rFonts w:ascii="Arial" w:cs="Arial" w:eastAsia="Arial" w:hAnsi="Arial"/>
                <w:sz w:val="13"/>
                <w:szCs w:val="13"/>
                <w:color w:val="auto"/>
              </w:rPr>
              <w:t>Vehicle</w:t>
            </w: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54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0"/>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Software</w:t>
            </w: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2,517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r>
      <w:tr>
        <w:trPr>
          <w:trHeight w:val="169"/>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Construction in progress</w:t>
            </w: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694</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61"/>
        </w:trPr>
        <w:tc>
          <w:tcPr>
            <w:tcW w:w="7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9,723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w:t>
            </w:r>
          </w:p>
        </w:tc>
      </w:tr>
      <w:tr>
        <w:trPr>
          <w:trHeight w:val="169"/>
        </w:trPr>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Less: Accumulated depreciation and amortization</w:t>
            </w: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(8,434)</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(8,13</w:t>
            </w:r>
          </w:p>
        </w:tc>
      </w:tr>
      <w:tr>
        <w:trPr>
          <w:trHeight w:val="161"/>
        </w:trPr>
        <w:tc>
          <w:tcPr>
            <w:tcW w:w="7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Premises and equipment</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1,289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w:t>
            </w:r>
          </w:p>
        </w:tc>
      </w:tr>
      <w:tr>
        <w:trPr>
          <w:trHeight w:val="169"/>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lease asset</w:t>
            </w: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2,097</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w:t>
            </w:r>
          </w:p>
        </w:tc>
      </w:tr>
      <w:tr>
        <w:trPr>
          <w:trHeight w:val="186"/>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Premises and equipment, net</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3,386</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95"/>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Depreciation and amortization expense</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364</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83" w:name="page84"/>
    <w:bookmarkEnd w:id="83"/>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Leases</w:t>
      </w:r>
    </w:p>
    <w:p>
      <w:pPr>
        <w:spacing w:after="0" w:line="197" w:lineRule="exact"/>
        <w:rPr>
          <w:sz w:val="20"/>
          <w:szCs w:val="20"/>
          <w:color w:val="auto"/>
        </w:rPr>
      </w:pPr>
    </w:p>
    <w:p>
      <w:pPr>
        <w:jc w:val="both"/>
        <w:ind w:right="80" w:firstLine="255"/>
        <w:spacing w:after="0" w:line="259" w:lineRule="auto"/>
        <w:rPr>
          <w:sz w:val="20"/>
          <w:szCs w:val="20"/>
          <w:color w:val="auto"/>
        </w:rPr>
      </w:pPr>
      <w:r>
        <w:rPr>
          <w:rFonts w:ascii="Arial" w:cs="Arial" w:eastAsia="Arial" w:hAnsi="Arial"/>
          <w:sz w:val="14"/>
          <w:szCs w:val="14"/>
          <w:color w:val="auto"/>
        </w:rPr>
        <w:t>The Company’s primary leasing activities relate to certain real estate leases entered into in support of the Company’s branch operations and back-office operations. The Company leases its four full-service branches and three other locations for corporate/administration activities, operations, and loan production. All property leases under lease agreements have been designated as operating leases. The Company does not have leases designated as finance leases.</w:t>
      </w:r>
    </w:p>
    <w:p>
      <w:pPr>
        <w:spacing w:after="0" w:line="158" w:lineRule="exact"/>
        <w:rPr>
          <w:sz w:val="20"/>
          <w:szCs w:val="20"/>
          <w:color w:val="auto"/>
        </w:rPr>
      </w:pPr>
    </w:p>
    <w:p>
      <w:pPr>
        <w:jc w:val="both"/>
        <w:ind w:right="80" w:firstLine="255"/>
        <w:spacing w:after="0" w:line="254" w:lineRule="auto"/>
        <w:rPr>
          <w:sz w:val="20"/>
          <w:szCs w:val="20"/>
          <w:color w:val="auto"/>
        </w:rPr>
      </w:pPr>
      <w:r>
        <w:rPr>
          <w:rFonts w:ascii="Arial" w:cs="Arial" w:eastAsia="Arial" w:hAnsi="Arial"/>
          <w:sz w:val="14"/>
          <w:szCs w:val="14"/>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historical weighted average discount rate used was 1.94% at December 31, 2022 and 2.23% at December 31, 2021.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164" w:lineRule="exact"/>
        <w:rPr>
          <w:sz w:val="20"/>
          <w:szCs w:val="20"/>
          <w:color w:val="auto"/>
        </w:rPr>
      </w:pPr>
    </w:p>
    <w:p>
      <w:pPr>
        <w:jc w:val="both"/>
        <w:ind w:right="80" w:firstLine="255"/>
        <w:spacing w:after="0" w:line="259" w:lineRule="auto"/>
        <w:rPr>
          <w:sz w:val="20"/>
          <w:szCs w:val="20"/>
          <w:color w:val="auto"/>
        </w:rPr>
      </w:pPr>
      <w:r>
        <w:rPr>
          <w:rFonts w:ascii="Arial" w:cs="Arial" w:eastAsia="Arial" w:hAnsi="Arial"/>
          <w:sz w:val="14"/>
          <w:szCs w:val="14"/>
          <w:color w:val="auto"/>
        </w:rPr>
        <w:t>As of December 31, 2022, the Company’s net lease ROU assets and related lease liabilities were $ 2.1 million and $2.4 million, respectively, and have remaining terms ranging from 1 - 6 years, including extension options that the Company is reasonably certain will be exercised. As of December 31, 2022, the Company had not entered into any material leases that have not yet commenced. The Company’s lease information is summarized as follows:</w:t>
      </w:r>
    </w:p>
    <w:p>
      <w:pPr>
        <w:spacing w:after="0" w:line="172"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2021</w:t>
            </w:r>
          </w:p>
        </w:tc>
      </w:tr>
      <w:tr>
        <w:trPr>
          <w:trHeight w:val="139"/>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Lease Right-of-Use Asset</w:t>
            </w:r>
          </w:p>
        </w:tc>
        <w:tc>
          <w:tcPr>
            <w:tcW w:w="4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55"/>
        </w:trPr>
        <w:tc>
          <w:tcPr>
            <w:tcW w:w="7260" w:type="dxa"/>
            <w:vAlign w:val="bottom"/>
          </w:tcPr>
          <w:p>
            <w:pPr>
              <w:ind w:left="20"/>
              <w:spacing w:after="0"/>
              <w:rPr>
                <w:sz w:val="20"/>
                <w:szCs w:val="20"/>
                <w:color w:val="auto"/>
              </w:rPr>
            </w:pPr>
            <w:r>
              <w:rPr>
                <w:rFonts w:ascii="Arial" w:cs="Arial" w:eastAsia="Arial" w:hAnsi="Arial"/>
                <w:sz w:val="11"/>
                <w:szCs w:val="11"/>
                <w:color w:val="auto"/>
              </w:rPr>
              <w:t>Lease asset</w:t>
            </w:r>
          </w:p>
        </w:tc>
        <w:tc>
          <w:tcPr>
            <w:tcW w:w="440" w:type="dxa"/>
            <w:vAlign w:val="bottom"/>
          </w:tcPr>
          <w:p>
            <w:pPr>
              <w:jc w:val="right"/>
              <w:ind w:right="303"/>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Pr>
          <w:p>
            <w:pPr>
              <w:jc w:val="right"/>
              <w:ind w:right="1"/>
              <w:spacing w:after="0"/>
              <w:rPr>
                <w:sz w:val="20"/>
                <w:szCs w:val="20"/>
                <w:color w:val="auto"/>
              </w:rPr>
            </w:pPr>
            <w:r>
              <w:rPr>
                <w:rFonts w:ascii="Arial" w:cs="Arial" w:eastAsia="Arial" w:hAnsi="Arial"/>
                <w:sz w:val="11"/>
                <w:szCs w:val="11"/>
                <w:b w:val="1"/>
                <w:bCs w:val="1"/>
                <w:color w:val="auto"/>
              </w:rPr>
              <w:t>5,171</w:t>
            </w:r>
          </w:p>
        </w:tc>
        <w:tc>
          <w:tcPr>
            <w:tcW w:w="80" w:type="dxa"/>
            <w:vAlign w:val="bottom"/>
          </w:tcPr>
          <w:p>
            <w:pPr>
              <w:spacing w:after="0"/>
              <w:rPr>
                <w:sz w:val="13"/>
                <w:szCs w:val="13"/>
                <w:color w:val="auto"/>
              </w:rPr>
            </w:pPr>
          </w:p>
        </w:tc>
        <w:tc>
          <w:tcPr>
            <w:tcW w:w="460" w:type="dxa"/>
            <w:vAlign w:val="bottom"/>
          </w:tcPr>
          <w:p>
            <w:pPr>
              <w:jc w:val="right"/>
              <w:ind w:right="323"/>
              <w:spacing w:after="0"/>
              <w:rPr>
                <w:sz w:val="20"/>
                <w:szCs w:val="20"/>
                <w:color w:val="auto"/>
              </w:rPr>
            </w:pPr>
            <w:r>
              <w:rPr>
                <w:rFonts w:ascii="Arial" w:cs="Arial" w:eastAsia="Arial" w:hAnsi="Arial"/>
                <w:sz w:val="11"/>
                <w:szCs w:val="11"/>
                <w:b w:val="1"/>
                <w:bCs w:val="1"/>
                <w:color w:val="auto"/>
                <w:w w:val="97"/>
              </w:rPr>
              <w:t>$</w:t>
            </w:r>
          </w:p>
        </w:tc>
        <w:tc>
          <w:tcPr>
            <w:tcW w:w="1340" w:type="dxa"/>
            <w:vAlign w:val="bottom"/>
          </w:tcPr>
          <w:p>
            <w:pPr>
              <w:jc w:val="right"/>
              <w:spacing w:after="0"/>
              <w:rPr>
                <w:sz w:val="20"/>
                <w:szCs w:val="20"/>
                <w:color w:val="auto"/>
              </w:rPr>
            </w:pPr>
            <w:r>
              <w:rPr>
                <w:rFonts w:ascii="Arial" w:cs="Arial" w:eastAsia="Arial" w:hAnsi="Arial"/>
                <w:sz w:val="11"/>
                <w:szCs w:val="11"/>
                <w:b w:val="1"/>
                <w:bCs w:val="1"/>
                <w:color w:val="auto"/>
              </w:rPr>
              <w:t>5,3</w:t>
            </w:r>
          </w:p>
        </w:tc>
      </w:tr>
      <w:tr>
        <w:trPr>
          <w:trHeight w:val="159"/>
        </w:trPr>
        <w:tc>
          <w:tcPr>
            <w:tcW w:w="7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Accumulated amortization</w:t>
            </w:r>
          </w:p>
        </w:tc>
        <w:tc>
          <w:tcPr>
            <w:tcW w:w="44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(3,074)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(2,8</w:t>
            </w:r>
          </w:p>
        </w:tc>
      </w:tr>
      <w:tr>
        <w:trPr>
          <w:trHeight w:val="154"/>
        </w:trPr>
        <w:tc>
          <w:tcPr>
            <w:tcW w:w="7260" w:type="dxa"/>
            <w:vAlign w:val="bottom"/>
          </w:tcPr>
          <w:p>
            <w:pPr>
              <w:ind w:left="20"/>
              <w:spacing w:after="0"/>
              <w:rPr>
                <w:sz w:val="20"/>
                <w:szCs w:val="20"/>
                <w:color w:val="auto"/>
              </w:rPr>
            </w:pPr>
            <w:r>
              <w:rPr>
                <w:rFonts w:ascii="Arial" w:cs="Arial" w:eastAsia="Arial" w:hAnsi="Arial"/>
                <w:sz w:val="11"/>
                <w:szCs w:val="11"/>
                <w:color w:val="auto"/>
              </w:rPr>
              <w:t>Net lease asset</w:t>
            </w:r>
          </w:p>
        </w:tc>
        <w:tc>
          <w:tcPr>
            <w:tcW w:w="4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rPr>
              <w:t>2,097</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w w:val="97"/>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31"/>
        </w:trPr>
        <w:tc>
          <w:tcPr>
            <w:tcW w:w="7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55"/>
        </w:trPr>
        <w:tc>
          <w:tcPr>
            <w:tcW w:w="7260" w:type="dxa"/>
            <w:vAlign w:val="bottom"/>
          </w:tcPr>
          <w:p>
            <w:pPr>
              <w:ind w:left="20"/>
              <w:spacing w:after="0"/>
              <w:rPr>
                <w:sz w:val="20"/>
                <w:szCs w:val="20"/>
                <w:color w:val="auto"/>
              </w:rPr>
            </w:pPr>
            <w:r>
              <w:rPr>
                <w:rFonts w:ascii="Arial" w:cs="Arial" w:eastAsia="Arial" w:hAnsi="Arial"/>
                <w:sz w:val="11"/>
                <w:szCs w:val="11"/>
                <w:b w:val="1"/>
                <w:bCs w:val="1"/>
                <w:color w:val="auto"/>
              </w:rPr>
              <w:t>Lease Liability</w:t>
            </w: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3"/>
        </w:trPr>
        <w:tc>
          <w:tcPr>
            <w:tcW w:w="7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 liability</w:t>
            </w: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b w:val="1"/>
                <w:bCs w:val="1"/>
                <w:color w:val="auto"/>
                <w:w w:val="97"/>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1"/>
                <w:szCs w:val="11"/>
                <w:b w:val="1"/>
                <w:bCs w:val="1"/>
                <w:color w:val="auto"/>
              </w:rPr>
              <w:t>5,327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b w:val="1"/>
                <w:bCs w:val="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5,5</w:t>
            </w:r>
          </w:p>
        </w:tc>
      </w:tr>
      <w:tr>
        <w:trPr>
          <w:trHeight w:val="155"/>
        </w:trPr>
        <w:tc>
          <w:tcPr>
            <w:tcW w:w="72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Accumulated amortization</w:t>
            </w:r>
          </w:p>
        </w:tc>
        <w:tc>
          <w:tcPr>
            <w:tcW w:w="4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(2,968)</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w:t>
            </w:r>
          </w:p>
        </w:tc>
      </w:tr>
      <w:tr>
        <w:trPr>
          <w:trHeight w:val="179"/>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lease liability</w:t>
            </w: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1"/>
                <w:szCs w:val="11"/>
                <w:b w:val="1"/>
                <w:bCs w:val="1"/>
                <w:color w:val="auto"/>
              </w:rPr>
              <w:t>2,359</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1"/>
                <w:szCs w:val="11"/>
                <w:b w:val="1"/>
                <w:bCs w:val="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660" w:type="dxa"/>
            <w:vAlign w:val="bottom"/>
            <w:tcBorders>
              <w:top w:val="single" w:sz="8" w:color="auto"/>
            </w:tcBorders>
          </w:tcPr>
          <w:p>
            <w:pPr>
              <w:ind w:left="20"/>
              <w:spacing w:after="0" w:line="185" w:lineRule="exact"/>
              <w:rPr>
                <w:sz w:val="20"/>
                <w:szCs w:val="20"/>
                <w:color w:val="auto"/>
              </w:rPr>
            </w:pPr>
            <w:r>
              <w:rPr>
                <w:rFonts w:ascii="Arial" w:cs="Arial" w:eastAsia="Arial" w:hAnsi="Arial"/>
                <w:sz w:val="17"/>
                <w:szCs w:val="17"/>
                <w:b w:val="1"/>
                <w:bCs w:val="1"/>
                <w:color w:val="auto"/>
              </w:rPr>
              <w:t>Capital Bancorp, Inc. and Subsidiaries</w:t>
            </w: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44"/>
        </w:trPr>
        <w:tc>
          <w:tcPr>
            <w:tcW w:w="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660" w:type="dxa"/>
            <w:vAlign w:val="bottom"/>
          </w:tcPr>
          <w:p>
            <w:pPr>
              <w:ind w:left="20"/>
              <w:spacing w:after="0" w:line="145" w:lineRule="exact"/>
              <w:rPr>
                <w:sz w:val="20"/>
                <w:szCs w:val="20"/>
                <w:color w:val="auto"/>
              </w:rPr>
            </w:pPr>
            <w:r>
              <w:rPr>
                <w:rFonts w:ascii="Arial" w:cs="Arial" w:eastAsia="Arial" w:hAnsi="Arial"/>
                <w:sz w:val="14"/>
                <w:szCs w:val="14"/>
                <w:b w:val="1"/>
                <w:bCs w:val="1"/>
                <w:i w:val="1"/>
                <w:iCs w:val="1"/>
                <w:color w:val="auto"/>
              </w:rPr>
              <w:t>Notes to Consolidated Financial Statements</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60"/>
        </w:trPr>
        <w:tc>
          <w:tcPr>
            <w:tcW w:w="2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i w:val="1"/>
                <w:iCs w:val="1"/>
                <w:color w:val="auto"/>
              </w:rPr>
              <w:t>December 31, 2022 and 2021</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827"/>
        </w:trPr>
        <w:tc>
          <w:tcPr>
            <w:tcW w:w="9100" w:type="dxa"/>
            <w:vAlign w:val="bottom"/>
            <w:gridSpan w:val="3"/>
          </w:tcPr>
          <w:p>
            <w:pPr>
              <w:spacing w:after="0"/>
              <w:rPr>
                <w:sz w:val="20"/>
                <w:szCs w:val="20"/>
                <w:color w:val="auto"/>
              </w:rPr>
            </w:pPr>
            <w:r>
              <w:rPr>
                <w:rFonts w:ascii="Arial" w:cs="Arial" w:eastAsia="Arial" w:hAnsi="Arial"/>
                <w:sz w:val="14"/>
                <w:szCs w:val="14"/>
                <w:b w:val="1"/>
                <w:bCs w:val="1"/>
                <w:color w:val="auto"/>
              </w:rPr>
              <w:t>Note 7 - Leases (continued)</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0"/>
        </w:trPr>
        <w:tc>
          <w:tcPr>
            <w:tcW w:w="26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Future minimum payments for operating leases with initial or remaining terms of one year or more are as follows at December 31, 2022:</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6"/>
        </w:trPr>
        <w:tc>
          <w:tcPr>
            <w:tcW w:w="260" w:type="dxa"/>
            <w:vAlign w:val="bottom"/>
          </w:tcPr>
          <w:p>
            <w:pPr>
              <w:spacing w:after="0"/>
              <w:rPr>
                <w:sz w:val="24"/>
                <w:szCs w:val="24"/>
                <w:color w:val="auto"/>
              </w:rPr>
            </w:pPr>
          </w:p>
        </w:tc>
        <w:tc>
          <w:tcPr>
            <w:tcW w:w="8840" w:type="dxa"/>
            <w:vAlign w:val="bottom"/>
            <w:tcBorders>
              <w:bottom w:val="single" w:sz="8" w:color="CCEEFF"/>
            </w:tcBorders>
            <w:gridSpan w:val="2"/>
          </w:tcPr>
          <w:p>
            <w:pPr>
              <w:ind w:left="20"/>
              <w:spacing w:after="0"/>
              <w:rPr>
                <w:sz w:val="20"/>
                <w:szCs w:val="20"/>
                <w:color w:val="auto"/>
              </w:rPr>
            </w:pPr>
            <w:r>
              <w:rPr>
                <w:rFonts w:ascii="Arial" w:cs="Arial" w:eastAsia="Arial" w:hAnsi="Arial"/>
                <w:sz w:val="8"/>
                <w:szCs w:val="8"/>
                <w:i w:val="1"/>
                <w:iCs w:val="1"/>
                <w:color w:val="auto"/>
              </w:rPr>
              <w:t>(in thousands)</w:t>
            </w:r>
          </w:p>
        </w:tc>
        <w:tc>
          <w:tcPr>
            <w:tcW w:w="4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2022</w:t>
            </w:r>
          </w:p>
        </w:tc>
      </w:tr>
      <w:tr>
        <w:trPr>
          <w:trHeight w:val="143"/>
        </w:trPr>
        <w:tc>
          <w:tcPr>
            <w:tcW w:w="260" w:type="dxa"/>
            <w:vAlign w:val="bottom"/>
          </w:tcPr>
          <w:p>
            <w:pPr>
              <w:spacing w:after="0"/>
              <w:rPr>
                <w:sz w:val="12"/>
                <w:szCs w:val="12"/>
                <w:color w:val="auto"/>
              </w:rPr>
            </w:pPr>
          </w:p>
        </w:tc>
        <w:tc>
          <w:tcPr>
            <w:tcW w:w="884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Amounts due in:</w:t>
            </w: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55"/>
        </w:trPr>
        <w:tc>
          <w:tcPr>
            <w:tcW w:w="2440" w:type="dxa"/>
            <w:vAlign w:val="bottom"/>
            <w:gridSpan w:val="2"/>
          </w:tcPr>
          <w:p>
            <w:pPr>
              <w:ind w:left="280"/>
              <w:spacing w:after="0"/>
              <w:rPr>
                <w:sz w:val="20"/>
                <w:szCs w:val="20"/>
                <w:color w:val="auto"/>
              </w:rPr>
            </w:pPr>
            <w:r>
              <w:rPr>
                <w:rFonts w:ascii="Arial" w:cs="Arial" w:eastAsia="Arial" w:hAnsi="Arial"/>
                <w:sz w:val="11"/>
                <w:szCs w:val="11"/>
                <w:color w:val="auto"/>
              </w:rPr>
              <w:t>2023</w:t>
            </w:r>
          </w:p>
        </w:tc>
        <w:tc>
          <w:tcPr>
            <w:tcW w:w="666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1"/>
                <w:szCs w:val="11"/>
                <w:b w:val="1"/>
                <w:bCs w:val="1"/>
                <w:color w:val="auto"/>
              </w:rPr>
              <w:t>1,0</w:t>
            </w:r>
          </w:p>
        </w:tc>
      </w:tr>
      <w:tr>
        <w:trPr>
          <w:trHeight w:val="163"/>
        </w:trPr>
        <w:tc>
          <w:tcPr>
            <w:tcW w:w="260" w:type="dxa"/>
            <w:vAlign w:val="bottom"/>
          </w:tcPr>
          <w:p>
            <w:pPr>
              <w:spacing w:after="0"/>
              <w:rPr>
                <w:sz w:val="14"/>
                <w:szCs w:val="14"/>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2024</w:t>
            </w:r>
          </w:p>
        </w:tc>
        <w:tc>
          <w:tcPr>
            <w:tcW w:w="6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w:t>
            </w:r>
          </w:p>
        </w:tc>
      </w:tr>
      <w:tr>
        <w:trPr>
          <w:trHeight w:val="155"/>
        </w:trPr>
        <w:tc>
          <w:tcPr>
            <w:tcW w:w="2440" w:type="dxa"/>
            <w:vAlign w:val="bottom"/>
            <w:gridSpan w:val="2"/>
          </w:tcPr>
          <w:p>
            <w:pPr>
              <w:ind w:left="280"/>
              <w:spacing w:after="0"/>
              <w:rPr>
                <w:sz w:val="20"/>
                <w:szCs w:val="20"/>
                <w:color w:val="auto"/>
              </w:rPr>
            </w:pPr>
            <w:r>
              <w:rPr>
                <w:rFonts w:ascii="Arial" w:cs="Arial" w:eastAsia="Arial" w:hAnsi="Arial"/>
                <w:sz w:val="11"/>
                <w:szCs w:val="11"/>
                <w:color w:val="auto"/>
              </w:rPr>
              <w:t>2025</w:t>
            </w:r>
          </w:p>
        </w:tc>
        <w:tc>
          <w:tcPr>
            <w:tcW w:w="6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b w:val="1"/>
                <w:bCs w:val="1"/>
                <w:color w:val="auto"/>
              </w:rPr>
              <w:t>2</w:t>
            </w:r>
          </w:p>
        </w:tc>
      </w:tr>
      <w:tr>
        <w:trPr>
          <w:trHeight w:val="163"/>
        </w:trPr>
        <w:tc>
          <w:tcPr>
            <w:tcW w:w="260" w:type="dxa"/>
            <w:vAlign w:val="bottom"/>
          </w:tcPr>
          <w:p>
            <w:pPr>
              <w:spacing w:after="0"/>
              <w:rPr>
                <w:sz w:val="14"/>
                <w:szCs w:val="14"/>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6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w:t>
            </w:r>
          </w:p>
        </w:tc>
      </w:tr>
      <w:tr>
        <w:trPr>
          <w:trHeight w:val="155"/>
        </w:trPr>
        <w:tc>
          <w:tcPr>
            <w:tcW w:w="260" w:type="dxa"/>
            <w:vAlign w:val="bottom"/>
          </w:tcPr>
          <w:p>
            <w:pPr>
              <w:spacing w:after="0"/>
              <w:rPr>
                <w:sz w:val="13"/>
                <w:szCs w:val="13"/>
                <w:color w:val="auto"/>
              </w:rPr>
            </w:pPr>
          </w:p>
        </w:tc>
        <w:tc>
          <w:tcPr>
            <w:tcW w:w="884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2027 and thereafter</w:t>
            </w:r>
          </w:p>
        </w:tc>
        <w:tc>
          <w:tcPr>
            <w:tcW w:w="4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r>
      <w:tr>
        <w:trPr>
          <w:trHeight w:val="154"/>
        </w:trPr>
        <w:tc>
          <w:tcPr>
            <w:tcW w:w="260" w:type="dxa"/>
            <w:vAlign w:val="bottom"/>
          </w:tcPr>
          <w:p>
            <w:pPr>
              <w:spacing w:after="0"/>
              <w:rPr>
                <w:sz w:val="13"/>
                <w:szCs w:val="13"/>
                <w:color w:val="auto"/>
              </w:rPr>
            </w:pPr>
          </w:p>
        </w:tc>
        <w:tc>
          <w:tcPr>
            <w:tcW w:w="88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Total future lease payments</w:t>
            </w: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2,4</w:t>
            </w:r>
          </w:p>
        </w:tc>
      </w:tr>
      <w:tr>
        <w:trPr>
          <w:trHeight w:val="155"/>
        </w:trPr>
        <w:tc>
          <w:tcPr>
            <w:tcW w:w="260" w:type="dxa"/>
            <w:vAlign w:val="bottom"/>
          </w:tcPr>
          <w:p>
            <w:pPr>
              <w:spacing w:after="0"/>
              <w:rPr>
                <w:sz w:val="13"/>
                <w:szCs w:val="13"/>
                <w:color w:val="auto"/>
              </w:rPr>
            </w:pPr>
          </w:p>
        </w:tc>
        <w:tc>
          <w:tcPr>
            <w:tcW w:w="884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Discount of cash flows</w:t>
            </w:r>
          </w:p>
        </w:tc>
        <w:tc>
          <w:tcPr>
            <w:tcW w:w="4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74"/>
        </w:trPr>
        <w:tc>
          <w:tcPr>
            <w:tcW w:w="260" w:type="dxa"/>
            <w:vAlign w:val="bottom"/>
          </w:tcPr>
          <w:p>
            <w:pPr>
              <w:spacing w:after="0"/>
              <w:rPr>
                <w:sz w:val="15"/>
                <w:szCs w:val="15"/>
                <w:color w:val="auto"/>
              </w:rPr>
            </w:pPr>
          </w:p>
        </w:tc>
        <w:tc>
          <w:tcPr>
            <w:tcW w:w="88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Present value of net future lease payments</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2,3</w:t>
            </w:r>
          </w:p>
        </w:tc>
      </w:tr>
      <w:tr>
        <w:trPr>
          <w:trHeight w:val="20"/>
        </w:trPr>
        <w:tc>
          <w:tcPr>
            <w:tcW w:w="260" w:type="dxa"/>
            <w:vAlign w:val="bottom"/>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Operating lease and rent expense were $1.3 million and $1.2 million for the years ended December 31, 2022 and 2021,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Derivative Financial Instruments</w:t>
      </w:r>
    </w:p>
    <w:p>
      <w:pPr>
        <w:spacing w:after="0" w:line="197" w:lineRule="exact"/>
        <w:rPr>
          <w:sz w:val="20"/>
          <w:szCs w:val="20"/>
          <w:color w:val="auto"/>
        </w:rPr>
      </w:pPr>
    </w:p>
    <w:p>
      <w:pPr>
        <w:jc w:val="both"/>
        <w:ind w:right="80" w:firstLine="255"/>
        <w:spacing w:after="0" w:line="255" w:lineRule="auto"/>
        <w:rPr>
          <w:sz w:val="20"/>
          <w:szCs w:val="20"/>
          <w:color w:val="auto"/>
        </w:rPr>
      </w:pPr>
      <w:r>
        <w:rPr>
          <w:rFonts w:ascii="Arial" w:cs="Arial" w:eastAsia="Arial" w:hAnsi="Arial"/>
          <w:sz w:val="14"/>
          <w:szCs w:val="14"/>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best-efforts contracts are not readily ascertainable with precision because they are not actively traded in stand -alone markets. The Company determines the fair value of rate lock commitments and delivery contracts by measuring the fair value of the underlying asset, which is impacted by current interest rates and takes into consideration the probability that the rate lock commitments will close or will be funded.</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reports the commitment and fair value amounts on the outstanding derivatives:</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55"/>
        </w:trPr>
        <w:tc>
          <w:tcPr>
            <w:tcW w:w="778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200" w:type="dxa"/>
            <w:vAlign w:val="bottom"/>
          </w:tcPr>
          <w:p>
            <w:pPr>
              <w:spacing w:after="0"/>
              <w:rPr>
                <w:sz w:val="13"/>
                <w:szCs w:val="13"/>
                <w:color w:val="auto"/>
              </w:rPr>
            </w:pPr>
          </w:p>
        </w:tc>
        <w:tc>
          <w:tcPr>
            <w:tcW w:w="1580" w:type="dxa"/>
            <w:vAlign w:val="bottom"/>
            <w:gridSpan w:val="2"/>
          </w:tcPr>
          <w:p>
            <w:pPr>
              <w:ind w:left="120"/>
              <w:spacing w:after="0"/>
              <w:rPr>
                <w:sz w:val="20"/>
                <w:szCs w:val="20"/>
                <w:color w:val="auto"/>
              </w:rPr>
            </w:pPr>
            <w:r>
              <w:rPr>
                <w:rFonts w:ascii="Arial" w:cs="Arial" w:eastAsia="Arial" w:hAnsi="Arial"/>
                <w:sz w:val="11"/>
                <w:szCs w:val="11"/>
                <w:b w:val="1"/>
                <w:bCs w:val="1"/>
                <w:color w:val="auto"/>
              </w:rPr>
              <w:t>December 31, 2022</w:t>
            </w:r>
          </w:p>
        </w:tc>
        <w:tc>
          <w:tcPr>
            <w:tcW w:w="220" w:type="dxa"/>
            <w:vAlign w:val="bottom"/>
          </w:tcPr>
          <w:p>
            <w:pPr>
              <w:spacing w:after="0"/>
              <w:rPr>
                <w:sz w:val="13"/>
                <w:szCs w:val="13"/>
                <w:color w:val="auto"/>
              </w:rPr>
            </w:pPr>
          </w:p>
        </w:tc>
        <w:tc>
          <w:tcPr>
            <w:tcW w:w="1320" w:type="dxa"/>
            <w:vAlign w:val="bottom"/>
          </w:tcPr>
          <w:p>
            <w:pPr>
              <w:jc w:val="right"/>
              <w:ind w:right="123"/>
              <w:spacing w:after="0"/>
              <w:rPr>
                <w:sz w:val="20"/>
                <w:szCs w:val="20"/>
                <w:color w:val="auto"/>
              </w:rPr>
            </w:pPr>
            <w:r>
              <w:rPr>
                <w:rFonts w:ascii="Arial" w:cs="Arial" w:eastAsia="Arial" w:hAnsi="Arial"/>
                <w:sz w:val="11"/>
                <w:szCs w:val="11"/>
                <w:b w:val="1"/>
                <w:bCs w:val="1"/>
                <w:color w:val="auto"/>
              </w:rPr>
              <w:t>December 31, 2021</w:t>
            </w:r>
          </w:p>
        </w:tc>
      </w:tr>
      <w:tr>
        <w:trPr>
          <w:trHeight w:val="154"/>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Notional amount of open forward sales agreements</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1,750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22,5</w:t>
            </w:r>
          </w:p>
        </w:tc>
      </w:tr>
      <w:tr>
        <w:trPr>
          <w:trHeight w:val="155"/>
        </w:trPr>
        <w:tc>
          <w:tcPr>
            <w:tcW w:w="7780" w:type="dxa"/>
            <w:vAlign w:val="bottom"/>
          </w:tcPr>
          <w:p>
            <w:pPr>
              <w:ind w:left="20"/>
              <w:spacing w:after="0"/>
              <w:rPr>
                <w:sz w:val="20"/>
                <w:szCs w:val="20"/>
                <w:color w:val="auto"/>
              </w:rPr>
            </w:pPr>
            <w:r>
              <w:rPr>
                <w:rFonts w:ascii="Arial" w:cs="Arial" w:eastAsia="Arial" w:hAnsi="Arial"/>
                <w:sz w:val="11"/>
                <w:szCs w:val="11"/>
                <w:color w:val="auto"/>
              </w:rPr>
              <w:t>Fair value of open forward delivery sales agreements</w:t>
            </w:r>
          </w:p>
        </w:tc>
        <w:tc>
          <w:tcPr>
            <w:tcW w:w="2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b w:val="1"/>
                <w:bCs w:val="1"/>
                <w:color w:val="auto"/>
              </w:rPr>
              <w:t>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3"/>
        </w:trPr>
        <w:tc>
          <w:tcPr>
            <w:tcW w:w="7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Notional amount of interest rate lock commitments</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w:t>
            </w:r>
          </w:p>
        </w:tc>
      </w:tr>
      <w:tr>
        <w:trPr>
          <w:trHeight w:val="151"/>
        </w:trPr>
        <w:tc>
          <w:tcPr>
            <w:tcW w:w="7780" w:type="dxa"/>
            <w:vAlign w:val="bottom"/>
          </w:tcPr>
          <w:p>
            <w:pPr>
              <w:ind w:left="20"/>
              <w:spacing w:after="0"/>
              <w:rPr>
                <w:sz w:val="20"/>
                <w:szCs w:val="20"/>
                <w:color w:val="auto"/>
              </w:rPr>
            </w:pPr>
            <w:r>
              <w:rPr>
                <w:rFonts w:ascii="Arial" w:cs="Arial" w:eastAsia="Arial" w:hAnsi="Arial"/>
                <w:sz w:val="11"/>
                <w:szCs w:val="11"/>
                <w:color w:val="auto"/>
              </w:rPr>
              <w:t>Fair value of interest rate lock commitments</w:t>
            </w:r>
          </w:p>
        </w:tc>
        <w:tc>
          <w:tcPr>
            <w:tcW w:w="2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41" w:right="239" w:bottom="1440" w:gutter="0" w:footer="0" w:header="0"/>
        </w:sectPr>
      </w:pPr>
    </w:p>
    <w:bookmarkStart w:id="85" w:name="page86"/>
    <w:bookmarkEnd w:id="85"/>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Interest-Bearing Deposits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Major categories of interest-bearing deposits are as follows:</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724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r>
      <w:tr>
        <w:trPr>
          <w:trHeight w:val="162"/>
        </w:trPr>
        <w:tc>
          <w:tcPr>
            <w:tcW w:w="7240" w:type="dxa"/>
            <w:vAlign w:val="bottom"/>
          </w:tcPr>
          <w:p>
            <w:pPr>
              <w:ind w:left="20"/>
              <w:spacing w:after="0"/>
              <w:rPr>
                <w:sz w:val="20"/>
                <w:szCs w:val="20"/>
                <w:color w:val="auto"/>
              </w:rPr>
            </w:pPr>
            <w:r>
              <w:rPr>
                <w:rFonts w:ascii="Arial" w:cs="Arial" w:eastAsia="Arial" w:hAnsi="Arial"/>
                <w:sz w:val="13"/>
                <w:szCs w:val="13"/>
                <w:color w:val="auto"/>
              </w:rPr>
              <w:t>Interest-bearing demand accounts</w:t>
            </w:r>
          </w:p>
        </w:tc>
        <w:tc>
          <w:tcPr>
            <w:tcW w:w="440" w:type="dxa"/>
            <w:vAlign w:val="bottom"/>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207,836</w:t>
            </w:r>
          </w:p>
        </w:tc>
        <w:tc>
          <w:tcPr>
            <w:tcW w:w="180" w:type="dxa"/>
            <w:vAlign w:val="bottom"/>
          </w:tcPr>
          <w:p>
            <w:pPr>
              <w:spacing w:after="0"/>
              <w:rPr>
                <w:sz w:val="14"/>
                <w:szCs w:val="14"/>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330,9</w:t>
            </w:r>
          </w:p>
        </w:tc>
      </w:tr>
      <w:tr>
        <w:trPr>
          <w:trHeight w:val="170"/>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accounts</w:t>
            </w: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574,978</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493,9</w:t>
            </w:r>
          </w:p>
        </w:tc>
      </w:tr>
      <w:tr>
        <w:trPr>
          <w:trHeight w:val="169"/>
        </w:trPr>
        <w:tc>
          <w:tcPr>
            <w:tcW w:w="7240" w:type="dxa"/>
            <w:vAlign w:val="bottom"/>
          </w:tcPr>
          <w:p>
            <w:pPr>
              <w:ind w:left="20"/>
              <w:spacing w:after="0"/>
              <w:rPr>
                <w:sz w:val="20"/>
                <w:szCs w:val="20"/>
                <w:color w:val="auto"/>
              </w:rPr>
            </w:pPr>
            <w:r>
              <w:rPr>
                <w:rFonts w:ascii="Arial" w:cs="Arial" w:eastAsia="Arial" w:hAnsi="Arial"/>
                <w:sz w:val="13"/>
                <w:szCs w:val="13"/>
                <w:color w:val="auto"/>
              </w:rPr>
              <w:t>Savings</w:t>
            </w:r>
          </w:p>
        </w:tc>
        <w:tc>
          <w:tcPr>
            <w:tcW w:w="4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7,530</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70"/>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Certificates of deposit of $250,000 or more</w:t>
            </w: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96,291</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w:t>
            </w:r>
          </w:p>
        </w:tc>
      </w:tr>
      <w:tr>
        <w:trPr>
          <w:trHeight w:val="16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time deposits</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197,124</w:t>
            </w: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68,8</w:t>
            </w:r>
          </w:p>
        </w:tc>
      </w:tr>
      <w:tr>
        <w:trPr>
          <w:trHeight w:val="186"/>
        </w:trPr>
        <w:tc>
          <w:tcPr>
            <w:tcW w:w="7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Interest-bearing deposits</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1,083,759</w:t>
            </w: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had $131.1 million in brokered deposits at December 31, 2022 compared to none at December 31, 2021.</w:t>
      </w:r>
    </w:p>
    <w:p>
      <w:pPr>
        <w:spacing w:after="0" w:line="170" w:lineRule="exact"/>
        <w:rPr>
          <w:sz w:val="20"/>
          <w:szCs w:val="20"/>
          <w:color w:val="auto"/>
        </w:rPr>
      </w:pPr>
    </w:p>
    <w:p>
      <w:pPr>
        <w:ind w:right="80" w:firstLine="255"/>
        <w:spacing w:after="0" w:line="226" w:lineRule="auto"/>
        <w:rPr>
          <w:sz w:val="20"/>
          <w:szCs w:val="20"/>
          <w:color w:val="auto"/>
        </w:rPr>
      </w:pPr>
      <w:r>
        <w:rPr>
          <w:rFonts w:ascii="Arial" w:cs="Arial" w:eastAsia="Arial" w:hAnsi="Arial"/>
          <w:sz w:val="14"/>
          <w:szCs w:val="14"/>
          <w:color w:val="auto"/>
        </w:rPr>
        <w:t>Deposits securing our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card lines of credit and deposits from title companies represent the largest concentrations in the deposit portfolio. As of December 31, 2022, these concentrations represent 11% and 13% of deposits, respectively. As of December 31, 2021, these deposits represented 13% and 18% of deposits, respectively.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Certificates of deposit, as of December 31, 2022, mature as follows:</w:t>
      </w:r>
    </w:p>
    <w:p>
      <w:pPr>
        <w:spacing w:after="0" w:line="200" w:lineRule="exact"/>
        <w:rPr>
          <w:sz w:val="20"/>
          <w:szCs w:val="20"/>
          <w:color w:val="auto"/>
        </w:rPr>
      </w:pPr>
    </w:p>
    <w:tbl>
      <w:tblPr>
        <w:tblLayout w:type="fixed"/>
        <w:tblInd w:w="260" w:type="dxa"/>
        <w:tblCellMar>
          <w:top w:w="0" w:type="dxa"/>
          <w:left w:w="0" w:type="dxa"/>
          <w:bottom w:w="0" w:type="dxa"/>
          <w:right w:w="0" w:type="dxa"/>
        </w:tblCellMar>
      </w:tblPr>
      <w:tr>
        <w:trPr>
          <w:trHeight w:val="118"/>
        </w:trPr>
        <w:tc>
          <w:tcPr>
            <w:tcW w:w="960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79"/>
        </w:trPr>
        <w:tc>
          <w:tcPr>
            <w:tcW w:w="9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62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181,4</w:t>
            </w:r>
          </w:p>
        </w:tc>
      </w:tr>
      <w:tr>
        <w:trPr>
          <w:trHeight w:val="169"/>
        </w:trPr>
        <w:tc>
          <w:tcPr>
            <w:tcW w:w="9600" w:type="dxa"/>
            <w:vAlign w:val="bottom"/>
          </w:tcPr>
          <w:p>
            <w:pPr>
              <w:ind w:left="20"/>
              <w:spacing w:after="0"/>
              <w:rPr>
                <w:sz w:val="20"/>
                <w:szCs w:val="20"/>
                <w:color w:val="auto"/>
              </w:rPr>
            </w:pPr>
            <w:r>
              <w:rPr>
                <w:rFonts w:ascii="Arial" w:cs="Arial" w:eastAsia="Arial" w:hAnsi="Arial"/>
                <w:sz w:val="13"/>
                <w:szCs w:val="13"/>
                <w:color w:val="auto"/>
              </w:rPr>
              <w:t>2024</w:t>
            </w: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59,1</w:t>
            </w:r>
          </w:p>
        </w:tc>
      </w:tr>
      <w:tr>
        <w:trPr>
          <w:trHeight w:val="170"/>
        </w:trPr>
        <w:tc>
          <w:tcPr>
            <w:tcW w:w="9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51,3</w:t>
            </w:r>
          </w:p>
        </w:tc>
      </w:tr>
      <w:tr>
        <w:trPr>
          <w:trHeight w:val="169"/>
        </w:trPr>
        <w:tc>
          <w:tcPr>
            <w:tcW w:w="9600" w:type="dxa"/>
            <w:vAlign w:val="bottom"/>
          </w:tcPr>
          <w:p>
            <w:pPr>
              <w:ind w:left="20"/>
              <w:spacing w:after="0"/>
              <w:rPr>
                <w:sz w:val="20"/>
                <w:szCs w:val="20"/>
                <w:color w:val="auto"/>
              </w:rPr>
            </w:pPr>
            <w:r>
              <w:rPr>
                <w:rFonts w:ascii="Arial" w:cs="Arial" w:eastAsia="Arial" w:hAnsi="Arial"/>
                <w:sz w:val="13"/>
                <w:szCs w:val="13"/>
                <w:color w:val="auto"/>
              </w:rPr>
              <w:t>2026</w:t>
            </w: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w:t>
            </w:r>
          </w:p>
        </w:tc>
      </w:tr>
      <w:tr>
        <w:trPr>
          <w:trHeight w:val="170"/>
        </w:trPr>
        <w:tc>
          <w:tcPr>
            <w:tcW w:w="9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 and thereafter</w:t>
            </w:r>
          </w:p>
        </w:tc>
        <w:tc>
          <w:tcPr>
            <w:tcW w:w="6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w:t>
            </w:r>
          </w:p>
        </w:tc>
      </w:tr>
      <w:tr>
        <w:trPr>
          <w:trHeight w:val="161"/>
        </w:trPr>
        <w:tc>
          <w:tcPr>
            <w:tcW w:w="9600" w:type="dxa"/>
            <w:vAlign w:val="bottom"/>
          </w:tcPr>
          <w:p>
            <w:pPr>
              <w:ind w:left="100"/>
              <w:spacing w:after="0"/>
              <w:rPr>
                <w:sz w:val="20"/>
                <w:szCs w:val="20"/>
                <w:color w:val="auto"/>
              </w:rPr>
            </w:pPr>
            <w:r>
              <w:rPr>
                <w:rFonts w:ascii="Arial" w:cs="Arial" w:eastAsia="Arial" w:hAnsi="Arial"/>
                <w:sz w:val="13"/>
                <w:szCs w:val="13"/>
                <w:color w:val="auto"/>
              </w:rPr>
              <w:t>Total</w:t>
            </w:r>
          </w:p>
        </w:tc>
        <w:tc>
          <w:tcPr>
            <w:tcW w:w="6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293,4</w:t>
            </w:r>
          </w:p>
        </w:tc>
      </w:tr>
      <w:tr>
        <w:trPr>
          <w:trHeight w:val="20"/>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Borrowed Funds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December 31, 2022 and 2021, the Company was indebted as follows:</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55"/>
        </w:trPr>
        <w:tc>
          <w:tcPr>
            <w:tcW w:w="59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743"/>
              <w:spacing w:after="0"/>
              <w:rPr>
                <w:sz w:val="20"/>
                <w:szCs w:val="20"/>
                <w:color w:val="auto"/>
              </w:rPr>
            </w:pPr>
            <w:r>
              <w:rPr>
                <w:rFonts w:ascii="Arial" w:cs="Arial" w:eastAsia="Arial" w:hAnsi="Arial"/>
                <w:sz w:val="11"/>
                <w:szCs w:val="11"/>
                <w:b w:val="1"/>
                <w:bCs w:val="1"/>
                <w:color w:val="auto"/>
              </w:rPr>
              <w:t>2022</w:t>
            </w:r>
          </w:p>
        </w:tc>
        <w:tc>
          <w:tcPr>
            <w:tcW w:w="3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2021</w:t>
            </w:r>
          </w:p>
        </w:tc>
        <w:tc>
          <w:tcPr>
            <w:tcW w:w="760" w:type="dxa"/>
            <w:vAlign w:val="bottom"/>
            <w:tcBorders>
              <w:bottom w:val="single" w:sz="8" w:color="auto"/>
            </w:tcBorders>
          </w:tcPr>
          <w:p>
            <w:pPr>
              <w:spacing w:after="0"/>
              <w:rPr>
                <w:sz w:val="13"/>
                <w:szCs w:val="13"/>
                <w:color w:val="auto"/>
              </w:rPr>
            </w:pPr>
          </w:p>
        </w:tc>
      </w:tr>
      <w:tr>
        <w:trPr>
          <w:trHeight w:val="150"/>
        </w:trPr>
        <w:tc>
          <w:tcPr>
            <w:tcW w:w="5900" w:type="dxa"/>
            <w:vAlign w:val="bottom"/>
          </w:tcPr>
          <w:p>
            <w:pPr>
              <w:ind w:left="20"/>
              <w:spacing w:after="0"/>
              <w:rPr>
                <w:sz w:val="20"/>
                <w:szCs w:val="20"/>
                <w:color w:val="auto"/>
              </w:rPr>
            </w:pPr>
            <w:r>
              <w:rPr>
                <w:rFonts w:ascii="Arial" w:cs="Arial" w:eastAsia="Arial" w:hAnsi="Arial"/>
                <w:sz w:val="8"/>
                <w:szCs w:val="8"/>
                <w:i w:val="1"/>
                <w:iCs w:val="1"/>
                <w:color w:val="auto"/>
              </w:rPr>
              <w:t>(dollars in thousands)</w:t>
            </w:r>
          </w:p>
        </w:tc>
        <w:tc>
          <w:tcPr>
            <w:tcW w:w="240" w:type="dxa"/>
            <w:vAlign w:val="bottom"/>
          </w:tcPr>
          <w:p>
            <w:pPr>
              <w:spacing w:after="0"/>
              <w:rPr>
                <w:sz w:val="13"/>
                <w:szCs w:val="13"/>
                <w:color w:val="auto"/>
              </w:rPr>
            </w:pPr>
          </w:p>
        </w:tc>
        <w:tc>
          <w:tcPr>
            <w:tcW w:w="920" w:type="dxa"/>
            <w:vAlign w:val="bottom"/>
          </w:tcPr>
          <w:p>
            <w:pPr>
              <w:jc w:val="right"/>
              <w:ind w:right="283"/>
              <w:spacing w:after="0"/>
              <w:rPr>
                <w:sz w:val="20"/>
                <w:szCs w:val="20"/>
                <w:color w:val="auto"/>
              </w:rPr>
            </w:pPr>
            <w:r>
              <w:rPr>
                <w:rFonts w:ascii="Arial" w:cs="Arial" w:eastAsia="Arial" w:hAnsi="Arial"/>
                <w:sz w:val="11"/>
                <w:szCs w:val="11"/>
                <w:b w:val="1"/>
                <w:bCs w:val="1"/>
                <w:color w:val="auto"/>
              </w:rPr>
              <w:t>Balance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Interest</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jc w:val="right"/>
              <w:ind w:right="760"/>
              <w:spacing w:after="0"/>
              <w:rPr>
                <w:sz w:val="20"/>
                <w:szCs w:val="20"/>
                <w:color w:val="auto"/>
              </w:rPr>
            </w:pPr>
            <w:r>
              <w:rPr>
                <w:rFonts w:ascii="Arial" w:cs="Arial" w:eastAsia="Arial" w:hAnsi="Arial"/>
                <w:sz w:val="11"/>
                <w:szCs w:val="11"/>
                <w:color w:val="auto"/>
              </w:rPr>
              <w:t>Balance</w:t>
            </w:r>
          </w:p>
        </w:tc>
        <w:tc>
          <w:tcPr>
            <w:tcW w:w="760" w:type="dxa"/>
            <w:vAlign w:val="bottom"/>
          </w:tcPr>
          <w:p>
            <w:pPr>
              <w:jc w:val="right"/>
              <w:ind w:right="143"/>
              <w:spacing w:after="0"/>
              <w:rPr>
                <w:sz w:val="20"/>
                <w:szCs w:val="20"/>
                <w:color w:val="auto"/>
              </w:rPr>
            </w:pPr>
            <w:r>
              <w:rPr>
                <w:rFonts w:ascii="Arial" w:cs="Arial" w:eastAsia="Arial" w:hAnsi="Arial"/>
                <w:sz w:val="11"/>
                <w:szCs w:val="11"/>
                <w:color w:val="auto"/>
              </w:rPr>
              <w:t>Interest</w:t>
            </w:r>
          </w:p>
        </w:tc>
      </w:tr>
      <w:tr>
        <w:trPr>
          <w:trHeight w:val="154"/>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FHLB fixed rate advance due October 16, 2025</w:t>
            </w: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22,000</w:t>
            </w:r>
          </w:p>
        </w:tc>
        <w:tc>
          <w:tcPr>
            <w:tcW w:w="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w w:val="99"/>
              </w:rPr>
              <w:t>0.93 %</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22,000</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0.93</w:t>
            </w:r>
          </w:p>
        </w:tc>
      </w:tr>
      <w:tr>
        <w:trPr>
          <w:trHeight w:val="155"/>
        </w:trPr>
        <w:tc>
          <w:tcPr>
            <w:tcW w:w="5900" w:type="dxa"/>
            <w:vAlign w:val="bottom"/>
          </w:tcPr>
          <w:p>
            <w:pPr>
              <w:ind w:left="20"/>
              <w:spacing w:after="0"/>
              <w:rPr>
                <w:sz w:val="20"/>
                <w:szCs w:val="20"/>
                <w:color w:val="auto"/>
              </w:rPr>
            </w:pPr>
            <w:r>
              <w:rPr>
                <w:rFonts w:ascii="Arial" w:cs="Arial" w:eastAsia="Arial" w:hAnsi="Arial"/>
                <w:sz w:val="11"/>
                <w:szCs w:val="11"/>
                <w:color w:val="auto"/>
              </w:rPr>
              <w:t>FHLB fixed rate advance due March 20, 2023</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50,000</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4.42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5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FHLB daily rate advance due September 13, 2023</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35,000</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4.57</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4"/>
        </w:trPr>
        <w:tc>
          <w:tcPr>
            <w:tcW w:w="5900" w:type="dxa"/>
            <w:vAlign w:val="bottom"/>
          </w:tcPr>
          <w:p>
            <w:pPr>
              <w:ind w:left="260"/>
              <w:spacing w:after="0"/>
              <w:rPr>
                <w:sz w:val="20"/>
                <w:szCs w:val="20"/>
                <w:color w:val="auto"/>
              </w:rPr>
            </w:pPr>
            <w:r>
              <w:rPr>
                <w:rFonts w:ascii="Arial" w:cs="Arial" w:eastAsia="Arial" w:hAnsi="Arial"/>
                <w:sz w:val="11"/>
                <w:szCs w:val="11"/>
                <w:color w:val="auto"/>
              </w:rPr>
              <w:t>Total - FHLB advances</w:t>
            </w: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107,000</w:t>
            </w: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w w:val="99"/>
              </w:rPr>
              <w:t>3.75 %</w:t>
            </w: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22,000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0.93</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r>
      <w:tr>
        <w:trPr>
          <w:trHeight w:val="131"/>
        </w:trPr>
        <w:tc>
          <w:tcPr>
            <w:tcW w:w="5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5"/>
        </w:trPr>
        <w:tc>
          <w:tcPr>
            <w:tcW w:w="5900" w:type="dxa"/>
            <w:vAlign w:val="bottom"/>
          </w:tcPr>
          <w:p>
            <w:pPr>
              <w:ind w:left="20"/>
              <w:spacing w:after="0"/>
              <w:rPr>
                <w:sz w:val="20"/>
                <w:szCs w:val="20"/>
                <w:color w:val="auto"/>
              </w:rPr>
            </w:pPr>
            <w:r>
              <w:rPr>
                <w:rFonts w:ascii="Arial" w:cs="Arial" w:eastAsia="Arial" w:hAnsi="Arial"/>
                <w:sz w:val="11"/>
                <w:szCs w:val="11"/>
                <w:color w:val="auto"/>
              </w:rPr>
              <w:t>Junior subordinated debentures due June 15, 2036</w:t>
            </w: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2,062</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w w:val="99"/>
              </w:rPr>
              <w:t>6.64 %</w:t>
            </w:r>
          </w:p>
        </w:tc>
        <w:tc>
          <w:tcPr>
            <w:tcW w:w="26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2,062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2.07</w:t>
            </w:r>
          </w:p>
        </w:tc>
      </w:tr>
      <w:tr>
        <w:trPr>
          <w:trHeight w:val="159"/>
        </w:trPr>
        <w:tc>
          <w:tcPr>
            <w:tcW w:w="5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subordinated notes due November 30, 2030</w:t>
            </w:r>
          </w:p>
        </w:tc>
        <w:tc>
          <w:tcPr>
            <w:tcW w:w="2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10,000</w:t>
            </w:r>
          </w:p>
        </w:tc>
        <w:tc>
          <w:tcPr>
            <w:tcW w:w="4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5.00</w:t>
            </w:r>
          </w:p>
        </w:tc>
        <w:tc>
          <w:tcPr>
            <w:tcW w:w="2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10,000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w:t>
            </w:r>
          </w:p>
        </w:tc>
      </w:tr>
      <w:tr>
        <w:trPr>
          <w:trHeight w:val="154"/>
        </w:trPr>
        <w:tc>
          <w:tcPr>
            <w:tcW w:w="5900" w:type="dxa"/>
            <w:vAlign w:val="bottom"/>
          </w:tcPr>
          <w:p>
            <w:pPr>
              <w:ind w:left="260"/>
              <w:spacing w:after="0"/>
              <w:rPr>
                <w:sz w:val="20"/>
                <w:szCs w:val="20"/>
                <w:color w:val="auto"/>
              </w:rPr>
            </w:pPr>
            <w:r>
              <w:rPr>
                <w:rFonts w:ascii="Arial" w:cs="Arial" w:eastAsia="Arial" w:hAnsi="Arial"/>
                <w:sz w:val="11"/>
                <w:szCs w:val="11"/>
                <w:color w:val="auto"/>
              </w:rPr>
              <w:t>Total - Other borrowed funds</w:t>
            </w: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12,062</w:t>
            </w:r>
          </w:p>
        </w:tc>
        <w:tc>
          <w:tcPr>
            <w:tcW w:w="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w w:val="99"/>
              </w:rPr>
              <w:t>5.28 %</w:t>
            </w:r>
          </w:p>
        </w:tc>
        <w:tc>
          <w:tcPr>
            <w:tcW w:w="26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12,062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4.50</w:t>
            </w: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The FHLB fixed rate advances accrue interest on a daily basis and are paid semi-annually.</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Junior subordinated debentures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June 2006, the Company formed Capital Bancorp (MD) Statutory Trust I (the “Trust”) and 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86" w:name="page87"/>
    <w:bookmarkEnd w:id="86"/>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June 15, 2006, the Trust issued 2,000 floating rate capital securities (the “Capital Securities”) with an aggregate liquidation value of $2,000,000 to a third party in a private placement. Concurrent with the issuance of the Capital Securities, the Trust issued trust common securities to the Company in the aggregate liquidation value of $62,000.</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Borrowed Funds (continued)</w:t>
      </w:r>
    </w:p>
    <w:p>
      <w:pPr>
        <w:spacing w:after="0" w:line="19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4"/>
          <w:szCs w:val="14"/>
          <w:color w:val="auto"/>
        </w:rPr>
        <w:t>The proceeds of the issuance of the Capital Securities and trust common securities were invested in the Company’s Floating Rate Junior Subordinated Deferrable Interest Debentures (the “Floating Rate Debentures”). The Floating Rate Debentures for the Trust will mature on June 15, 2036, which may be shortened if certain conditions are met (including the Company having received prior approval of the Board of Governors of the Federal Reserve System and any other required regulatory approvals). These Floating Rate Debentures, which are the only assets of the Trust, are subordinate and junior in right of payment to all present and future senior indebtedness (as defined in the Indenture dated June 15, 2006) of the Company. The Floating Rate Debentures for the Trust accrue interest at a floating rate equal to the three-month LIBOR plus 1.89%, payable quarterly. As of December 31, 2022 and 2021, the rate for the Trust was 6.64% and 2.07%, respectively. The quarterly distributions on the Capital Securities will be paid at the same rate that interest is paid on the Floating Rate Debentures.</w:t>
      </w:r>
    </w:p>
    <w:p>
      <w:pPr>
        <w:spacing w:after="0" w:line="161"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has fully and unconditionally guaranteed the Trust’s obligation under the Capital Securities. The Trust must redeem the Capital Securities when the Floating Rate Debentures are paid at maturity or upon any earlier prepayment of the Floating Rate Debentures. The Floating Rate Debentures may be prepaid if certain events occur, including a change in the tax status or regulatory capital treatment of the Capital Securities, or a change in existing laws that requires the Trust to register as an investment company.</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junior subordinated debentures are treated as Tier 1 capital by the Company, to a limited extent, by the Federal Reserve.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subordinated notes</w:t>
      </w:r>
    </w:p>
    <w:p>
      <w:pPr>
        <w:spacing w:after="0" w:line="193"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On November 30, 2020, the Company issued $10.0 million of subordinated notes. The notes mature on November 30, 2030 and are redeemable in whole or part on November 30, 2025. The notes bear interest at a fixed annual rate of 5.00% for the first five years, then adjust quarterly to an interest rate per annum equal to a benchmark rate, which is expected to be the three-month SOFR, plus 490 basis points. There were related debt issuance costs incurred totaling $50,000 which were fully expensed at the time of issuance. The Company used the proceeds from the offering to redeem the outstanding $13.5 million, 6.95% fixed-to-floating rate subordinated notes issued in November 2015 and called on December 1, 2020.</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Available lines of credit</w:t>
      </w:r>
    </w:p>
    <w:p>
      <w:pPr>
        <w:spacing w:after="0" w:line="19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has available lines of credit of $76.0 million with other correspondent banks. There were no outstanding line of credit balances at December 31, 2022 and December 31, 2021.</w:t>
      </w:r>
    </w:p>
    <w:p>
      <w:pPr>
        <w:spacing w:after="0" w:line="15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may borrow up to 25% of its assets from the FHLB, based on collateral available to pledge to secure the borrowings. Borrowings from the FHLB are secured by a portion of the Company’s loan and/or investment portfolio. As of December 31, 2022 and 2021, the Company had pledged loans providing borrowing capacity of $330.8 million and $205.3 million, respectively. The Company did not have any pledged investment securities to the FHLB at December 31, 2022 or December 31, 2021. As of December 31, 2022 and 2021, the Company had available borrowing capacity, net of advances and amounts pledged for letters of credit, from the FHLB of $223.8 million and $183.3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87" w:name="page88"/>
    <w:bookmarkEnd w:id="87"/>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Borrowed Funds (continued)</w:t>
      </w:r>
    </w:p>
    <w:p>
      <w:pPr>
        <w:spacing w:after="0" w:line="197" w:lineRule="exact"/>
        <w:rPr>
          <w:sz w:val="20"/>
          <w:szCs w:val="20"/>
          <w:color w:val="auto"/>
        </w:rPr>
      </w:pPr>
    </w:p>
    <w:p>
      <w:pPr>
        <w:jc w:val="both"/>
        <w:ind w:right="80" w:firstLine="255"/>
        <w:spacing w:after="0" w:line="259" w:lineRule="auto"/>
        <w:rPr>
          <w:sz w:val="20"/>
          <w:szCs w:val="20"/>
          <w:color w:val="auto"/>
        </w:rPr>
      </w:pPr>
      <w:r>
        <w:rPr>
          <w:rFonts w:ascii="Arial" w:cs="Arial" w:eastAsia="Arial" w:hAnsi="Arial"/>
          <w:sz w:val="14"/>
          <w:szCs w:val="14"/>
          <w:color w:val="auto"/>
        </w:rPr>
        <w:t>As of December 31, 2022 and 2021, the Company had pledged commercial loans to the Federal Reserve Bank of Richmond to secure a borrowing capacity totaling $21.4 million and $15.9 million, respectively, under its discount window program. In addition, the Company had the ability to borrow from the SBA-PPP Liquidity Facility by pledging SBA-PPP loans during 2020 and up through July 30, 2021 after which no new extensions of credit were made under the facility.</w:t>
      </w:r>
    </w:p>
    <w:p>
      <w:pPr>
        <w:spacing w:after="0" w:line="158"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The Company limits its certificate of deposit funding through financial networks to 15% of the Bank’s assets, or approximately $310.5 million and $302.1 million as of December 31, 2022 and 2021, respectively. The Company had $131.8 million outstanding as of December 31, 2022 and zero outstanding as of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Retirement Plans</w:t>
      </w:r>
    </w:p>
    <w:p>
      <w:pPr>
        <w:spacing w:after="0" w:line="197" w:lineRule="exact"/>
        <w:rPr>
          <w:sz w:val="20"/>
          <w:szCs w:val="20"/>
          <w:color w:val="auto"/>
        </w:rPr>
      </w:pPr>
    </w:p>
    <w:p>
      <w:pPr>
        <w:jc w:val="both"/>
        <w:ind w:right="80" w:firstLine="255"/>
        <w:spacing w:after="0" w:line="170" w:lineRule="exact"/>
        <w:rPr>
          <w:sz w:val="20"/>
          <w:szCs w:val="20"/>
          <w:color w:val="auto"/>
        </w:rPr>
      </w:pPr>
      <w:r>
        <w:rPr>
          <w:rFonts w:ascii="Arial" w:cs="Arial" w:eastAsia="Arial" w:hAnsi="Arial"/>
          <w:sz w:val="14"/>
          <w:szCs w:val="14"/>
          <w:color w:val="auto"/>
        </w:rPr>
        <w:t>The Company provides a defined contribution plan qualifying under Section 401(k) of the Internal Revenue Code to eligible employees. The Company contributes 3% of eligible compensation on behalf of all full</w:t>
      </w:r>
      <w:r>
        <w:rPr>
          <w:rFonts w:ascii="MS PGothic" w:cs="MS PGothic" w:eastAsia="MS PGothic" w:hAnsi="MS PGothic"/>
          <w:sz w:val="14"/>
          <w:szCs w:val="14"/>
          <w:color w:val="auto"/>
        </w:rPr>
        <w:t>‑</w:t>
      </w:r>
      <w:r>
        <w:rPr>
          <w:rFonts w:ascii="Arial" w:cs="Arial" w:eastAsia="Arial" w:hAnsi="Arial"/>
          <w:sz w:val="14"/>
          <w:szCs w:val="14"/>
          <w:color w:val="auto"/>
        </w:rPr>
        <w:t>time employees up to limits prescribed by the Internal Revenue Code. The Company’s contribution to the plan was $850 thousand in 2022 and $398 thousand in 2021.</w:t>
      </w:r>
    </w:p>
    <w:p>
      <w:pPr>
        <w:spacing w:after="0" w:line="170" w:lineRule="exact"/>
        <w:rPr>
          <w:sz w:val="20"/>
          <w:szCs w:val="20"/>
          <w:color w:val="auto"/>
        </w:rPr>
      </w:pPr>
    </w:p>
    <w:p>
      <w:pPr>
        <w:jc w:val="both"/>
        <w:ind w:right="80" w:firstLine="255"/>
        <w:spacing w:after="0" w:line="254" w:lineRule="auto"/>
        <w:rPr>
          <w:sz w:val="20"/>
          <w:szCs w:val="20"/>
          <w:color w:val="auto"/>
        </w:rPr>
      </w:pPr>
      <w:r>
        <w:rPr>
          <w:rFonts w:ascii="Arial" w:cs="Arial" w:eastAsia="Arial" w:hAnsi="Arial"/>
          <w:sz w:val="14"/>
          <w:szCs w:val="14"/>
          <w:color w:val="auto"/>
        </w:rPr>
        <w:t>The Bank adopted a Long-Term Incentive Plan (“LTIP”) for executive management members in 2021. The LTIP is in the form of a nonqualified deferred compensation plan and complies with IRC Section 409A as well as related guidance and regulations. The LTIP was introduced in order to align long-term interests of the Bank with the Bank’s key executive management members. Under the LTIP, the CEO is eligible to earn an annual contribution of 20 percent of salary for achieving targeted performance levels while other executive management members are eligible to earn an annual contribution of 15 percent of salary for achieving targeted performance levels. The Compensation Committee may award more for overachievement of the targets, and all targets are set for participants at the beginning of a fiscal year. All participants are subject to the following vesting schedule for any earnings (or losses) on the investment of the contribution: 100 percent vesting following completion of either (i) ten years of service by the applicable executive from the later of the effective date of the LTIP or the executive’s hire date or (ii) ten years of continuous, full-time employment with the Bank by the applicable executive (to include continuous employment prior to the effective date of the LTIP) and retirement, which is defined in the LTIP as the later of a participant’s separation from service or the executive attaining 67 years of age. In the event of a change in control, the LTIP will accelerate vesting. Any executive not fulfilling either vesting requirement will forfeit any employer contributions.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Related-Party Transactions</w:t>
      </w:r>
    </w:p>
    <w:p>
      <w:pPr>
        <w:spacing w:after="0" w:line="197" w:lineRule="exact"/>
        <w:rPr>
          <w:sz w:val="20"/>
          <w:szCs w:val="20"/>
          <w:color w:val="auto"/>
        </w:rPr>
      </w:pPr>
    </w:p>
    <w:p>
      <w:pPr>
        <w:jc w:val="both"/>
        <w:ind w:right="80" w:firstLine="255"/>
        <w:spacing w:after="0" w:line="259" w:lineRule="auto"/>
        <w:rPr>
          <w:sz w:val="20"/>
          <w:szCs w:val="20"/>
          <w:color w:val="auto"/>
        </w:rPr>
      </w:pPr>
      <w:r>
        <w:rPr>
          <w:rFonts w:ascii="Arial" w:cs="Arial" w:eastAsia="Arial" w:hAnsi="Arial"/>
          <w:sz w:val="14"/>
          <w:szCs w:val="14"/>
          <w:color w:val="auto"/>
        </w:rPr>
        <w:t>Certain executive officers and directors of the Company and Bank, and companies with which they are affiliated, are clients of and have banking transactions with the Company in the ordinary course of business. These transactions are conducted on substantially the same terms, including interest rates and collateral, as those prevailing at the time for comparable transactions with persons not related to the Company.</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Activity in related-party loans during 2022 and 2021 is shown below:</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r>
      <w:tr>
        <w:trPr>
          <w:trHeight w:val="163"/>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year</w:t>
            </w: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shd w:val="clear" w:color="auto" w:fill="CCEEFF"/>
          </w:tcPr>
          <w:p>
            <w:pPr>
              <w:jc w:val="center"/>
              <w:ind w:left="916"/>
              <w:spacing w:after="0"/>
              <w:rPr>
                <w:sz w:val="20"/>
                <w:szCs w:val="20"/>
                <w:color w:val="auto"/>
              </w:rPr>
            </w:pPr>
            <w:r>
              <w:rPr>
                <w:rFonts w:ascii="Arial" w:cs="Arial" w:eastAsia="Arial" w:hAnsi="Arial"/>
                <w:sz w:val="13"/>
                <w:szCs w:val="13"/>
                <w:b w:val="1"/>
                <w:bCs w:val="1"/>
                <w:color w:val="auto"/>
                <w:w w:val="95"/>
              </w:rPr>
              <w:t>32,524</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r>
      <w:tr>
        <w:trPr>
          <w:trHeight w:val="169"/>
        </w:trPr>
        <w:tc>
          <w:tcPr>
            <w:tcW w:w="7240" w:type="dxa"/>
            <w:vAlign w:val="bottom"/>
          </w:tcPr>
          <w:p>
            <w:pPr>
              <w:ind w:left="100"/>
              <w:spacing w:after="0"/>
              <w:rPr>
                <w:sz w:val="20"/>
                <w:szCs w:val="20"/>
                <w:color w:val="auto"/>
              </w:rPr>
            </w:pPr>
            <w:r>
              <w:rPr>
                <w:rFonts w:ascii="Arial" w:cs="Arial" w:eastAsia="Arial" w:hAnsi="Arial"/>
                <w:sz w:val="13"/>
                <w:szCs w:val="13"/>
                <w:color w:val="auto"/>
              </w:rPr>
              <w:t>Add: New loans</w:t>
            </w:r>
          </w:p>
        </w:tc>
        <w:tc>
          <w:tcPr>
            <w:tcW w:w="440" w:type="dxa"/>
            <w:vAlign w:val="bottom"/>
          </w:tcPr>
          <w:p>
            <w:pPr>
              <w:spacing w:after="0"/>
              <w:rPr>
                <w:sz w:val="14"/>
                <w:szCs w:val="14"/>
                <w:color w:val="auto"/>
              </w:rPr>
            </w:pPr>
          </w:p>
        </w:tc>
        <w:tc>
          <w:tcPr>
            <w:tcW w:w="1480" w:type="dxa"/>
            <w:vAlign w:val="bottom"/>
          </w:tcPr>
          <w:p>
            <w:pPr>
              <w:jc w:val="center"/>
              <w:ind w:left="916"/>
              <w:spacing w:after="0"/>
              <w:rPr>
                <w:sz w:val="20"/>
                <w:szCs w:val="20"/>
                <w:color w:val="auto"/>
              </w:rPr>
            </w:pPr>
            <w:r>
              <w:rPr>
                <w:rFonts w:ascii="Arial" w:cs="Arial" w:eastAsia="Arial" w:hAnsi="Arial"/>
                <w:sz w:val="13"/>
                <w:szCs w:val="13"/>
                <w:b w:val="1"/>
                <w:bCs w:val="1"/>
                <w:color w:val="auto"/>
                <w:w w:val="95"/>
              </w:rPr>
              <w:t>18,326</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15,7</w:t>
            </w:r>
          </w:p>
        </w:tc>
      </w:tr>
      <w:tr>
        <w:trPr>
          <w:trHeight w:val="170"/>
        </w:trPr>
        <w:tc>
          <w:tcPr>
            <w:tcW w:w="7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Less: Amounts collected</w:t>
            </w:r>
          </w:p>
        </w:tc>
        <w:tc>
          <w:tcPr>
            <w:tcW w:w="4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center"/>
              <w:ind w:left="916"/>
              <w:spacing w:after="0"/>
              <w:rPr>
                <w:sz w:val="20"/>
                <w:szCs w:val="20"/>
                <w:color w:val="auto"/>
              </w:rPr>
            </w:pPr>
            <w:r>
              <w:rPr>
                <w:rFonts w:ascii="Arial" w:cs="Arial" w:eastAsia="Arial" w:hAnsi="Arial"/>
                <w:sz w:val="13"/>
                <w:szCs w:val="13"/>
                <w:b w:val="1"/>
                <w:bCs w:val="1"/>
                <w:color w:val="auto"/>
                <w:w w:val="94"/>
              </w:rPr>
              <w:t>(14,545)</w:t>
            </w:r>
          </w:p>
        </w:tc>
        <w:tc>
          <w:tcPr>
            <w:tcW w:w="1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0"/>
        </w:trPr>
        <w:tc>
          <w:tcPr>
            <w:tcW w:w="7240" w:type="dxa"/>
            <w:vAlign w:val="bottom"/>
          </w:tcPr>
          <w:p>
            <w:pPr>
              <w:ind w:left="20"/>
              <w:spacing w:after="0"/>
              <w:rPr>
                <w:sz w:val="20"/>
                <w:szCs w:val="20"/>
                <w:color w:val="auto"/>
              </w:rPr>
            </w:pPr>
            <w:r>
              <w:rPr>
                <w:rFonts w:ascii="Arial" w:cs="Arial" w:eastAsia="Arial" w:hAnsi="Arial"/>
                <w:sz w:val="13"/>
                <w:szCs w:val="13"/>
                <w:color w:val="auto"/>
              </w:rPr>
              <w:t>Balance at end of year</w:t>
            </w: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80" w:type="dxa"/>
            <w:vAlign w:val="bottom"/>
            <w:tcBorders>
              <w:bottom w:val="single" w:sz="8" w:color="auto"/>
            </w:tcBorders>
          </w:tcPr>
          <w:p>
            <w:pPr>
              <w:jc w:val="center"/>
              <w:ind w:left="916"/>
              <w:spacing w:after="0"/>
              <w:rPr>
                <w:sz w:val="20"/>
                <w:szCs w:val="20"/>
                <w:color w:val="auto"/>
              </w:rPr>
            </w:pPr>
            <w:r>
              <w:rPr>
                <w:rFonts w:ascii="Arial" w:cs="Arial" w:eastAsia="Arial" w:hAnsi="Arial"/>
                <w:sz w:val="13"/>
                <w:szCs w:val="13"/>
                <w:b w:val="1"/>
                <w:bCs w:val="1"/>
                <w:color w:val="auto"/>
                <w:w w:val="95"/>
              </w:rPr>
              <w:t>36,305</w:t>
            </w:r>
          </w:p>
        </w:tc>
        <w:tc>
          <w:tcPr>
            <w:tcW w:w="180" w:type="dxa"/>
            <w:vAlign w:val="bottom"/>
          </w:tcPr>
          <w:p>
            <w:pPr>
              <w:spacing w:after="0"/>
              <w:rPr>
                <w:sz w:val="13"/>
                <w:szCs w:val="13"/>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w:t>
            </w: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88" w:name="page89"/>
    <w:bookmarkEnd w:id="88"/>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Related-Party Transactions (continued)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Deposits from officers and directors and their related interests were $92.0 million at December 31, 2022, and $113.8 million at December 31, 2021.</w:t>
      </w:r>
    </w:p>
    <w:p>
      <w:pPr>
        <w:spacing w:after="0" w:line="179" w:lineRule="exact"/>
        <w:rPr>
          <w:sz w:val="20"/>
          <w:szCs w:val="20"/>
          <w:color w:val="auto"/>
        </w:rPr>
      </w:pPr>
    </w:p>
    <w:p>
      <w:pPr>
        <w:ind w:right="80" w:firstLine="255"/>
        <w:spacing w:after="0" w:line="266" w:lineRule="auto"/>
        <w:rPr>
          <w:sz w:val="20"/>
          <w:szCs w:val="20"/>
          <w:color w:val="auto"/>
        </w:rPr>
      </w:pPr>
      <w:r>
        <w:rPr>
          <w:rFonts w:ascii="Arial" w:cs="Arial" w:eastAsia="Arial" w:hAnsi="Arial"/>
          <w:sz w:val="14"/>
          <w:szCs w:val="14"/>
          <w:color w:val="auto"/>
        </w:rPr>
        <w:t>A director of the Company owns an interest in an entity from which the Company leases space for one of its Rockville, Maryland locations. Payments made in accordance with the lease were $82 thousand and $79 thousand in 2022 and 2021, respectively.</w:t>
      </w:r>
    </w:p>
    <w:p>
      <w:pPr>
        <w:spacing w:after="0" w:line="152" w:lineRule="exact"/>
        <w:rPr>
          <w:sz w:val="20"/>
          <w:szCs w:val="20"/>
          <w:color w:val="auto"/>
        </w:rPr>
      </w:pPr>
    </w:p>
    <w:p>
      <w:pPr>
        <w:ind w:right="80" w:firstLine="255"/>
        <w:spacing w:after="0" w:line="266" w:lineRule="auto"/>
        <w:rPr>
          <w:sz w:val="20"/>
          <w:szCs w:val="20"/>
          <w:color w:val="auto"/>
        </w:rPr>
      </w:pPr>
      <w:r>
        <w:rPr>
          <w:rFonts w:ascii="Arial" w:cs="Arial" w:eastAsia="Arial" w:hAnsi="Arial"/>
          <w:sz w:val="14"/>
          <w:szCs w:val="14"/>
          <w:color w:val="auto"/>
        </w:rPr>
        <w:t>Company directors, or their related interests, held $2.5 million of the subordinated notes outstanding as of December 31, 2022. These notes hold a fixed rate of interest until November 30, 2025, after which it converts to variable rate.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Income Taxes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components of income tax expense were as follows:</w:t>
      </w:r>
    </w:p>
    <w:p>
      <w:pPr>
        <w:spacing w:after="0" w:line="197" w:lineRule="exact"/>
        <w:rPr>
          <w:sz w:val="20"/>
          <w:szCs w:val="20"/>
          <w:color w:val="auto"/>
        </w:rPr>
      </w:pPr>
    </w:p>
    <w:p>
      <w:pPr>
        <w:ind w:left="8500"/>
        <w:spacing w:after="0"/>
        <w:rPr>
          <w:sz w:val="20"/>
          <w:szCs w:val="20"/>
          <w:color w:val="auto"/>
        </w:rPr>
      </w:pPr>
      <w:r>
        <w:rPr>
          <w:rFonts w:ascii="Arial" w:cs="Arial" w:eastAsia="Arial" w:hAnsi="Arial"/>
          <w:sz w:val="13"/>
          <w:szCs w:val="13"/>
          <w:b w:val="1"/>
          <w:bCs w:val="1"/>
          <w:color w:val="auto"/>
        </w:rPr>
        <w:t>For the Years Ended December 31,</w:t>
      </w:r>
    </w:p>
    <w:p>
      <w:pPr>
        <w:spacing w:after="0" w:line="20"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6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r>
      <w:tr>
        <w:trPr>
          <w:trHeight w:val="150"/>
        </w:trPr>
        <w:tc>
          <w:tcPr>
            <w:tcW w:w="73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Current:</w:t>
            </w: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69"/>
        </w:trPr>
        <w:tc>
          <w:tcPr>
            <w:tcW w:w="7300" w:type="dxa"/>
            <w:vAlign w:val="bottom"/>
          </w:tcPr>
          <w:p>
            <w:pPr>
              <w:ind w:left="100"/>
              <w:spacing w:after="0"/>
              <w:rPr>
                <w:sz w:val="20"/>
                <w:szCs w:val="20"/>
                <w:color w:val="auto"/>
              </w:rPr>
            </w:pPr>
            <w:r>
              <w:rPr>
                <w:rFonts w:ascii="Arial" w:cs="Arial" w:eastAsia="Arial" w:hAnsi="Arial"/>
                <w:sz w:val="13"/>
                <w:szCs w:val="13"/>
                <w:color w:val="auto"/>
              </w:rPr>
              <w:t>Federal</w:t>
            </w:r>
          </w:p>
        </w:tc>
        <w:tc>
          <w:tcPr>
            <w:tcW w:w="460" w:type="dxa"/>
            <w:vAlign w:val="bottom"/>
          </w:tcPr>
          <w:p>
            <w:pPr>
              <w:jc w:val="right"/>
              <w:ind w:right="296"/>
              <w:spacing w:after="0"/>
              <w:rPr>
                <w:sz w:val="20"/>
                <w:szCs w:val="20"/>
                <w:color w:val="auto"/>
              </w:rPr>
            </w:pPr>
            <w:r>
              <w:rPr>
                <w:rFonts w:ascii="Arial" w:cs="Arial" w:eastAsia="Arial" w:hAnsi="Arial"/>
                <w:sz w:val="13"/>
                <w:szCs w:val="13"/>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9,906</w:t>
            </w:r>
          </w:p>
        </w:tc>
        <w:tc>
          <w:tcPr>
            <w:tcW w:w="100" w:type="dxa"/>
            <w:vAlign w:val="bottom"/>
          </w:tcPr>
          <w:p>
            <w:pPr>
              <w:spacing w:after="0"/>
              <w:rPr>
                <w:sz w:val="14"/>
                <w:szCs w:val="14"/>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12,9</w:t>
            </w:r>
          </w:p>
        </w:tc>
      </w:tr>
      <w:tr>
        <w:trPr>
          <w:trHeight w:val="170"/>
        </w:trPr>
        <w:tc>
          <w:tcPr>
            <w:tcW w:w="7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1,284</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0"/>
        </w:trPr>
        <w:tc>
          <w:tcPr>
            <w:tcW w:w="7300" w:type="dxa"/>
            <w:vAlign w:val="bottom"/>
          </w:tcPr>
          <w:p>
            <w:pPr>
              <w:ind w:left="180"/>
              <w:spacing w:after="0"/>
              <w:rPr>
                <w:sz w:val="20"/>
                <w:szCs w:val="20"/>
                <w:color w:val="auto"/>
              </w:rPr>
            </w:pPr>
            <w:r>
              <w:rPr>
                <w:rFonts w:ascii="Arial" w:cs="Arial" w:eastAsia="Arial" w:hAnsi="Arial"/>
                <w:sz w:val="13"/>
                <w:szCs w:val="13"/>
                <w:color w:val="auto"/>
              </w:rPr>
              <w:t>Total current expense</w:t>
            </w:r>
          </w:p>
        </w:tc>
        <w:tc>
          <w:tcPr>
            <w:tcW w:w="4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b w:val="1"/>
                <w:bCs w:val="1"/>
                <w:color w:val="auto"/>
              </w:rPr>
              <w:t>11,190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15,8</w:t>
            </w:r>
          </w:p>
        </w:tc>
      </w:tr>
      <w:tr>
        <w:trPr>
          <w:trHeight w:val="170"/>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expense (benefit)</w:t>
            </w: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1,240</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1"/>
        </w:trPr>
        <w:tc>
          <w:tcPr>
            <w:tcW w:w="7300" w:type="dxa"/>
            <w:vAlign w:val="bottom"/>
          </w:tcPr>
          <w:p>
            <w:pPr>
              <w:ind w:left="260"/>
              <w:spacing w:after="0"/>
              <w:rPr>
                <w:sz w:val="20"/>
                <w:szCs w:val="20"/>
                <w:color w:val="auto"/>
              </w:rPr>
            </w:pPr>
            <w:r>
              <w:rPr>
                <w:rFonts w:ascii="Arial" w:cs="Arial" w:eastAsia="Arial" w:hAnsi="Arial"/>
                <w:sz w:val="13"/>
                <w:szCs w:val="13"/>
                <w:color w:val="auto"/>
              </w:rPr>
              <w:t>Total income tax expense</w:t>
            </w: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12,430</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r>
      <w:tr>
        <w:trPr>
          <w:trHeight w:val="20"/>
        </w:trPr>
        <w:tc>
          <w:tcPr>
            <w:tcW w:w="7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components of the net deferred tax asset at December 31, 2022 and 2021 were:</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r>
      <w:tr>
        <w:trPr>
          <w:trHeight w:val="152"/>
        </w:trPr>
        <w:tc>
          <w:tcPr>
            <w:tcW w:w="72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 tax assets:</w:t>
            </w:r>
          </w:p>
        </w:tc>
        <w:tc>
          <w:tcPr>
            <w:tcW w:w="4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69"/>
        </w:trPr>
        <w:tc>
          <w:tcPr>
            <w:tcW w:w="7280" w:type="dxa"/>
            <w:vAlign w:val="bottom"/>
          </w:tcPr>
          <w:p>
            <w:pPr>
              <w:ind w:left="100"/>
              <w:spacing w:after="0"/>
              <w:rPr>
                <w:sz w:val="20"/>
                <w:szCs w:val="20"/>
                <w:color w:val="auto"/>
              </w:rPr>
            </w:pPr>
            <w:r>
              <w:rPr>
                <w:rFonts w:ascii="Arial" w:cs="Arial" w:eastAsia="Arial" w:hAnsi="Arial"/>
                <w:sz w:val="13"/>
                <w:szCs w:val="13"/>
                <w:color w:val="auto"/>
              </w:rPr>
              <w:t>Allowance for loan and credit losses</w:t>
            </w:r>
          </w:p>
        </w:tc>
        <w:tc>
          <w:tcPr>
            <w:tcW w:w="460" w:type="dxa"/>
            <w:vAlign w:val="bottom"/>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7,073</w:t>
            </w:r>
          </w:p>
        </w:tc>
        <w:tc>
          <w:tcPr>
            <w:tcW w:w="140" w:type="dxa"/>
            <w:vAlign w:val="bottom"/>
          </w:tcPr>
          <w:p>
            <w:pPr>
              <w:spacing w:after="0"/>
              <w:rPr>
                <w:sz w:val="14"/>
                <w:szCs w:val="14"/>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70"/>
        </w:trPr>
        <w:tc>
          <w:tcPr>
            <w:tcW w:w="7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Reserve for recourse on mortgage loans sold</w:t>
            </w:r>
          </w:p>
        </w:tc>
        <w:tc>
          <w:tcPr>
            <w:tcW w:w="4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297</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7280" w:type="dxa"/>
            <w:vAlign w:val="bottom"/>
          </w:tcPr>
          <w:p>
            <w:pPr>
              <w:ind w:left="100"/>
              <w:spacing w:after="0"/>
              <w:rPr>
                <w:sz w:val="20"/>
                <w:szCs w:val="20"/>
                <w:color w:val="auto"/>
              </w:rPr>
            </w:pPr>
            <w:r>
              <w:rPr>
                <w:rFonts w:ascii="Arial" w:cs="Arial" w:eastAsia="Arial" w:hAnsi="Arial"/>
                <w:sz w:val="13"/>
                <w:szCs w:val="13"/>
                <w:color w:val="auto"/>
              </w:rPr>
              <w:t>Deferred loan fees - PPP</w:t>
            </w: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8</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0"/>
        </w:trPr>
        <w:tc>
          <w:tcPr>
            <w:tcW w:w="7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257</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7280" w:type="dxa"/>
            <w:vAlign w:val="bottom"/>
          </w:tcPr>
          <w:p>
            <w:pPr>
              <w:ind w:left="100"/>
              <w:spacing w:after="0"/>
              <w:rPr>
                <w:sz w:val="20"/>
                <w:szCs w:val="20"/>
                <w:color w:val="auto"/>
              </w:rPr>
            </w:pPr>
            <w:r>
              <w:rPr>
                <w:rFonts w:ascii="Arial" w:cs="Arial" w:eastAsia="Arial" w:hAnsi="Arial"/>
                <w:sz w:val="13"/>
                <w:szCs w:val="13"/>
                <w:color w:val="auto"/>
              </w:rPr>
              <w:t>Long-term incentive program</w:t>
            </w: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428</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0"/>
        </w:trPr>
        <w:tc>
          <w:tcPr>
            <w:tcW w:w="7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loss on investment securities available for sale</w:t>
            </w:r>
          </w:p>
        </w:tc>
        <w:tc>
          <w:tcPr>
            <w:tcW w:w="4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5,665</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9"/>
        </w:trPr>
        <w:tc>
          <w:tcPr>
            <w:tcW w:w="7280" w:type="dxa"/>
            <w:vAlign w:val="bottom"/>
          </w:tcPr>
          <w:p>
            <w:pPr>
              <w:ind w:left="100"/>
              <w:spacing w:after="0"/>
              <w:rPr>
                <w:sz w:val="20"/>
                <w:szCs w:val="20"/>
                <w:color w:val="auto"/>
              </w:rPr>
            </w:pPr>
            <w:r>
              <w:rPr>
                <w:rFonts w:ascii="Arial" w:cs="Arial" w:eastAsia="Arial" w:hAnsi="Arial"/>
                <w:sz w:val="13"/>
                <w:szCs w:val="13"/>
                <w:color w:val="auto"/>
              </w:rPr>
              <w:t>Net operating loss carryforward</w:t>
            </w:r>
          </w:p>
        </w:tc>
        <w:tc>
          <w:tcPr>
            <w:tcW w:w="460" w:type="dxa"/>
            <w:vAlign w:val="bottom"/>
          </w:tcPr>
          <w:p>
            <w:pPr>
              <w:spacing w:after="0"/>
              <w:rPr>
                <w:sz w:val="14"/>
                <w:szCs w:val="14"/>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7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w:t>
            </w:r>
          </w:p>
        </w:tc>
        <w:tc>
          <w:tcPr>
            <w:tcW w:w="1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0"/>
        </w:trPr>
        <w:tc>
          <w:tcPr>
            <w:tcW w:w="72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13,813</w:t>
            </w:r>
          </w:p>
        </w:tc>
        <w:tc>
          <w:tcPr>
            <w:tcW w:w="1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r>
      <w:tr>
        <w:trPr>
          <w:trHeight w:val="150"/>
        </w:trPr>
        <w:tc>
          <w:tcPr>
            <w:tcW w:w="728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Deferred tax liabilities:</w:t>
            </w:r>
          </w:p>
        </w:tc>
        <w:tc>
          <w:tcPr>
            <w:tcW w:w="4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0"/>
        </w:trPr>
        <w:tc>
          <w:tcPr>
            <w:tcW w:w="7280" w:type="dxa"/>
            <w:vAlign w:val="bottom"/>
          </w:tcPr>
          <w:p>
            <w:pPr>
              <w:ind w:left="100"/>
              <w:spacing w:after="0"/>
              <w:rPr>
                <w:sz w:val="20"/>
                <w:szCs w:val="20"/>
                <w:color w:val="auto"/>
              </w:rPr>
            </w:pPr>
            <w:r>
              <w:rPr>
                <w:rFonts w:ascii="Arial" w:cs="Arial" w:eastAsia="Arial" w:hAnsi="Arial"/>
                <w:sz w:val="13"/>
                <w:szCs w:val="13"/>
                <w:color w:val="auto"/>
              </w:rPr>
              <w:t>Accumulated depreciation</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34</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70"/>
        </w:trPr>
        <w:tc>
          <w:tcPr>
            <w:tcW w:w="7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1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r>
      <w:tr>
        <w:trPr>
          <w:trHeight w:val="160"/>
        </w:trPr>
        <w:tc>
          <w:tcPr>
            <w:tcW w:w="72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w:t>
            </w:r>
          </w:p>
        </w:tc>
        <w:tc>
          <w:tcPr>
            <w:tcW w:w="1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61"/>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deferred tax asset before valuation allowance</w:t>
            </w:r>
          </w:p>
        </w:tc>
        <w:tc>
          <w:tcPr>
            <w:tcW w:w="4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13,777</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69"/>
        </w:trPr>
        <w:tc>
          <w:tcPr>
            <w:tcW w:w="7280" w:type="dxa"/>
            <w:vAlign w:val="bottom"/>
          </w:tcPr>
          <w:p>
            <w:pPr>
              <w:ind w:left="100"/>
              <w:spacing w:after="0"/>
              <w:rPr>
                <w:sz w:val="20"/>
                <w:szCs w:val="20"/>
                <w:color w:val="auto"/>
              </w:rPr>
            </w:pPr>
            <w:r>
              <w:rPr>
                <w:rFonts w:ascii="Arial" w:cs="Arial" w:eastAsia="Arial" w:hAnsi="Arial"/>
                <w:sz w:val="13"/>
                <w:szCs w:val="13"/>
                <w:color w:val="auto"/>
              </w:rPr>
              <w:t>Less: Valuation allowance</w:t>
            </w:r>
          </w:p>
        </w:tc>
        <w:tc>
          <w:tcPr>
            <w:tcW w:w="460" w:type="dxa"/>
            <w:vAlign w:val="bottom"/>
          </w:tcPr>
          <w:p>
            <w:pPr>
              <w:spacing w:after="0"/>
              <w:rPr>
                <w:sz w:val="14"/>
                <w:szCs w:val="14"/>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6"/>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deferred tax asset</w:t>
            </w: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13,777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89" w:name="page90"/>
    <w:bookmarkEnd w:id="89"/>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Income Taxes (continued)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differences between the federal income tax rate and the effective tax rate for the Company are reconciled as follows:</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70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2022</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2021</w:t>
            </w:r>
          </w:p>
        </w:tc>
      </w:tr>
      <w:tr>
        <w:trPr>
          <w:trHeight w:val="163"/>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Statutory federal income tax rate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21.00 %</w:t>
            </w:r>
          </w:p>
        </w:tc>
        <w:tc>
          <w:tcPr>
            <w:tcW w:w="1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w:t>
            </w:r>
          </w:p>
        </w:tc>
      </w:tr>
      <w:tr>
        <w:trPr>
          <w:trHeight w:val="168"/>
        </w:trPr>
        <w:tc>
          <w:tcPr>
            <w:tcW w:w="8400" w:type="dxa"/>
            <w:vAlign w:val="bottom"/>
            <w:gridSpan w:val="2"/>
          </w:tcPr>
          <w:p>
            <w:pPr>
              <w:ind w:left="20"/>
              <w:spacing w:after="0"/>
              <w:rPr>
                <w:sz w:val="20"/>
                <w:szCs w:val="20"/>
                <w:color w:val="auto"/>
              </w:rPr>
            </w:pPr>
            <w:r>
              <w:rPr>
                <w:rFonts w:ascii="Arial" w:cs="Arial" w:eastAsia="Arial" w:hAnsi="Arial"/>
                <w:sz w:val="13"/>
                <w:szCs w:val="13"/>
                <w:color w:val="auto"/>
              </w:rPr>
              <w:t>Increase (decrease) resulting from:</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2"/>
        </w:trPr>
        <w:tc>
          <w:tcPr>
            <w:tcW w:w="8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State income taxes, net of federal income tax benefit</w:t>
            </w: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2.58</w:t>
            </w:r>
          </w:p>
        </w:tc>
        <w:tc>
          <w:tcPr>
            <w:tcW w:w="1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r>
      <w:tr>
        <w:trPr>
          <w:trHeight w:val="169"/>
        </w:trPr>
        <w:tc>
          <w:tcPr>
            <w:tcW w:w="8400" w:type="dxa"/>
            <w:vAlign w:val="bottom"/>
            <w:gridSpan w:val="2"/>
          </w:tcPr>
          <w:p>
            <w:pPr>
              <w:ind w:left="100"/>
              <w:spacing w:after="0"/>
              <w:rPr>
                <w:sz w:val="20"/>
                <w:szCs w:val="20"/>
                <w:color w:val="auto"/>
              </w:rPr>
            </w:pPr>
            <w:r>
              <w:rPr>
                <w:rFonts w:ascii="Arial" w:cs="Arial" w:eastAsia="Arial" w:hAnsi="Arial"/>
                <w:sz w:val="13"/>
                <w:szCs w:val="13"/>
                <w:color w:val="auto"/>
              </w:rPr>
              <w:t>Nondeductible expenses</w:t>
            </w:r>
          </w:p>
        </w:tc>
        <w:tc>
          <w:tcPr>
            <w:tcW w:w="680" w:type="dxa"/>
            <w:vAlign w:val="bottom"/>
          </w:tcPr>
          <w:p>
            <w:pPr>
              <w:jc w:val="right"/>
              <w:ind w:right="116"/>
              <w:spacing w:after="0"/>
              <w:rPr>
                <w:sz w:val="20"/>
                <w:szCs w:val="20"/>
                <w:color w:val="auto"/>
              </w:rPr>
            </w:pPr>
            <w:r>
              <w:rPr>
                <w:rFonts w:ascii="Arial" w:cs="Arial" w:eastAsia="Arial" w:hAnsi="Arial"/>
                <w:sz w:val="13"/>
                <w:szCs w:val="13"/>
                <w:b w:val="1"/>
                <w:bCs w:val="1"/>
                <w:color w:val="auto"/>
              </w:rPr>
              <w:t>0.56</w:t>
            </w:r>
          </w:p>
        </w:tc>
        <w:tc>
          <w:tcPr>
            <w:tcW w:w="16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0.44</w:t>
            </w:r>
          </w:p>
        </w:tc>
      </w:tr>
      <w:tr>
        <w:trPr>
          <w:trHeight w:val="170"/>
        </w:trPr>
        <w:tc>
          <w:tcPr>
            <w:tcW w:w="8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Tax exempt income</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(0.41)</w:t>
            </w:r>
          </w:p>
        </w:tc>
        <w:tc>
          <w:tcPr>
            <w:tcW w:w="16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(0.20</w:t>
            </w:r>
          </w:p>
        </w:tc>
      </w:tr>
      <w:tr>
        <w:trPr>
          <w:trHeight w:val="169"/>
        </w:trPr>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w:t>
            </w:r>
          </w:p>
        </w:tc>
        <w:tc>
          <w:tcPr>
            <w:tcW w:w="1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(0.78)</w:t>
            </w:r>
          </w:p>
        </w:tc>
        <w:tc>
          <w:tcPr>
            <w:tcW w:w="16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0.59</w:t>
            </w:r>
          </w:p>
        </w:tc>
      </w:tr>
      <w:tr>
        <w:trPr>
          <w:trHeight w:val="181"/>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22.95 %</w:t>
            </w:r>
          </w:p>
        </w:tc>
        <w:tc>
          <w:tcPr>
            <w:tcW w:w="16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right="80" w:firstLine="255"/>
        <w:spacing w:after="0" w:line="257" w:lineRule="auto"/>
        <w:rPr>
          <w:sz w:val="20"/>
          <w:szCs w:val="20"/>
          <w:color w:val="auto"/>
        </w:rPr>
      </w:pPr>
      <w:r>
        <w:rPr>
          <w:rFonts w:ascii="Arial" w:cs="Arial" w:eastAsia="Arial" w:hAnsi="Arial"/>
          <w:sz w:val="14"/>
          <w:szCs w:val="14"/>
          <w:color w:val="auto"/>
        </w:rPr>
        <w:t>Deferred tax assets represent the future tax benefit of deductible differences and, if it is more likely than not that a tax asset will not be realized, a valuation allowance is required to reduce the net deferred tax assets to net realizable value. As of December 31, 2022, management has determined that it is more likely than not that the majority of the deferred tax asset from continuing operations will be realized. At December 31, 2021, a valuation allowance of $67 thousand was recognized for a State of Maryland net operating loss carryforward that may not be realizable. No such valuation allowance was recognized at December 31, 2022.</w:t>
      </w:r>
    </w:p>
    <w:p>
      <w:pPr>
        <w:spacing w:after="0" w:line="159"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The Company does not have material uncertain tax positions and did not recognize any adjustments for unrecognized tax benefits. The Company remains subject to examination of income tax returns for the years ending after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90" w:name="page91"/>
    <w:bookmarkEnd w:id="90"/>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Capital Standards</w:t>
      </w:r>
    </w:p>
    <w:p>
      <w:pPr>
        <w:spacing w:after="0" w:line="197"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Company and Bank are subject to various regulatory capital requirements administered by the federal banking agencies. Failure to meet minimum capital requirements can precipitate certain mandatory and possibly additional discretionary actions by regulators that, if undertaken, could have a direct material effect on the Company’s financial statements. Under capital adequacy guidelines and the regulatory framework for prompt corrective action, the Company and Bank must meet specific capital guidelines that involve quantitative measures of assets, liabilities, and certain off-balance sheet items as calculated under regulatory accounting practices. The capital amounts and classification are also subject to qualitative judgments by the regulators about components, risk weighting, and other factors.</w:t>
      </w:r>
    </w:p>
    <w:p>
      <w:pPr>
        <w:spacing w:after="0" w:line="16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Quantitative measures established and defined by regulation to ensure capital adequacy require the Company and the Bank to maintain minimum amounts and ratios of Total, Tier 1 and Common Equity Tier 1 capital to risk-weighted assets, and of Tier 1 capital to average assets. As of December 31, 2022 and 2021, the capital levels of the Company and the Bank exceeded all applicable capital adequacy requirements.</w:t>
      </w:r>
    </w:p>
    <w:p>
      <w:pPr>
        <w:spacing w:after="0" w:line="15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As of December 31, 2022 the most recent notification from the OCC has categorized the Bank as well capitalized under the regulatory framework for prompt corrective action. To be categorized as well capitalized, the Bank must maintain ratios as set forth in the table. There have been no conditions or events since that notification that management believes have changed the Bank’s category.</w:t>
      </w:r>
    </w:p>
    <w:p>
      <w:pPr>
        <w:spacing w:after="0" w:line="15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following table presents actual and required capital ratios as of December 31, 2022 and 2021 for the Bank under the Basel III Capital Rules. The minimum required capital amounts presented include the minimum required capital levels as of December 31, 2022 and 2021 based on the phase-in provisions of the Basel III Capital Rules. Capital levels required to be considered well capitalized are based upon prompt corrective action regulations, as amended to reflect the changes under the Basel III Capital Rules.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Based on recent changes to the Federal Reserve’s definition of a “Small Bank Holding Company” that increased the threshold to $3 billion in assets, the Company is not currently subject to separate minimum capital measurements. At such time as the Company reaches the $3 billion asset level, it will again be subject to capital measurements independent of the Bank. For comparison purposes, the Company’s ratios are presented in the following table as well, all of which would have exceeded the “well-capitalized” level had the Company been subject to separate capital minimums.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1" w:name="page92"/>
    <w:bookmarkEnd w:id="91"/>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Capital Standards (continued)</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Regulatory Capital</w:t>
      </w:r>
    </w:p>
    <w:p>
      <w:pPr>
        <w:spacing w:after="0" w:line="5"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0"/>
                <w:szCs w:val="10"/>
                <w:b w:val="1"/>
                <w:bCs w:val="1"/>
                <w:color w:val="auto"/>
                <w:w w:val="97"/>
              </w:rPr>
              <w:t>Minimum Capital</w:t>
            </w:r>
          </w:p>
        </w:tc>
        <w:tc>
          <w:tcPr>
            <w:tcW w:w="140" w:type="dxa"/>
            <w:vAlign w:val="bottom"/>
          </w:tcPr>
          <w:p>
            <w:pPr>
              <w:spacing w:after="0"/>
              <w:rPr>
                <w:sz w:val="10"/>
                <w:szCs w:val="10"/>
                <w:color w:val="auto"/>
              </w:rPr>
            </w:pPr>
          </w:p>
        </w:tc>
        <w:tc>
          <w:tcPr>
            <w:tcW w:w="1080" w:type="dxa"/>
            <w:vAlign w:val="bottom"/>
            <w:gridSpan w:val="3"/>
          </w:tcPr>
          <w:p>
            <w:pPr>
              <w:ind w:left="520"/>
              <w:spacing w:after="0"/>
              <w:rPr>
                <w:sz w:val="20"/>
                <w:szCs w:val="20"/>
                <w:color w:val="auto"/>
              </w:rPr>
            </w:pPr>
            <w:r>
              <w:rPr>
                <w:rFonts w:ascii="Arial" w:cs="Arial" w:eastAsia="Arial" w:hAnsi="Arial"/>
                <w:sz w:val="10"/>
                <w:szCs w:val="10"/>
                <w:b w:val="1"/>
                <w:bCs w:val="1"/>
                <w:color w:val="auto"/>
              </w:rPr>
              <w:t>To Be Well</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1"/>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600"/>
              <w:spacing w:after="0"/>
              <w:rPr>
                <w:sz w:val="20"/>
                <w:szCs w:val="20"/>
                <w:color w:val="auto"/>
              </w:rPr>
            </w:pPr>
            <w:r>
              <w:rPr>
                <w:rFonts w:ascii="Arial" w:cs="Arial" w:eastAsia="Arial" w:hAnsi="Arial"/>
                <w:sz w:val="10"/>
                <w:szCs w:val="10"/>
                <w:b w:val="1"/>
                <w:bCs w:val="1"/>
                <w:color w:val="auto"/>
              </w:rPr>
              <w:t>Actual</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center"/>
              <w:ind w:left="411"/>
              <w:spacing w:after="0"/>
              <w:rPr>
                <w:sz w:val="20"/>
                <w:szCs w:val="20"/>
                <w:color w:val="auto"/>
              </w:rPr>
            </w:pPr>
            <w:r>
              <w:rPr>
                <w:rFonts w:ascii="Arial" w:cs="Arial" w:eastAsia="Arial" w:hAnsi="Arial"/>
                <w:sz w:val="10"/>
                <w:szCs w:val="10"/>
                <w:b w:val="1"/>
                <w:bCs w:val="1"/>
                <w:color w:val="auto"/>
                <w:w w:val="96"/>
              </w:rPr>
              <w:t>Adequacy</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0"/>
                <w:szCs w:val="10"/>
                <w:b w:val="1"/>
                <w:bCs w:val="1"/>
                <w:color w:val="auto"/>
              </w:rPr>
              <w:t>Capitalized</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0"/>
                <w:szCs w:val="10"/>
                <w:b w:val="1"/>
                <w:bCs w:val="1"/>
                <w:color w:val="auto"/>
              </w:rPr>
              <w:t>Full Phase In of Basel III</w:t>
            </w:r>
          </w:p>
        </w:tc>
      </w:tr>
      <w:tr>
        <w:trPr>
          <w:trHeight w:val="132"/>
        </w:trPr>
        <w:tc>
          <w:tcPr>
            <w:tcW w:w="3620" w:type="dxa"/>
            <w:vAlign w:val="bottom"/>
            <w:gridSpan w:val="3"/>
          </w:tcPr>
          <w:p>
            <w:pPr>
              <w:ind w:left="20"/>
              <w:spacing w:after="0"/>
              <w:rPr>
                <w:sz w:val="20"/>
                <w:szCs w:val="20"/>
                <w:color w:val="auto"/>
              </w:rPr>
            </w:pPr>
            <w:r>
              <w:rPr>
                <w:rFonts w:ascii="Arial" w:cs="Arial" w:eastAsia="Arial" w:hAnsi="Arial"/>
                <w:sz w:val="8"/>
                <w:szCs w:val="8"/>
                <w:i w:val="1"/>
                <w:iCs w:val="1"/>
                <w:color w:val="auto"/>
              </w:rPr>
              <w:t>(dollars in thousands)</w:t>
            </w:r>
          </w:p>
        </w:tc>
        <w:tc>
          <w:tcPr>
            <w:tcW w:w="160" w:type="dxa"/>
            <w:vAlign w:val="bottom"/>
          </w:tcPr>
          <w:p>
            <w:pPr>
              <w:spacing w:after="0"/>
              <w:rPr>
                <w:sz w:val="11"/>
                <w:szCs w:val="11"/>
                <w:color w:val="auto"/>
              </w:rPr>
            </w:pPr>
          </w:p>
        </w:tc>
        <w:tc>
          <w:tcPr>
            <w:tcW w:w="1020" w:type="dxa"/>
            <w:vAlign w:val="bottom"/>
            <w:gridSpan w:val="3"/>
          </w:tcPr>
          <w:p>
            <w:pPr>
              <w:ind w:left="80"/>
              <w:spacing w:after="0"/>
              <w:rPr>
                <w:sz w:val="20"/>
                <w:szCs w:val="20"/>
                <w:color w:val="auto"/>
              </w:rPr>
            </w:pPr>
            <w:r>
              <w:rPr>
                <w:rFonts w:ascii="Arial" w:cs="Arial" w:eastAsia="Arial" w:hAnsi="Arial"/>
                <w:sz w:val="10"/>
                <w:szCs w:val="10"/>
                <w:b w:val="1"/>
                <w:bCs w:val="1"/>
                <w:color w:val="auto"/>
              </w:rPr>
              <w:t>Amount</w:t>
            </w:r>
          </w:p>
        </w:tc>
        <w:tc>
          <w:tcPr>
            <w:tcW w:w="660" w:type="dxa"/>
            <w:vAlign w:val="bottom"/>
          </w:tcPr>
          <w:p>
            <w:pPr>
              <w:jc w:val="right"/>
              <w:ind w:right="271"/>
              <w:spacing w:after="0"/>
              <w:rPr>
                <w:sz w:val="20"/>
                <w:szCs w:val="20"/>
                <w:color w:val="auto"/>
              </w:rPr>
            </w:pPr>
            <w:r>
              <w:rPr>
                <w:rFonts w:ascii="Arial" w:cs="Arial" w:eastAsia="Arial" w:hAnsi="Arial"/>
                <w:sz w:val="10"/>
                <w:szCs w:val="10"/>
                <w:b w:val="1"/>
                <w:bCs w:val="1"/>
                <w:color w:val="auto"/>
              </w:rPr>
              <w:t>Ratio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ind w:left="80"/>
              <w:spacing w:after="0"/>
              <w:rPr>
                <w:sz w:val="20"/>
                <w:szCs w:val="20"/>
                <w:color w:val="auto"/>
              </w:rPr>
            </w:pPr>
            <w:r>
              <w:rPr>
                <w:rFonts w:ascii="Arial" w:cs="Arial" w:eastAsia="Arial" w:hAnsi="Arial"/>
                <w:sz w:val="10"/>
                <w:szCs w:val="10"/>
                <w:b w:val="1"/>
                <w:bCs w:val="1"/>
                <w:color w:val="auto"/>
              </w:rPr>
              <w:t>Amount</w:t>
            </w:r>
          </w:p>
        </w:tc>
        <w:tc>
          <w:tcPr>
            <w:tcW w:w="620" w:type="dxa"/>
            <w:vAlign w:val="bottom"/>
          </w:tcPr>
          <w:p>
            <w:pPr>
              <w:jc w:val="right"/>
              <w:ind w:right="251"/>
              <w:spacing w:after="0"/>
              <w:rPr>
                <w:sz w:val="20"/>
                <w:szCs w:val="20"/>
                <w:color w:val="auto"/>
              </w:rPr>
            </w:pPr>
            <w:r>
              <w:rPr>
                <w:rFonts w:ascii="Arial" w:cs="Arial" w:eastAsia="Arial" w:hAnsi="Arial"/>
                <w:sz w:val="10"/>
                <w:szCs w:val="10"/>
                <w:b w:val="1"/>
                <w:bCs w:val="1"/>
                <w:color w:val="auto"/>
              </w:rPr>
              <w:t>Ratio</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0"/>
                <w:szCs w:val="10"/>
                <w:b w:val="1"/>
                <w:bCs w:val="1"/>
                <w:color w:val="auto"/>
                <w:w w:val="95"/>
              </w:rPr>
              <w:t>Amount</w:t>
            </w:r>
          </w:p>
        </w:tc>
        <w:tc>
          <w:tcPr>
            <w:tcW w:w="600" w:type="dxa"/>
            <w:vAlign w:val="bottom"/>
          </w:tcPr>
          <w:p>
            <w:pPr>
              <w:jc w:val="center"/>
              <w:ind w:right="211"/>
              <w:spacing w:after="0"/>
              <w:rPr>
                <w:sz w:val="20"/>
                <w:szCs w:val="20"/>
                <w:color w:val="auto"/>
              </w:rPr>
            </w:pPr>
            <w:r>
              <w:rPr>
                <w:rFonts w:ascii="Arial" w:cs="Arial" w:eastAsia="Arial" w:hAnsi="Arial"/>
                <w:sz w:val="10"/>
                <w:szCs w:val="10"/>
                <w:b w:val="1"/>
                <w:bCs w:val="1"/>
                <w:color w:val="auto"/>
              </w:rPr>
              <w:t>Ratio</w:t>
            </w:r>
          </w:p>
        </w:tc>
        <w:tc>
          <w:tcPr>
            <w:tcW w:w="120" w:type="dxa"/>
            <w:vAlign w:val="bottom"/>
          </w:tcPr>
          <w:p>
            <w:pPr>
              <w:spacing w:after="0"/>
              <w:rPr>
                <w:sz w:val="11"/>
                <w:szCs w:val="11"/>
                <w:color w:val="auto"/>
              </w:rPr>
            </w:pPr>
          </w:p>
        </w:tc>
        <w:tc>
          <w:tcPr>
            <w:tcW w:w="960" w:type="dxa"/>
            <w:vAlign w:val="bottom"/>
            <w:gridSpan w:val="2"/>
          </w:tcPr>
          <w:p>
            <w:pPr>
              <w:ind w:left="240"/>
              <w:spacing w:after="0"/>
              <w:rPr>
                <w:sz w:val="20"/>
                <w:szCs w:val="20"/>
                <w:color w:val="auto"/>
              </w:rPr>
            </w:pPr>
            <w:r>
              <w:rPr>
                <w:rFonts w:ascii="Arial" w:cs="Arial" w:eastAsia="Arial" w:hAnsi="Arial"/>
                <w:sz w:val="10"/>
                <w:szCs w:val="10"/>
                <w:b w:val="1"/>
                <w:bCs w:val="1"/>
                <w:color w:val="auto"/>
              </w:rPr>
              <w:t>Amount</w:t>
            </w:r>
          </w:p>
        </w:tc>
        <w:tc>
          <w:tcPr>
            <w:tcW w:w="700" w:type="dxa"/>
            <w:vAlign w:val="bottom"/>
          </w:tcPr>
          <w:p>
            <w:pPr>
              <w:jc w:val="right"/>
              <w:ind w:right="91"/>
              <w:spacing w:after="0"/>
              <w:rPr>
                <w:sz w:val="20"/>
                <w:szCs w:val="20"/>
                <w:color w:val="auto"/>
              </w:rPr>
            </w:pPr>
            <w:r>
              <w:rPr>
                <w:rFonts w:ascii="Arial" w:cs="Arial" w:eastAsia="Arial" w:hAnsi="Arial"/>
                <w:sz w:val="10"/>
                <w:szCs w:val="10"/>
                <w:b w:val="1"/>
                <w:bCs w:val="1"/>
                <w:color w:val="auto"/>
              </w:rPr>
              <w:t>Ratio</w:t>
            </w:r>
          </w:p>
        </w:tc>
      </w:tr>
      <w:tr>
        <w:trPr>
          <w:trHeight w:val="90"/>
        </w:trPr>
        <w:tc>
          <w:tcPr>
            <w:tcW w:w="3620" w:type="dxa"/>
            <w:vAlign w:val="bottom"/>
            <w:tcBorders>
              <w:top w:val="single" w:sz="8" w:color="CCEEFF"/>
            </w:tcBorders>
            <w:gridSpan w:val="3"/>
            <w:shd w:val="clear" w:color="auto" w:fill="CCEEFF"/>
          </w:tcPr>
          <w:p>
            <w:pPr>
              <w:ind w:left="20"/>
              <w:spacing w:after="0" w:line="91" w:lineRule="exact"/>
              <w:rPr>
                <w:sz w:val="20"/>
                <w:szCs w:val="20"/>
                <w:color w:val="auto"/>
              </w:rPr>
            </w:pPr>
            <w:r>
              <w:rPr>
                <w:rFonts w:ascii="Arial" w:cs="Arial" w:eastAsia="Arial" w:hAnsi="Arial"/>
                <w:sz w:val="10"/>
                <w:szCs w:val="10"/>
                <w:b w:val="1"/>
                <w:bCs w:val="1"/>
                <w:color w:val="auto"/>
              </w:rPr>
              <w:t>December 31, 2022</w:t>
            </w:r>
          </w:p>
        </w:tc>
        <w:tc>
          <w:tcPr>
            <w:tcW w:w="16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r>
      <w:tr>
        <w:trPr>
          <w:trHeight w:val="32"/>
        </w:trPr>
        <w:tc>
          <w:tcPr>
            <w:tcW w:w="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r>
        <w:trPr>
          <w:trHeight w:val="134"/>
        </w:trPr>
        <w:tc>
          <w:tcPr>
            <w:tcW w:w="3620" w:type="dxa"/>
            <w:vAlign w:val="bottom"/>
            <w:gridSpan w:val="3"/>
          </w:tcPr>
          <w:p>
            <w:pPr>
              <w:ind w:left="20"/>
              <w:spacing w:after="0"/>
              <w:rPr>
                <w:sz w:val="20"/>
                <w:szCs w:val="20"/>
                <w:color w:val="auto"/>
              </w:rPr>
            </w:pPr>
            <w:r>
              <w:rPr>
                <w:rFonts w:ascii="Arial" w:cs="Arial" w:eastAsia="Arial" w:hAnsi="Arial"/>
                <w:sz w:val="10"/>
                <w:szCs w:val="10"/>
                <w:b w:val="1"/>
                <w:bCs w:val="1"/>
                <w:color w:val="auto"/>
              </w:rPr>
              <w:t>The Company</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2"/>
        </w:trPr>
        <w:tc>
          <w:tcPr>
            <w:tcW w:w="20" w:type="dxa"/>
            <w:vAlign w:val="bottom"/>
            <w:shd w:val="clear" w:color="auto" w:fill="CCEEFF"/>
          </w:tcPr>
          <w:p>
            <w:pPr>
              <w:spacing w:after="0"/>
              <w:rPr>
                <w:sz w:val="12"/>
                <w:szCs w:val="12"/>
                <w:color w:val="auto"/>
              </w:rPr>
            </w:pPr>
          </w:p>
        </w:tc>
        <w:tc>
          <w:tcPr>
            <w:tcW w:w="36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Tier 1 leverage ratio (to average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242,829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11.24 %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86,442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center"/>
              <w:ind w:right="520"/>
              <w:spacing w:after="0"/>
              <w:rPr>
                <w:sz w:val="20"/>
                <w:szCs w:val="20"/>
                <w:color w:val="auto"/>
              </w:rPr>
            </w:pPr>
            <w:r>
              <w:rPr>
                <w:rFonts w:ascii="Arial" w:cs="Arial" w:eastAsia="Arial" w:hAnsi="Arial"/>
                <w:sz w:val="10"/>
                <w:szCs w:val="10"/>
                <w:color w:val="auto"/>
                <w:w w:val="95"/>
              </w:rPr>
              <w:t>N/A</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0"/>
                <w:szCs w:val="10"/>
                <w:color w:val="auto"/>
              </w:rPr>
              <w:t>N/A</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rPr>
              <w:t>N/A</w:t>
            </w:r>
          </w:p>
        </w:tc>
        <w:tc>
          <w:tcPr>
            <w:tcW w:w="700" w:type="dxa"/>
            <w:vAlign w:val="bottom"/>
            <w:shd w:val="clear" w:color="auto" w:fill="CCEEFF"/>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3600" w:type="dxa"/>
            <w:vAlign w:val="bottom"/>
            <w:gridSpan w:val="2"/>
          </w:tcPr>
          <w:p>
            <w:pPr>
              <w:ind w:left="80"/>
              <w:spacing w:after="0"/>
              <w:rPr>
                <w:sz w:val="20"/>
                <w:szCs w:val="20"/>
                <w:color w:val="auto"/>
              </w:rPr>
            </w:pPr>
            <w:r>
              <w:rPr>
                <w:rFonts w:ascii="Arial" w:cs="Arial" w:eastAsia="Arial" w:hAnsi="Arial"/>
                <w:sz w:val="10"/>
                <w:szCs w:val="10"/>
                <w:color w:val="auto"/>
              </w:rPr>
              <w:t>Tier 1 capital (to risk-weighted assets)</w:t>
            </w:r>
          </w:p>
        </w:tc>
        <w:tc>
          <w:tcPr>
            <w:tcW w:w="16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242,829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15.13 %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96,315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6.00 %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0"/>
                <w:szCs w:val="10"/>
                <w:color w:val="auto"/>
                <w:w w:val="95"/>
              </w:rPr>
              <w:t>N/A</w:t>
            </w:r>
          </w:p>
        </w:tc>
        <w:tc>
          <w:tcPr>
            <w:tcW w:w="720" w:type="dxa"/>
            <w:vAlign w:val="bottom"/>
            <w:gridSpan w:val="2"/>
          </w:tcPr>
          <w:p>
            <w:pPr>
              <w:jc w:val="center"/>
              <w:ind w:right="380"/>
              <w:spacing w:after="0"/>
              <w:rPr>
                <w:sz w:val="20"/>
                <w:szCs w:val="20"/>
                <w:color w:val="auto"/>
              </w:rPr>
            </w:pPr>
            <w:r>
              <w:rPr>
                <w:rFonts w:ascii="Arial" w:cs="Arial" w:eastAsia="Arial" w:hAnsi="Arial"/>
                <w:sz w:val="10"/>
                <w:szCs w:val="10"/>
                <w:color w:val="auto"/>
              </w:rPr>
              <w:t>N/A</w:t>
            </w: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136,447</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8.5</w:t>
            </w:r>
          </w:p>
        </w:tc>
      </w:tr>
      <w:tr>
        <w:trPr>
          <w:trHeight w:val="145"/>
        </w:trPr>
        <w:tc>
          <w:tcPr>
            <w:tcW w:w="20" w:type="dxa"/>
            <w:vAlign w:val="bottom"/>
            <w:shd w:val="clear" w:color="auto" w:fill="CCEEFF"/>
          </w:tcPr>
          <w:p>
            <w:pPr>
              <w:spacing w:after="0"/>
              <w:rPr>
                <w:sz w:val="12"/>
                <w:szCs w:val="12"/>
                <w:color w:val="auto"/>
              </w:rPr>
            </w:pPr>
          </w:p>
        </w:tc>
        <w:tc>
          <w:tcPr>
            <w:tcW w:w="36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Common equity tier 1 capital ratio (to risk-weighted assets)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240,767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72,237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4.50 %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center"/>
              <w:ind w:right="520"/>
              <w:spacing w:after="0"/>
              <w:rPr>
                <w:sz w:val="20"/>
                <w:szCs w:val="20"/>
                <w:color w:val="auto"/>
              </w:rPr>
            </w:pPr>
            <w:r>
              <w:rPr>
                <w:rFonts w:ascii="Arial" w:cs="Arial" w:eastAsia="Arial" w:hAnsi="Arial"/>
                <w:sz w:val="10"/>
                <w:szCs w:val="10"/>
                <w:color w:val="auto"/>
                <w:w w:val="95"/>
              </w:rPr>
              <w:t>N/A</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0"/>
                <w:szCs w:val="10"/>
                <w:color w:val="auto"/>
              </w:rPr>
              <w:t>N/A</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112,368</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w:t>
            </w:r>
          </w:p>
        </w:tc>
      </w:tr>
      <w:tr>
        <w:trPr>
          <w:trHeight w:val="131"/>
        </w:trPr>
        <w:tc>
          <w:tcPr>
            <w:tcW w:w="20" w:type="dxa"/>
            <w:vAlign w:val="bottom"/>
          </w:tcPr>
          <w:p>
            <w:pPr>
              <w:spacing w:after="0"/>
              <w:rPr>
                <w:sz w:val="11"/>
                <w:szCs w:val="11"/>
                <w:color w:val="auto"/>
              </w:rPr>
            </w:pPr>
          </w:p>
        </w:tc>
        <w:tc>
          <w:tcPr>
            <w:tcW w:w="3600" w:type="dxa"/>
            <w:vAlign w:val="bottom"/>
            <w:gridSpan w:val="2"/>
          </w:tcPr>
          <w:p>
            <w:pPr>
              <w:ind w:left="80"/>
              <w:spacing w:after="0"/>
              <w:rPr>
                <w:sz w:val="20"/>
                <w:szCs w:val="20"/>
                <w:color w:val="auto"/>
              </w:rPr>
            </w:pPr>
            <w:r>
              <w:rPr>
                <w:rFonts w:ascii="Arial" w:cs="Arial" w:eastAsia="Arial" w:hAnsi="Arial"/>
                <w:sz w:val="10"/>
                <w:szCs w:val="10"/>
                <w:color w:val="auto"/>
              </w:rPr>
              <w:t>Total capital ratio (to risk-weighted assets)</w:t>
            </w:r>
          </w:p>
        </w:tc>
        <w:tc>
          <w:tcPr>
            <w:tcW w:w="16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262,217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16.33 %</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128,421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8.00 %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0"/>
                <w:szCs w:val="10"/>
                <w:color w:val="auto"/>
                <w:w w:val="95"/>
              </w:rPr>
              <w:t>N/A</w:t>
            </w:r>
          </w:p>
        </w:tc>
        <w:tc>
          <w:tcPr>
            <w:tcW w:w="720" w:type="dxa"/>
            <w:vAlign w:val="bottom"/>
            <w:gridSpan w:val="2"/>
          </w:tcPr>
          <w:p>
            <w:pPr>
              <w:jc w:val="center"/>
              <w:ind w:right="380"/>
              <w:spacing w:after="0"/>
              <w:rPr>
                <w:sz w:val="20"/>
                <w:szCs w:val="20"/>
                <w:color w:val="auto"/>
              </w:rPr>
            </w:pPr>
            <w:r>
              <w:rPr>
                <w:rFonts w:ascii="Arial" w:cs="Arial" w:eastAsia="Arial" w:hAnsi="Arial"/>
                <w:sz w:val="10"/>
                <w:szCs w:val="10"/>
                <w:color w:val="auto"/>
              </w:rPr>
              <w:t>N/A</w:t>
            </w: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168,552</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10.5</w:t>
            </w:r>
          </w:p>
        </w:tc>
      </w:tr>
      <w:tr>
        <w:trPr>
          <w:trHeight w:val="177"/>
        </w:trPr>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34"/>
        </w:trPr>
        <w:tc>
          <w:tcPr>
            <w:tcW w:w="3620" w:type="dxa"/>
            <w:vAlign w:val="bottom"/>
            <w:gridSpan w:val="3"/>
          </w:tcPr>
          <w:p>
            <w:pPr>
              <w:ind w:left="20"/>
              <w:spacing w:after="0"/>
              <w:rPr>
                <w:sz w:val="20"/>
                <w:szCs w:val="20"/>
                <w:color w:val="auto"/>
              </w:rPr>
            </w:pPr>
            <w:r>
              <w:rPr>
                <w:rFonts w:ascii="Arial" w:cs="Arial" w:eastAsia="Arial" w:hAnsi="Arial"/>
                <w:sz w:val="10"/>
                <w:szCs w:val="10"/>
                <w:b w:val="1"/>
                <w:bCs w:val="1"/>
                <w:color w:val="auto"/>
              </w:rPr>
              <w:t>The Bank</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2"/>
        </w:trPr>
        <w:tc>
          <w:tcPr>
            <w:tcW w:w="20" w:type="dxa"/>
            <w:vAlign w:val="bottom"/>
            <w:shd w:val="clear" w:color="auto" w:fill="CCEEFF"/>
          </w:tcPr>
          <w:p>
            <w:pPr>
              <w:spacing w:after="0"/>
              <w:rPr>
                <w:sz w:val="12"/>
                <w:szCs w:val="12"/>
                <w:color w:val="auto"/>
              </w:rPr>
            </w:pPr>
          </w:p>
        </w:tc>
        <w:tc>
          <w:tcPr>
            <w:tcW w:w="36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Tier 1 leverage ratio (to average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199,846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9.47 %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84,416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105,521</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5.00 %</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rPr>
              <w:t>N/A</w:t>
            </w:r>
          </w:p>
        </w:tc>
        <w:tc>
          <w:tcPr>
            <w:tcW w:w="700" w:type="dxa"/>
            <w:vAlign w:val="bottom"/>
            <w:shd w:val="clear" w:color="auto" w:fill="CCEEFF"/>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3600" w:type="dxa"/>
            <w:vAlign w:val="bottom"/>
            <w:gridSpan w:val="2"/>
          </w:tcPr>
          <w:p>
            <w:pPr>
              <w:ind w:left="80"/>
              <w:spacing w:after="0"/>
              <w:rPr>
                <w:sz w:val="20"/>
                <w:szCs w:val="20"/>
                <w:color w:val="auto"/>
              </w:rPr>
            </w:pPr>
            <w:r>
              <w:rPr>
                <w:rFonts w:ascii="Arial" w:cs="Arial" w:eastAsia="Arial" w:hAnsi="Arial"/>
                <w:sz w:val="10"/>
                <w:szCs w:val="10"/>
                <w:color w:val="auto"/>
              </w:rPr>
              <w:t>Tier 1 capital (to risk-weighted assets)</w:t>
            </w:r>
          </w:p>
        </w:tc>
        <w:tc>
          <w:tcPr>
            <w:tcW w:w="16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199,846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12.95 %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92,574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6.00 %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123,432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8.00 %</w:t>
            </w:r>
          </w:p>
        </w:tc>
        <w:tc>
          <w:tcPr>
            <w:tcW w:w="1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131,147</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8.5</w:t>
            </w:r>
          </w:p>
        </w:tc>
      </w:tr>
      <w:tr>
        <w:trPr>
          <w:trHeight w:val="145"/>
        </w:trPr>
        <w:tc>
          <w:tcPr>
            <w:tcW w:w="20" w:type="dxa"/>
            <w:vAlign w:val="bottom"/>
            <w:shd w:val="clear" w:color="auto" w:fill="CCEEFF"/>
          </w:tcPr>
          <w:p>
            <w:pPr>
              <w:spacing w:after="0"/>
              <w:rPr>
                <w:sz w:val="12"/>
                <w:szCs w:val="12"/>
                <w:color w:val="auto"/>
              </w:rPr>
            </w:pPr>
          </w:p>
        </w:tc>
        <w:tc>
          <w:tcPr>
            <w:tcW w:w="36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Common equity tier 1 capital ratio (to risk-weighted assets)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199,846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12.95 %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69,431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4.50 %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100,289</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6.50 %</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108,003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w:t>
            </w:r>
          </w:p>
        </w:tc>
      </w:tr>
      <w:tr>
        <w:trPr>
          <w:trHeight w:val="131"/>
        </w:trPr>
        <w:tc>
          <w:tcPr>
            <w:tcW w:w="20" w:type="dxa"/>
            <w:vAlign w:val="bottom"/>
          </w:tcPr>
          <w:p>
            <w:pPr>
              <w:spacing w:after="0"/>
              <w:rPr>
                <w:sz w:val="11"/>
                <w:szCs w:val="11"/>
                <w:color w:val="auto"/>
              </w:rPr>
            </w:pPr>
          </w:p>
        </w:tc>
        <w:tc>
          <w:tcPr>
            <w:tcW w:w="3600" w:type="dxa"/>
            <w:vAlign w:val="bottom"/>
            <w:gridSpan w:val="2"/>
          </w:tcPr>
          <w:p>
            <w:pPr>
              <w:ind w:left="80"/>
              <w:spacing w:after="0"/>
              <w:rPr>
                <w:sz w:val="20"/>
                <w:szCs w:val="20"/>
                <w:color w:val="auto"/>
              </w:rPr>
            </w:pPr>
            <w:r>
              <w:rPr>
                <w:rFonts w:ascii="Arial" w:cs="Arial" w:eastAsia="Arial" w:hAnsi="Arial"/>
                <w:sz w:val="10"/>
                <w:szCs w:val="10"/>
                <w:color w:val="auto"/>
              </w:rPr>
              <w:t>Total capital ratio (to risk-weighted assets)</w:t>
            </w:r>
          </w:p>
        </w:tc>
        <w:tc>
          <w:tcPr>
            <w:tcW w:w="16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219,234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14.21 %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123,432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8.00 %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154,290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10.00 %</w:t>
            </w:r>
          </w:p>
        </w:tc>
        <w:tc>
          <w:tcPr>
            <w:tcW w:w="1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162,005</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10.5</w:t>
            </w:r>
          </w:p>
        </w:tc>
      </w:tr>
      <w:tr>
        <w:trPr>
          <w:trHeight w:val="177"/>
        </w:trPr>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06"/>
        </w:trPr>
        <w:tc>
          <w:tcPr>
            <w:tcW w:w="3620" w:type="dxa"/>
            <w:vAlign w:val="bottom"/>
            <w:gridSpan w:val="3"/>
          </w:tcPr>
          <w:p>
            <w:pPr>
              <w:ind w:left="20"/>
              <w:spacing w:after="0" w:line="106" w:lineRule="exact"/>
              <w:rPr>
                <w:sz w:val="20"/>
                <w:szCs w:val="20"/>
                <w:color w:val="auto"/>
              </w:rPr>
            </w:pPr>
            <w:r>
              <w:rPr>
                <w:rFonts w:ascii="Arial" w:cs="Arial" w:eastAsia="Arial" w:hAnsi="Arial"/>
                <w:sz w:val="10"/>
                <w:szCs w:val="10"/>
                <w:b w:val="1"/>
                <w:bCs w:val="1"/>
                <w:color w:val="auto"/>
              </w:rPr>
              <w:t>December 31, 2021</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6"/>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44"/>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auto"/>
              </w:rPr>
              <w:t>The Company</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3600" w:type="dxa"/>
            <w:vAlign w:val="bottom"/>
            <w:gridSpan w:val="2"/>
          </w:tcPr>
          <w:p>
            <w:pPr>
              <w:ind w:left="80"/>
              <w:spacing w:after="0"/>
              <w:rPr>
                <w:sz w:val="20"/>
                <w:szCs w:val="20"/>
                <w:color w:val="auto"/>
              </w:rPr>
            </w:pPr>
            <w:r>
              <w:rPr>
                <w:rFonts w:ascii="Arial" w:cs="Arial" w:eastAsia="Arial" w:hAnsi="Arial"/>
                <w:sz w:val="10"/>
                <w:szCs w:val="10"/>
                <w:color w:val="auto"/>
              </w:rPr>
              <w:t>Tier 1 leverage ratio (to average assets)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201,040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9.73 %</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82,683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4.00 %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0"/>
                <w:szCs w:val="10"/>
                <w:color w:val="auto"/>
                <w:w w:val="95"/>
              </w:rPr>
              <w:t>N/A</w:t>
            </w:r>
          </w:p>
        </w:tc>
        <w:tc>
          <w:tcPr>
            <w:tcW w:w="720" w:type="dxa"/>
            <w:vAlign w:val="bottom"/>
            <w:gridSpan w:val="2"/>
          </w:tcPr>
          <w:p>
            <w:pPr>
              <w:jc w:val="center"/>
              <w:ind w:right="380"/>
              <w:spacing w:after="0"/>
              <w:rPr>
                <w:sz w:val="20"/>
                <w:szCs w:val="20"/>
                <w:color w:val="auto"/>
              </w:rPr>
            </w:pPr>
            <w:r>
              <w:rPr>
                <w:rFonts w:ascii="Arial" w:cs="Arial" w:eastAsia="Arial" w:hAnsi="Arial"/>
                <w:sz w:val="10"/>
                <w:szCs w:val="10"/>
                <w:color w:val="auto"/>
              </w:rPr>
              <w:t>N/A</w:t>
            </w:r>
          </w:p>
        </w:tc>
        <w:tc>
          <w:tcPr>
            <w:tcW w:w="960" w:type="dxa"/>
            <w:vAlign w:val="bottom"/>
            <w:gridSpan w:val="2"/>
          </w:tcPr>
          <w:p>
            <w:pPr>
              <w:ind w:left="680"/>
              <w:spacing w:after="0"/>
              <w:rPr>
                <w:sz w:val="20"/>
                <w:szCs w:val="20"/>
                <w:color w:val="auto"/>
              </w:rPr>
            </w:pPr>
            <w:r>
              <w:rPr>
                <w:rFonts w:ascii="Arial" w:cs="Arial" w:eastAsia="Arial" w:hAnsi="Arial"/>
                <w:sz w:val="10"/>
                <w:szCs w:val="10"/>
                <w:color w:val="auto"/>
              </w:rPr>
              <w:t>N/A</w:t>
            </w:r>
          </w:p>
        </w:tc>
        <w:tc>
          <w:tcPr>
            <w:tcW w:w="700" w:type="dxa"/>
            <w:vAlign w:val="bottom"/>
          </w:tcPr>
          <w:p>
            <w:pPr>
              <w:spacing w:after="0"/>
              <w:rPr>
                <w:sz w:val="11"/>
                <w:szCs w:val="11"/>
                <w:color w:val="auto"/>
              </w:rPr>
            </w:pPr>
          </w:p>
        </w:tc>
      </w:tr>
      <w:tr>
        <w:trPr>
          <w:trHeight w:val="145"/>
        </w:trPr>
        <w:tc>
          <w:tcPr>
            <w:tcW w:w="20" w:type="dxa"/>
            <w:vAlign w:val="bottom"/>
            <w:shd w:val="clear" w:color="auto" w:fill="CCEEFF"/>
          </w:tcPr>
          <w:p>
            <w:pPr>
              <w:spacing w:after="0"/>
              <w:rPr>
                <w:sz w:val="12"/>
                <w:szCs w:val="12"/>
                <w:color w:val="auto"/>
              </w:rPr>
            </w:pPr>
          </w:p>
        </w:tc>
        <w:tc>
          <w:tcPr>
            <w:tcW w:w="36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Tier 1 capital (to risk-weighted assets)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201,040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14.43 %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83,596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6.00 %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center"/>
              <w:ind w:right="520"/>
              <w:spacing w:after="0"/>
              <w:rPr>
                <w:sz w:val="20"/>
                <w:szCs w:val="20"/>
                <w:color w:val="auto"/>
              </w:rPr>
            </w:pPr>
            <w:r>
              <w:rPr>
                <w:rFonts w:ascii="Arial" w:cs="Arial" w:eastAsia="Arial" w:hAnsi="Arial"/>
                <w:sz w:val="10"/>
                <w:szCs w:val="10"/>
                <w:color w:val="auto"/>
                <w:w w:val="95"/>
              </w:rPr>
              <w:t>N/A</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0"/>
                <w:szCs w:val="10"/>
                <w:color w:val="auto"/>
              </w:rPr>
              <w:t>N/A</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118,428</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w:t>
            </w:r>
          </w:p>
        </w:tc>
      </w:tr>
      <w:tr>
        <w:trPr>
          <w:trHeight w:val="131"/>
        </w:trPr>
        <w:tc>
          <w:tcPr>
            <w:tcW w:w="20" w:type="dxa"/>
            <w:vAlign w:val="bottom"/>
          </w:tcPr>
          <w:p>
            <w:pPr>
              <w:spacing w:after="0"/>
              <w:rPr>
                <w:sz w:val="11"/>
                <w:szCs w:val="11"/>
                <w:color w:val="auto"/>
              </w:rPr>
            </w:pPr>
          </w:p>
        </w:tc>
        <w:tc>
          <w:tcPr>
            <w:tcW w:w="3600" w:type="dxa"/>
            <w:vAlign w:val="bottom"/>
            <w:gridSpan w:val="2"/>
          </w:tcPr>
          <w:p>
            <w:pPr>
              <w:ind w:left="80"/>
              <w:spacing w:after="0"/>
              <w:rPr>
                <w:sz w:val="20"/>
                <w:szCs w:val="20"/>
                <w:color w:val="auto"/>
              </w:rPr>
            </w:pPr>
            <w:r>
              <w:rPr>
                <w:rFonts w:ascii="Arial" w:cs="Arial" w:eastAsia="Arial" w:hAnsi="Arial"/>
                <w:sz w:val="10"/>
                <w:szCs w:val="10"/>
                <w:color w:val="auto"/>
              </w:rPr>
              <w:t>Common equity tier 1 capital ratio (to risk-weighted assets)</w:t>
            </w:r>
          </w:p>
        </w:tc>
        <w:tc>
          <w:tcPr>
            <w:tcW w:w="16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198,978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14.28 %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62,697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4.50 %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0"/>
                <w:szCs w:val="10"/>
                <w:color w:val="auto"/>
                <w:w w:val="95"/>
              </w:rPr>
              <w:t>N/A</w:t>
            </w:r>
          </w:p>
        </w:tc>
        <w:tc>
          <w:tcPr>
            <w:tcW w:w="720" w:type="dxa"/>
            <w:vAlign w:val="bottom"/>
            <w:gridSpan w:val="2"/>
          </w:tcPr>
          <w:p>
            <w:pPr>
              <w:jc w:val="center"/>
              <w:ind w:right="380"/>
              <w:spacing w:after="0"/>
              <w:rPr>
                <w:sz w:val="20"/>
                <w:szCs w:val="20"/>
                <w:color w:val="auto"/>
              </w:rPr>
            </w:pPr>
            <w:r>
              <w:rPr>
                <w:rFonts w:ascii="Arial" w:cs="Arial" w:eastAsia="Arial" w:hAnsi="Arial"/>
                <w:sz w:val="10"/>
                <w:szCs w:val="10"/>
                <w:color w:val="auto"/>
              </w:rPr>
              <w:t>N/A</w:t>
            </w: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97,529</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7.0</w:t>
            </w:r>
          </w:p>
        </w:tc>
      </w:tr>
      <w:tr>
        <w:trPr>
          <w:trHeight w:val="145"/>
        </w:trPr>
        <w:tc>
          <w:tcPr>
            <w:tcW w:w="20" w:type="dxa"/>
            <w:vAlign w:val="bottom"/>
            <w:shd w:val="clear" w:color="auto" w:fill="CCEEFF"/>
          </w:tcPr>
          <w:p>
            <w:pPr>
              <w:spacing w:after="0"/>
              <w:rPr>
                <w:sz w:val="12"/>
                <w:szCs w:val="12"/>
                <w:color w:val="auto"/>
              </w:rPr>
            </w:pPr>
          </w:p>
        </w:tc>
        <w:tc>
          <w:tcPr>
            <w:tcW w:w="36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Total capital ratio (to risk-weighted assets)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228,574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16.41 %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111,462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8.00 %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center"/>
              <w:ind w:right="520"/>
              <w:spacing w:after="0"/>
              <w:rPr>
                <w:sz w:val="20"/>
                <w:szCs w:val="20"/>
                <w:color w:val="auto"/>
              </w:rPr>
            </w:pPr>
            <w:r>
              <w:rPr>
                <w:rFonts w:ascii="Arial" w:cs="Arial" w:eastAsia="Arial" w:hAnsi="Arial"/>
                <w:sz w:val="10"/>
                <w:szCs w:val="10"/>
                <w:color w:val="auto"/>
                <w:w w:val="95"/>
              </w:rPr>
              <w:t>N/A</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0"/>
                <w:szCs w:val="10"/>
                <w:color w:val="auto"/>
              </w:rPr>
              <w:t>N/A</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146,294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r>
      <w:tr>
        <w:trPr>
          <w:trHeight w:val="170"/>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8"/>
        </w:trPr>
        <w:tc>
          <w:tcPr>
            <w:tcW w:w="362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auto"/>
              </w:rPr>
              <w:t>The Bank</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31"/>
        </w:trPr>
        <w:tc>
          <w:tcPr>
            <w:tcW w:w="20" w:type="dxa"/>
            <w:vAlign w:val="bottom"/>
          </w:tcPr>
          <w:p>
            <w:pPr>
              <w:spacing w:after="0"/>
              <w:rPr>
                <w:sz w:val="11"/>
                <w:szCs w:val="11"/>
                <w:color w:val="auto"/>
              </w:rPr>
            </w:pPr>
          </w:p>
        </w:tc>
        <w:tc>
          <w:tcPr>
            <w:tcW w:w="3600" w:type="dxa"/>
            <w:vAlign w:val="bottom"/>
            <w:gridSpan w:val="2"/>
          </w:tcPr>
          <w:p>
            <w:pPr>
              <w:ind w:left="80"/>
              <w:spacing w:after="0"/>
              <w:rPr>
                <w:sz w:val="20"/>
                <w:szCs w:val="20"/>
                <w:color w:val="auto"/>
              </w:rPr>
            </w:pPr>
            <w:r>
              <w:rPr>
                <w:rFonts w:ascii="Arial" w:cs="Arial" w:eastAsia="Arial" w:hAnsi="Arial"/>
                <w:sz w:val="10"/>
                <w:szCs w:val="10"/>
                <w:color w:val="auto"/>
              </w:rPr>
              <w:t>Tier 1 leverage ratio (to average assets)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169,384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8.36 %</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81,070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4.00 %</w:t>
            </w:r>
          </w:p>
        </w:tc>
        <w:tc>
          <w:tcPr>
            <w:tcW w:w="12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101,338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5.00 %</w:t>
            </w:r>
          </w:p>
        </w:tc>
        <w:tc>
          <w:tcPr>
            <w:tcW w:w="120" w:type="dxa"/>
            <w:vAlign w:val="bottom"/>
          </w:tcPr>
          <w:p>
            <w:pPr>
              <w:spacing w:after="0"/>
              <w:rPr>
                <w:sz w:val="11"/>
                <w:szCs w:val="11"/>
                <w:color w:val="auto"/>
              </w:rPr>
            </w:pPr>
          </w:p>
        </w:tc>
        <w:tc>
          <w:tcPr>
            <w:tcW w:w="960" w:type="dxa"/>
            <w:vAlign w:val="bottom"/>
            <w:gridSpan w:val="2"/>
          </w:tcPr>
          <w:p>
            <w:pPr>
              <w:ind w:left="680"/>
              <w:spacing w:after="0"/>
              <w:rPr>
                <w:sz w:val="20"/>
                <w:szCs w:val="20"/>
                <w:color w:val="auto"/>
              </w:rPr>
            </w:pPr>
            <w:r>
              <w:rPr>
                <w:rFonts w:ascii="Arial" w:cs="Arial" w:eastAsia="Arial" w:hAnsi="Arial"/>
                <w:sz w:val="10"/>
                <w:szCs w:val="10"/>
                <w:color w:val="auto"/>
              </w:rPr>
              <w:t>N/A</w:t>
            </w:r>
          </w:p>
        </w:tc>
        <w:tc>
          <w:tcPr>
            <w:tcW w:w="700" w:type="dxa"/>
            <w:vAlign w:val="bottom"/>
          </w:tcPr>
          <w:p>
            <w:pPr>
              <w:spacing w:after="0"/>
              <w:rPr>
                <w:sz w:val="11"/>
                <w:szCs w:val="11"/>
                <w:color w:val="auto"/>
              </w:rPr>
            </w:pPr>
          </w:p>
        </w:tc>
      </w:tr>
      <w:tr>
        <w:trPr>
          <w:trHeight w:val="145"/>
        </w:trPr>
        <w:tc>
          <w:tcPr>
            <w:tcW w:w="20" w:type="dxa"/>
            <w:vAlign w:val="bottom"/>
            <w:shd w:val="clear" w:color="auto" w:fill="CCEEFF"/>
          </w:tcPr>
          <w:p>
            <w:pPr>
              <w:spacing w:after="0"/>
              <w:rPr>
                <w:sz w:val="12"/>
                <w:szCs w:val="12"/>
                <w:color w:val="auto"/>
              </w:rPr>
            </w:pPr>
          </w:p>
        </w:tc>
        <w:tc>
          <w:tcPr>
            <w:tcW w:w="36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Tier 1 capital (to risk-weighted assets)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169,384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12.53 %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81,097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6.00 %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108,130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8.00 %</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114,888</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w:t>
            </w:r>
          </w:p>
        </w:tc>
      </w:tr>
      <w:tr>
        <w:trPr>
          <w:trHeight w:val="131"/>
        </w:trPr>
        <w:tc>
          <w:tcPr>
            <w:tcW w:w="20" w:type="dxa"/>
            <w:vAlign w:val="bottom"/>
          </w:tcPr>
          <w:p>
            <w:pPr>
              <w:spacing w:after="0"/>
              <w:rPr>
                <w:sz w:val="11"/>
                <w:szCs w:val="11"/>
                <w:color w:val="auto"/>
              </w:rPr>
            </w:pPr>
          </w:p>
        </w:tc>
        <w:tc>
          <w:tcPr>
            <w:tcW w:w="3600" w:type="dxa"/>
            <w:vAlign w:val="bottom"/>
            <w:gridSpan w:val="2"/>
          </w:tcPr>
          <w:p>
            <w:pPr>
              <w:ind w:left="80"/>
              <w:spacing w:after="0"/>
              <w:rPr>
                <w:sz w:val="20"/>
                <w:szCs w:val="20"/>
                <w:color w:val="auto"/>
              </w:rPr>
            </w:pPr>
            <w:r>
              <w:rPr>
                <w:rFonts w:ascii="Arial" w:cs="Arial" w:eastAsia="Arial" w:hAnsi="Arial"/>
                <w:sz w:val="10"/>
                <w:szCs w:val="10"/>
                <w:color w:val="auto"/>
              </w:rPr>
              <w:t>Common equity tier 1 capital ratio (to risk-weighted assets)</w:t>
            </w:r>
          </w:p>
        </w:tc>
        <w:tc>
          <w:tcPr>
            <w:tcW w:w="16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169,384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12.53 %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60,823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4.50 %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87,856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6.50 %</w:t>
            </w:r>
          </w:p>
        </w:tc>
        <w:tc>
          <w:tcPr>
            <w:tcW w:w="12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94,614</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7.0</w:t>
            </w:r>
          </w:p>
        </w:tc>
      </w:tr>
      <w:tr>
        <w:trPr>
          <w:trHeight w:val="145"/>
        </w:trPr>
        <w:tc>
          <w:tcPr>
            <w:tcW w:w="20" w:type="dxa"/>
            <w:vAlign w:val="bottom"/>
            <w:shd w:val="clear" w:color="auto" w:fill="CCEEFF"/>
          </w:tcPr>
          <w:p>
            <w:pPr>
              <w:spacing w:after="0"/>
              <w:rPr>
                <w:sz w:val="12"/>
                <w:szCs w:val="12"/>
                <w:color w:val="auto"/>
              </w:rPr>
            </w:pPr>
          </w:p>
        </w:tc>
        <w:tc>
          <w:tcPr>
            <w:tcW w:w="36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Total capital ratio (to risk-weighted assets)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186,397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13.79 %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108,130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8.00 %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135,162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10.00 %</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141,921</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92" w:name="page93"/>
    <w:bookmarkEnd w:id="92"/>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Stock-Based Compensation</w:t>
      </w:r>
    </w:p>
    <w:p>
      <w:pPr>
        <w:spacing w:after="0" w:line="197" w:lineRule="exact"/>
        <w:rPr>
          <w:sz w:val="20"/>
          <w:szCs w:val="20"/>
          <w:color w:val="auto"/>
        </w:rPr>
      </w:pPr>
    </w:p>
    <w:p>
      <w:pPr>
        <w:jc w:val="both"/>
        <w:ind w:right="80" w:firstLine="255"/>
        <w:spacing w:after="0" w:line="256" w:lineRule="auto"/>
        <w:rPr>
          <w:sz w:val="20"/>
          <w:szCs w:val="20"/>
          <w:color w:val="auto"/>
        </w:rPr>
      </w:pPr>
      <w:r>
        <w:rPr>
          <w:rFonts w:ascii="Arial" w:cs="Arial" w:eastAsia="Arial" w:hAnsi="Arial"/>
          <w:sz w:val="14"/>
          <w:szCs w:val="14"/>
          <w:color w:val="auto"/>
        </w:rPr>
        <w:t>Compensation cost is recognized for stock options and restricted stock awards issued to employees. Compensation cost is measured as the fair value of these awards on their date of grant. A Black-Scholes model is utilized to estimate the fair value of stock options, while the market price of the Company’s common stock at the date of grant is used as the fair value of restricted stock awards. Compensation cost is recognized over the required service period, generally defined as the vesting period for stock option awards and as the restriction period for restricted stock awards. For awards with graded vesting, compensation cost is recognized on a straight-line basis over the requisite service period for the entire award.</w:t>
      </w:r>
    </w:p>
    <w:p>
      <w:pPr>
        <w:spacing w:after="0" w:line="160"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The expense recognition of employee stock option and restricted stock awards resulted in net expense of approximately $1.8 million and $1.4 million during the years ended December 31, 2022 and 2021,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Stock options:</w:t>
      </w:r>
    </w:p>
    <w:p>
      <w:pPr>
        <w:spacing w:after="0" w:line="193" w:lineRule="exact"/>
        <w:rPr>
          <w:sz w:val="20"/>
          <w:szCs w:val="20"/>
          <w:color w:val="auto"/>
        </w:rPr>
      </w:pPr>
    </w:p>
    <w:p>
      <w:pPr>
        <w:jc w:val="both"/>
        <w:ind w:right="80" w:firstLine="255"/>
        <w:spacing w:after="0" w:line="255" w:lineRule="auto"/>
        <w:rPr>
          <w:sz w:val="20"/>
          <w:szCs w:val="20"/>
          <w:color w:val="auto"/>
        </w:rPr>
      </w:pPr>
      <w:r>
        <w:rPr>
          <w:rFonts w:ascii="Arial" w:cs="Arial" w:eastAsia="Arial" w:hAnsi="Arial"/>
          <w:sz w:val="14"/>
          <w:szCs w:val="14"/>
          <w:color w:val="auto"/>
        </w:rPr>
        <w:t>The Company currently has two incentive compensation plans with outstanding stock options, the 2002 Stock Option Plan and the 2017 Stock and Incentive Compensation Plan (“the Plan”). Only the Plan, which authorizes the use of stock options, stock appreciation rights, restricted stock and/or restricted stock, is available to grant options and shares to employees and directors. At inception the Plan allowed for up to 1,120,000 shares of common stock to be issued. In 2021, an additional 900,000 shares were authorized for a total of 2,020,000. As of December 31, 2022, there are 896,462 shares available for future grant. Shares of common stock related to any unexercised or unvested award granted under the Plan that terminate or expire, or are subsequently forfeited or cancelled for any reason, become available for re-grant under the Plan. Option prices are equal to or greater than the estimated fair value of the common stock at the date of grant. Options outstanding vest over a four-year period, whereby 25% of the options become exercisable on each anniversary of the grant date.</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Information with respect to options outstanding during the years ended December 31, 2022 and 2021 is as follows:</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55"/>
        </w:trPr>
        <w:tc>
          <w:tcPr>
            <w:tcW w:w="6000" w:type="dxa"/>
            <w:vAlign w:val="bottom"/>
          </w:tcPr>
          <w:p>
            <w:pPr>
              <w:spacing w:after="0"/>
              <w:rPr>
                <w:sz w:val="13"/>
                <w:szCs w:val="1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2022</w:t>
            </w:r>
          </w:p>
        </w:tc>
        <w:tc>
          <w:tcPr>
            <w:tcW w:w="1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rPr>
              <w:t>2021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000" w:type="dxa"/>
            <w:vAlign w:val="bottom"/>
          </w:tcPr>
          <w:p>
            <w:pPr>
              <w:spacing w:after="0"/>
              <w:rPr>
                <w:sz w:val="9"/>
                <w:szCs w:val="9"/>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1260" w:type="dxa"/>
            <w:vAlign w:val="bottom"/>
            <w:gridSpan w:val="2"/>
          </w:tcPr>
          <w:p>
            <w:pPr>
              <w:jc w:val="center"/>
              <w:ind w:right="240"/>
              <w:spacing w:after="0" w:line="112" w:lineRule="exact"/>
              <w:rPr>
                <w:sz w:val="20"/>
                <w:szCs w:val="20"/>
                <w:color w:val="auto"/>
              </w:rPr>
            </w:pPr>
            <w:r>
              <w:rPr>
                <w:rFonts w:ascii="Arial" w:cs="Arial" w:eastAsia="Arial" w:hAnsi="Arial"/>
                <w:sz w:val="11"/>
                <w:szCs w:val="11"/>
                <w:b w:val="1"/>
                <w:bCs w:val="1"/>
                <w:color w:val="auto"/>
              </w:rPr>
              <w:t>Weighted Average</w:t>
            </w: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Arial" w:cs="Arial" w:eastAsia="Arial" w:hAnsi="Arial"/>
                <w:sz w:val="11"/>
                <w:szCs w:val="11"/>
                <w:color w:val="auto"/>
              </w:rPr>
              <w:t>Weighted Averag</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Exercise Price</w:t>
            </w:r>
          </w:p>
        </w:tc>
        <w:tc>
          <w:tcPr>
            <w:tcW w:w="1360" w:type="dxa"/>
            <w:vAlign w:val="bottom"/>
            <w:gridSpan w:val="2"/>
          </w:tcPr>
          <w:p>
            <w:pPr>
              <w:ind w:left="420"/>
              <w:spacing w:after="0"/>
              <w:rPr>
                <w:sz w:val="20"/>
                <w:szCs w:val="20"/>
                <w:color w:val="auto"/>
              </w:rPr>
            </w:pPr>
            <w:r>
              <w:rPr>
                <w:rFonts w:ascii="Arial" w:cs="Arial" w:eastAsia="Arial" w:hAnsi="Arial"/>
                <w:sz w:val="11"/>
                <w:szCs w:val="11"/>
                <w:color w:val="auto"/>
              </w:rPr>
              <w:t>Shares</w:t>
            </w:r>
          </w:p>
        </w:tc>
        <w:tc>
          <w:tcPr>
            <w:tcW w:w="10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Exercise Price</w:t>
            </w:r>
          </w:p>
        </w:tc>
        <w:tc>
          <w:tcPr>
            <w:tcW w:w="0" w:type="dxa"/>
            <w:vAlign w:val="bottom"/>
          </w:tcPr>
          <w:p>
            <w:pPr>
              <w:spacing w:after="0"/>
              <w:rPr>
                <w:sz w:val="1"/>
                <w:szCs w:val="1"/>
                <w:color w:val="auto"/>
              </w:rPr>
            </w:pPr>
          </w:p>
        </w:tc>
      </w:tr>
      <w:tr>
        <w:trPr>
          <w:trHeight w:val="146"/>
        </w:trPr>
        <w:tc>
          <w:tcPr>
            <w:tcW w:w="6000" w:type="dxa"/>
            <w:vAlign w:val="bottom"/>
          </w:tcPr>
          <w:p>
            <w:pPr>
              <w:ind w:left="20"/>
              <w:spacing w:after="0"/>
              <w:rPr>
                <w:sz w:val="20"/>
                <w:szCs w:val="20"/>
                <w:color w:val="auto"/>
              </w:rPr>
            </w:pPr>
            <w:r>
              <w:rPr>
                <w:rFonts w:ascii="Arial" w:cs="Arial" w:eastAsia="Arial" w:hAnsi="Arial"/>
                <w:sz w:val="11"/>
                <w:szCs w:val="11"/>
                <w:color w:val="auto"/>
              </w:rPr>
              <w:t>Outstanding at beginning of year</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1,060,023</w:t>
            </w: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14.77</w:t>
            </w:r>
          </w:p>
        </w:tc>
        <w:tc>
          <w:tcPr>
            <w:tcW w:w="140" w:type="dxa"/>
            <w:vAlign w:val="bottom"/>
          </w:tcPr>
          <w:p>
            <w:pPr>
              <w:spacing w:after="0"/>
              <w:rPr>
                <w:sz w:val="12"/>
                <w:szCs w:val="12"/>
                <w:color w:val="auto"/>
              </w:rPr>
            </w:pPr>
          </w:p>
        </w:tc>
        <w:tc>
          <w:tcPr>
            <w:tcW w:w="12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1,169,413</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Add: 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24.25</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170,244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55"/>
        </w:trPr>
        <w:tc>
          <w:tcPr>
            <w:tcW w:w="6000" w:type="dxa"/>
            <w:vAlign w:val="bottom"/>
          </w:tcPr>
          <w:p>
            <w:pPr>
              <w:ind w:left="100"/>
              <w:spacing w:after="0"/>
              <w:rPr>
                <w:sz w:val="20"/>
                <w:szCs w:val="20"/>
                <w:color w:val="auto"/>
              </w:rPr>
            </w:pPr>
            <w:r>
              <w:rPr>
                <w:rFonts w:ascii="Arial" w:cs="Arial" w:eastAsia="Arial" w:hAnsi="Arial"/>
                <w:sz w:val="11"/>
                <w:szCs w:val="11"/>
                <w:color w:val="auto"/>
              </w:rPr>
              <w:t>Less: Exercised</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(160,590)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b w:val="1"/>
                <w:bCs w:val="1"/>
                <w:color w:val="auto"/>
              </w:rPr>
              <w:t>12.46</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(186,461)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Retired on exercise</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(63,697)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12.52</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(54,192)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5"/>
        </w:trPr>
        <w:tc>
          <w:tcPr>
            <w:tcW w:w="60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Expired/cancelled/forfeited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(26,576)</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12.82</w:t>
            </w:r>
          </w:p>
        </w:tc>
        <w:tc>
          <w:tcPr>
            <w:tcW w:w="1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(38,981)</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Outstanding at end of year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811,160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15.37</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1,060,023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22"/>
        </w:trPr>
        <w:tc>
          <w:tcPr>
            <w:tcW w:w="6000" w:type="dxa"/>
            <w:vAlign w:val="bottom"/>
            <w:tcBorders>
              <w:top w:val="single" w:sz="8" w:color="CCEEFF"/>
            </w:tcBorders>
          </w:tcPr>
          <w:p>
            <w:pPr>
              <w:ind w:left="20"/>
              <w:spacing w:after="0" w:line="122" w:lineRule="exact"/>
              <w:rPr>
                <w:sz w:val="20"/>
                <w:szCs w:val="20"/>
                <w:color w:val="auto"/>
              </w:rPr>
            </w:pPr>
            <w:r>
              <w:rPr>
                <w:rFonts w:ascii="Arial" w:cs="Arial" w:eastAsia="Arial" w:hAnsi="Arial"/>
                <w:sz w:val="11"/>
                <w:szCs w:val="11"/>
                <w:color w:val="auto"/>
              </w:rPr>
              <w:t>Exercisable at end of year</w:t>
            </w:r>
          </w:p>
        </w:tc>
        <w:tc>
          <w:tcPr>
            <w:tcW w:w="12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538,066</w:t>
            </w: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tcPr>
          <w:p>
            <w:pPr>
              <w:jc w:val="right"/>
              <w:ind w:right="3"/>
              <w:spacing w:after="0" w:line="122" w:lineRule="exact"/>
              <w:rPr>
                <w:sz w:val="20"/>
                <w:szCs w:val="20"/>
                <w:color w:val="auto"/>
              </w:rPr>
            </w:pPr>
            <w:r>
              <w:rPr>
                <w:rFonts w:ascii="Arial" w:cs="Arial" w:eastAsia="Arial" w:hAnsi="Arial"/>
                <w:sz w:val="11"/>
                <w:szCs w:val="11"/>
                <w:b w:val="1"/>
                <w:bCs w:val="1"/>
                <w:color w:val="auto"/>
              </w:rPr>
              <w:t>13.63</w:t>
            </w:r>
          </w:p>
        </w:tc>
        <w:tc>
          <w:tcPr>
            <w:tcW w:w="140" w:type="dxa"/>
            <w:vAlign w:val="bottom"/>
            <w:tcBorders>
              <w:top w:val="single" w:sz="8" w:color="CCEEFF"/>
            </w:tcBorders>
          </w:tcPr>
          <w:p>
            <w:pPr>
              <w:spacing w:after="0"/>
              <w:rPr>
                <w:sz w:val="10"/>
                <w:szCs w:val="10"/>
                <w:color w:val="auto"/>
              </w:rPr>
            </w:pPr>
          </w:p>
        </w:tc>
        <w:tc>
          <w:tcPr>
            <w:tcW w:w="1200" w:type="dxa"/>
            <w:vAlign w:val="bottom"/>
            <w:tcBorders>
              <w:top w:val="single" w:sz="8" w:color="auto"/>
              <w:bottom w:val="single" w:sz="8" w:color="auto"/>
            </w:tcBorders>
          </w:tcPr>
          <w:p>
            <w:pPr>
              <w:jc w:val="right"/>
              <w:ind w:right="3"/>
              <w:spacing w:after="0" w:line="122" w:lineRule="exact"/>
              <w:rPr>
                <w:sz w:val="20"/>
                <w:szCs w:val="20"/>
                <w:color w:val="auto"/>
              </w:rPr>
            </w:pPr>
            <w:r>
              <w:rPr>
                <w:rFonts w:ascii="Arial" w:cs="Arial" w:eastAsia="Arial" w:hAnsi="Arial"/>
                <w:sz w:val="11"/>
                <w:szCs w:val="11"/>
                <w:color w:val="auto"/>
              </w:rPr>
              <w:t>551,804</w:t>
            </w: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weighted average fair value of options granted during the years ended December 31, 2022 and 2021, was $11.49 and $12.56,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93" w:name="page94"/>
    <w:bookmarkEnd w:id="93"/>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Stock-Based Compensation (continued)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summary of information about stock options outstanding is as follows:</w:t>
      </w:r>
    </w:p>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3"/>
                <w:szCs w:val="13"/>
                <w:b w:val="1"/>
                <w:bCs w:val="1"/>
                <w:color w:val="auto"/>
              </w:rPr>
              <w:t>Exercise Price Range</w:t>
            </w:r>
          </w:p>
        </w:tc>
        <w:tc>
          <w:tcPr>
            <w:tcW w:w="120" w:type="dxa"/>
            <w:vAlign w:val="bottom"/>
          </w:tcPr>
          <w:p>
            <w:pPr>
              <w:spacing w:after="0"/>
              <w:rPr>
                <w:sz w:val="13"/>
                <w:szCs w:val="13"/>
                <w:color w:val="auto"/>
              </w:rPr>
            </w:pPr>
          </w:p>
        </w:tc>
        <w:tc>
          <w:tcPr>
            <w:tcW w:w="184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Weighted Average Exercise</w:t>
            </w:r>
          </w:p>
        </w:tc>
        <w:tc>
          <w:tcPr>
            <w:tcW w:w="100" w:type="dxa"/>
            <w:vAlign w:val="bottom"/>
          </w:tcPr>
          <w:p>
            <w:pPr>
              <w:spacing w:after="0"/>
              <w:rPr>
                <w:sz w:val="13"/>
                <w:szCs w:val="13"/>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Average Remaining</w:t>
            </w: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Outstanding Shares</w:t>
            </w:r>
          </w:p>
        </w:tc>
        <w:tc>
          <w:tcPr>
            <w:tcW w:w="180" w:type="dxa"/>
            <w:vAlign w:val="bottom"/>
          </w:tcPr>
          <w:p>
            <w:pPr>
              <w:spacing w:after="0"/>
              <w:rPr>
                <w:sz w:val="13"/>
                <w:szCs w:val="13"/>
                <w:color w:val="auto"/>
              </w:rPr>
            </w:pPr>
          </w:p>
        </w:tc>
        <w:tc>
          <w:tcPr>
            <w:tcW w:w="132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Exercisable Shares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ind w:right="756"/>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4"/>
                <w:szCs w:val="14"/>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3"/>
                <w:szCs w:val="13"/>
                <w:b w:val="1"/>
                <w:bCs w:val="1"/>
                <w:color w:val="auto"/>
              </w:rPr>
              <w:t>Life (years)</w:t>
            </w: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tcBorders>
              <w:top w:val="single" w:sz="8" w:color="CCEEFF"/>
            </w:tcBorders>
            <w:gridSpan w:val="3"/>
            <w:shd w:val="clear" w:color="auto" w:fill="CCEEFF"/>
          </w:tcPr>
          <w:p>
            <w:pPr>
              <w:ind w:left="20"/>
              <w:spacing w:after="0" w:line="118" w:lineRule="exact"/>
              <w:rPr>
                <w:sz w:val="20"/>
                <w:szCs w:val="20"/>
                <w:color w:val="auto"/>
              </w:rPr>
            </w:pPr>
            <w:r>
              <w:rPr>
                <w:rFonts w:ascii="Arial" w:cs="Arial" w:eastAsia="Arial" w:hAnsi="Arial"/>
                <w:sz w:val="13"/>
                <w:szCs w:val="13"/>
                <w:b w:val="1"/>
                <w:bCs w:val="1"/>
                <w:color w:val="auto"/>
              </w:rPr>
              <w:t>December 31, 2022</w:t>
            </w:r>
          </w:p>
        </w:tc>
        <w:tc>
          <w:tcPr>
            <w:tcW w:w="15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100" w:type="dxa"/>
            <w:vAlign w:val="bottom"/>
            <w:tcBorders>
              <w:top w:val="single" w:sz="8" w:color="CCEEFF"/>
            </w:tcBorders>
            <w:gridSpan w:val="3"/>
          </w:tcPr>
          <w:p>
            <w:pPr>
              <w:jc w:val="right"/>
              <w:spacing w:after="0"/>
              <w:rPr>
                <w:sz w:val="20"/>
                <w:szCs w:val="20"/>
                <w:color w:val="auto"/>
              </w:rPr>
            </w:pPr>
            <w:r>
              <w:rPr>
                <w:rFonts w:ascii="Arial" w:cs="Arial" w:eastAsia="Arial" w:hAnsi="Arial"/>
                <w:sz w:val="13"/>
                <w:szCs w:val="13"/>
                <w:b w:val="1"/>
                <w:bCs w:val="1"/>
                <w:color w:val="auto"/>
              </w:rPr>
              <w:t>$10.70 - 14.63</w:t>
            </w: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84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13.02</w:t>
            </w:r>
          </w:p>
        </w:tc>
        <w:tc>
          <w:tcPr>
            <w:tcW w:w="1420" w:type="dxa"/>
            <w:vAlign w:val="bottom"/>
            <w:tcBorders>
              <w:top w:val="single" w:sz="8" w:color="CCEEFF"/>
            </w:tcBorders>
            <w:gridSpan w:val="2"/>
          </w:tcPr>
          <w:p>
            <w:pPr>
              <w:jc w:val="right"/>
              <w:spacing w:after="0"/>
              <w:rPr>
                <w:sz w:val="20"/>
                <w:szCs w:val="20"/>
                <w:color w:val="auto"/>
              </w:rPr>
            </w:pPr>
            <w:r>
              <w:rPr>
                <w:rFonts w:ascii="Arial" w:cs="Arial" w:eastAsia="Arial" w:hAnsi="Arial"/>
                <w:sz w:val="13"/>
                <w:szCs w:val="13"/>
                <w:b w:val="1"/>
                <w:bCs w:val="1"/>
                <w:color w:val="auto"/>
              </w:rPr>
              <w:t>1.73</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648,651</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492,9</w:t>
            </w:r>
          </w:p>
        </w:tc>
        <w:tc>
          <w:tcPr>
            <w:tcW w:w="0" w:type="dxa"/>
            <w:vAlign w:val="bottom"/>
          </w:tcPr>
          <w:p>
            <w:pPr>
              <w:spacing w:after="0"/>
              <w:rPr>
                <w:sz w:val="1"/>
                <w:szCs w:val="1"/>
                <w:color w:val="auto"/>
              </w:rPr>
            </w:pPr>
          </w:p>
        </w:tc>
      </w:tr>
      <w:tr>
        <w:trPr>
          <w:trHeight w:val="170"/>
        </w:trPr>
        <w:tc>
          <w:tcPr>
            <w:tcW w:w="3820" w:type="dxa"/>
            <w:vAlign w:val="bottom"/>
            <w:gridSpan w:val="4"/>
            <w:shd w:val="clear" w:color="auto" w:fill="CCEEFF"/>
          </w:tcPr>
          <w:p>
            <w:pPr>
              <w:ind w:left="3480"/>
              <w:spacing w:after="0"/>
              <w:rPr>
                <w:sz w:val="20"/>
                <w:szCs w:val="20"/>
                <w:color w:val="auto"/>
              </w:rPr>
            </w:pPr>
            <w:r>
              <w:rPr>
                <w:rFonts w:ascii="Arial" w:cs="Arial" w:eastAsia="Arial" w:hAnsi="Arial"/>
                <w:sz w:val="13"/>
                <w:szCs w:val="13"/>
                <w:b w:val="1"/>
                <w:bCs w:val="1"/>
                <w:color w:val="auto"/>
                <w:w w:val="98"/>
              </w:rPr>
              <w:t>14.64</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- 18.56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14.96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22,750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10,6</w:t>
            </w:r>
          </w:p>
        </w:tc>
        <w:tc>
          <w:tcPr>
            <w:tcW w:w="0" w:type="dxa"/>
            <w:vAlign w:val="bottom"/>
          </w:tcPr>
          <w:p>
            <w:pPr>
              <w:spacing w:after="0"/>
              <w:rPr>
                <w:sz w:val="1"/>
                <w:szCs w:val="1"/>
                <w:color w:val="auto"/>
              </w:rPr>
            </w:pPr>
          </w:p>
        </w:tc>
      </w:tr>
      <w:tr>
        <w:trPr>
          <w:trHeight w:val="169"/>
        </w:trPr>
        <w:tc>
          <w:tcPr>
            <w:tcW w:w="3820" w:type="dxa"/>
            <w:vAlign w:val="bottom"/>
            <w:gridSpan w:val="4"/>
          </w:tcPr>
          <w:p>
            <w:pPr>
              <w:ind w:left="3480"/>
              <w:spacing w:after="0"/>
              <w:rPr>
                <w:sz w:val="20"/>
                <w:szCs w:val="20"/>
                <w:color w:val="auto"/>
              </w:rPr>
            </w:pPr>
            <w:r>
              <w:rPr>
                <w:rFonts w:ascii="Arial" w:cs="Arial" w:eastAsia="Arial" w:hAnsi="Arial"/>
                <w:sz w:val="13"/>
                <w:szCs w:val="13"/>
                <w:b w:val="1"/>
                <w:bCs w:val="1"/>
                <w:color w:val="auto"/>
                <w:w w:val="98"/>
              </w:rPr>
              <w:t>18.57</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8"/>
              </w:rPr>
              <w:t>- 22.49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rPr>
              <w:t>21.86</w:t>
            </w:r>
          </w:p>
        </w:tc>
        <w:tc>
          <w:tcPr>
            <w:tcW w:w="1420" w:type="dxa"/>
            <w:vAlign w:val="bottom"/>
            <w:gridSpan w:val="2"/>
          </w:tcPr>
          <w:p>
            <w:pPr>
              <w:jc w:val="right"/>
              <w:spacing w:after="0"/>
              <w:rPr>
                <w:sz w:val="20"/>
                <w:szCs w:val="20"/>
                <w:color w:val="auto"/>
              </w:rPr>
            </w:pPr>
            <w:r>
              <w:rPr>
                <w:rFonts w:ascii="Arial" w:cs="Arial" w:eastAsia="Arial" w:hAnsi="Arial"/>
                <w:sz w:val="13"/>
                <w:szCs w:val="13"/>
                <w:b w:val="1"/>
                <w:bCs w:val="1"/>
                <w:color w:val="auto"/>
              </w:rPr>
              <w:t>3.07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2,500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6</w:t>
            </w:r>
          </w:p>
        </w:tc>
        <w:tc>
          <w:tcPr>
            <w:tcW w:w="0" w:type="dxa"/>
            <w:vAlign w:val="bottom"/>
          </w:tcPr>
          <w:p>
            <w:pPr>
              <w:spacing w:after="0"/>
              <w:rPr>
                <w:sz w:val="1"/>
                <w:szCs w:val="1"/>
                <w:color w:val="auto"/>
              </w:rPr>
            </w:pPr>
          </w:p>
        </w:tc>
      </w:tr>
      <w:tr>
        <w:trPr>
          <w:trHeight w:val="170"/>
        </w:trPr>
        <w:tc>
          <w:tcPr>
            <w:tcW w:w="3820" w:type="dxa"/>
            <w:vAlign w:val="bottom"/>
            <w:gridSpan w:val="4"/>
            <w:shd w:val="clear" w:color="auto" w:fill="CCEEFF"/>
          </w:tcPr>
          <w:p>
            <w:pPr>
              <w:ind w:left="3480"/>
              <w:spacing w:after="0"/>
              <w:rPr>
                <w:sz w:val="20"/>
                <w:szCs w:val="20"/>
                <w:color w:val="auto"/>
              </w:rPr>
            </w:pPr>
            <w:r>
              <w:rPr>
                <w:rFonts w:ascii="Arial" w:cs="Arial" w:eastAsia="Arial" w:hAnsi="Arial"/>
                <w:sz w:val="13"/>
                <w:szCs w:val="13"/>
                <w:b w:val="1"/>
                <w:bCs w:val="1"/>
                <w:color w:val="auto"/>
                <w:w w:val="98"/>
              </w:rPr>
              <w:t>22.50</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- 26.41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26.38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3.86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137,259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33,8</w:t>
            </w:r>
          </w:p>
        </w:tc>
        <w:tc>
          <w:tcPr>
            <w:tcW w:w="0" w:type="dxa"/>
            <w:vAlign w:val="bottom"/>
          </w:tcPr>
          <w:p>
            <w:pPr>
              <w:spacing w:after="0"/>
              <w:rPr>
                <w:sz w:val="1"/>
                <w:szCs w:val="1"/>
                <w:color w:val="auto"/>
              </w:rPr>
            </w:pPr>
          </w:p>
        </w:tc>
      </w:tr>
      <w:tr>
        <w:trPr>
          <w:trHeight w:val="161"/>
        </w:trPr>
        <w:tc>
          <w:tcPr>
            <w:tcW w:w="3820" w:type="dxa"/>
            <w:vAlign w:val="bottom"/>
            <w:gridSpan w:val="4"/>
          </w:tcPr>
          <w:p>
            <w:pPr>
              <w:ind w:left="20"/>
              <w:spacing w:after="0"/>
              <w:rPr>
                <w:sz w:val="20"/>
                <w:szCs w:val="20"/>
                <w:color w:val="auto"/>
              </w:rPr>
            </w:pPr>
            <w:r>
              <w:rPr>
                <w:rFonts w:ascii="Arial" w:cs="Arial" w:eastAsia="Arial" w:hAnsi="Arial"/>
                <w:sz w:val="13"/>
                <w:szCs w:val="13"/>
                <w:b w:val="1"/>
                <w:bCs w:val="1"/>
                <w:color w:val="auto"/>
              </w:rPr>
              <w:t>Total outstanding options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rPr>
              <w:t>15.37</w:t>
            </w:r>
          </w:p>
        </w:tc>
        <w:tc>
          <w:tcPr>
            <w:tcW w:w="1420" w:type="dxa"/>
            <w:vAlign w:val="bottom"/>
            <w:gridSpan w:val="2"/>
          </w:tcPr>
          <w:p>
            <w:pPr>
              <w:jc w:val="right"/>
              <w:spacing w:after="0"/>
              <w:rPr>
                <w:sz w:val="20"/>
                <w:szCs w:val="20"/>
                <w:color w:val="auto"/>
              </w:rPr>
            </w:pPr>
            <w:r>
              <w:rPr>
                <w:rFonts w:ascii="Arial" w:cs="Arial" w:eastAsia="Arial" w:hAnsi="Arial"/>
                <w:sz w:val="13"/>
                <w:szCs w:val="13"/>
                <w:b w:val="1"/>
                <w:bCs w:val="1"/>
                <w:color w:val="auto"/>
              </w:rPr>
              <w:t>2.11</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811,160</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538,0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820" w:type="dxa"/>
            <w:vAlign w:val="bottom"/>
            <w:gridSpan w:val="4"/>
            <w:shd w:val="clear" w:color="auto" w:fill="CCEEFF"/>
          </w:tcPr>
          <w:p>
            <w:pPr>
              <w:ind w:left="20"/>
              <w:spacing w:after="0" w:line="89" w:lineRule="exact"/>
              <w:rPr>
                <w:sz w:val="20"/>
                <w:szCs w:val="20"/>
                <w:color w:val="auto"/>
              </w:rPr>
            </w:pPr>
            <w:r>
              <w:rPr>
                <w:rFonts w:ascii="Arial" w:cs="Arial" w:eastAsia="Arial" w:hAnsi="Arial"/>
                <w:sz w:val="10"/>
                <w:szCs w:val="10"/>
                <w:b w:val="1"/>
                <w:bCs w:val="1"/>
                <w:color w:val="auto"/>
              </w:rPr>
              <w:t>Intrinsic value on December 31,</w:t>
            </w: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68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7,020,560</w:t>
            </w:r>
          </w:p>
        </w:tc>
        <w:tc>
          <w:tcPr>
            <w:tcW w:w="100" w:type="dxa"/>
            <w:vAlign w:val="bottom"/>
            <w:shd w:val="clear" w:color="auto" w:fill="CCEEFF"/>
          </w:tcPr>
          <w:p>
            <w:pPr>
              <w:spacing w:after="0"/>
              <w:rPr>
                <w:sz w:val="7"/>
                <w:szCs w:val="7"/>
                <w:color w:val="auto"/>
              </w:rPr>
            </w:pPr>
          </w:p>
        </w:tc>
        <w:tc>
          <w:tcPr>
            <w:tcW w:w="1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5,428,7</w:t>
            </w:r>
          </w:p>
        </w:tc>
        <w:tc>
          <w:tcPr>
            <w:tcW w:w="0" w:type="dxa"/>
            <w:vAlign w:val="bottom"/>
          </w:tcPr>
          <w:p>
            <w:pPr>
              <w:spacing w:after="0"/>
              <w:rPr>
                <w:sz w:val="1"/>
                <w:szCs w:val="1"/>
                <w:color w:val="auto"/>
              </w:rPr>
            </w:pPr>
          </w:p>
        </w:tc>
      </w:tr>
      <w:tr>
        <w:trPr>
          <w:trHeight w:val="169"/>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2022</w:t>
            </w:r>
          </w:p>
        </w:tc>
        <w:tc>
          <w:tcPr>
            <w:tcW w:w="1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80" w:type="dxa"/>
            <w:vAlign w:val="bottom"/>
            <w:gridSpan w:val="4"/>
            <w:vMerge w:val="continue"/>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820" w:type="dxa"/>
            <w:vAlign w:val="bottom"/>
            <w:gridSpan w:val="4"/>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December 31, 2021</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100" w:type="dxa"/>
            <w:vAlign w:val="bottom"/>
            <w:tcBorders>
              <w:top w:val="single" w:sz="8" w:color="CCEEFF"/>
            </w:tcBorders>
            <w:gridSpan w:val="3"/>
          </w:tcPr>
          <w:p>
            <w:pPr>
              <w:jc w:val="right"/>
              <w:spacing w:after="0"/>
              <w:rPr>
                <w:sz w:val="20"/>
                <w:szCs w:val="20"/>
                <w:color w:val="auto"/>
              </w:rPr>
            </w:pPr>
            <w:r>
              <w:rPr>
                <w:rFonts w:ascii="Arial" w:cs="Arial" w:eastAsia="Arial" w:hAnsi="Arial"/>
                <w:sz w:val="13"/>
                <w:szCs w:val="13"/>
                <w:color w:val="auto"/>
              </w:rPr>
              <w:t>$10.70 - 14.63</w:t>
            </w: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18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12.89</w:t>
            </w:r>
          </w:p>
        </w:tc>
        <w:tc>
          <w:tcPr>
            <w:tcW w:w="1420" w:type="dxa"/>
            <w:vAlign w:val="bottom"/>
            <w:tcBorders>
              <w:top w:val="single" w:sz="8" w:color="CCEEFF"/>
            </w:tcBorders>
            <w:gridSpan w:val="2"/>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892,529</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546,8</w:t>
            </w:r>
          </w:p>
        </w:tc>
        <w:tc>
          <w:tcPr>
            <w:tcW w:w="0" w:type="dxa"/>
            <w:vAlign w:val="bottom"/>
          </w:tcPr>
          <w:p>
            <w:pPr>
              <w:spacing w:after="0"/>
              <w:rPr>
                <w:sz w:val="1"/>
                <w:szCs w:val="1"/>
                <w:color w:val="auto"/>
              </w:rPr>
            </w:pPr>
          </w:p>
        </w:tc>
      </w:tr>
      <w:tr>
        <w:trPr>
          <w:trHeight w:val="172"/>
        </w:trPr>
        <w:tc>
          <w:tcPr>
            <w:tcW w:w="426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14.64 - 18.56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8"/>
        </w:trPr>
        <w:tc>
          <w:tcPr>
            <w:tcW w:w="4260" w:type="dxa"/>
            <w:vAlign w:val="bottom"/>
            <w:gridSpan w:val="5"/>
          </w:tcPr>
          <w:p>
            <w:pPr>
              <w:jc w:val="right"/>
              <w:spacing w:after="0"/>
              <w:rPr>
                <w:sz w:val="20"/>
                <w:szCs w:val="20"/>
                <w:color w:val="auto"/>
              </w:rPr>
            </w:pPr>
            <w:r>
              <w:rPr>
                <w:rFonts w:ascii="Arial" w:cs="Arial" w:eastAsia="Arial" w:hAnsi="Arial"/>
                <w:sz w:val="13"/>
                <w:szCs w:val="13"/>
                <w:color w:val="auto"/>
              </w:rPr>
              <w:t>18.57 - 22.49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21.86</w:t>
            </w: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4.71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6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22.50 - 26.41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142,244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20" w:type="dxa"/>
            <w:vAlign w:val="bottom"/>
            <w:gridSpan w:val="4"/>
          </w:tcPr>
          <w:p>
            <w:pPr>
              <w:ind w:left="20"/>
              <w:spacing w:after="0"/>
              <w:rPr>
                <w:sz w:val="20"/>
                <w:szCs w:val="20"/>
                <w:color w:val="auto"/>
              </w:rPr>
            </w:pPr>
            <w:r>
              <w:rPr>
                <w:rFonts w:ascii="Arial" w:cs="Arial" w:eastAsia="Arial" w:hAnsi="Arial"/>
                <w:sz w:val="13"/>
                <w:szCs w:val="13"/>
                <w:color w:val="auto"/>
              </w:rPr>
              <w:t>Total outstanding options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840" w:type="dxa"/>
            <w:vAlign w:val="bottom"/>
          </w:tcPr>
          <w:p>
            <w:pPr>
              <w:jc w:val="right"/>
              <w:spacing w:after="0"/>
              <w:rPr>
                <w:sz w:val="20"/>
                <w:szCs w:val="20"/>
                <w:color w:val="auto"/>
              </w:rPr>
            </w:pPr>
            <w:r>
              <w:rPr>
                <w:rFonts w:ascii="Arial" w:cs="Arial" w:eastAsia="Arial" w:hAnsi="Arial"/>
                <w:sz w:val="13"/>
                <w:szCs w:val="13"/>
                <w:color w:val="auto"/>
              </w:rPr>
              <w:t>14.77</w:t>
            </w: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1,060,023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Intrinsic value on December 31, 2021</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12,143,007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80" w:firstLine="255"/>
        <w:spacing w:after="0" w:line="259" w:lineRule="auto"/>
        <w:rPr>
          <w:sz w:val="20"/>
          <w:szCs w:val="20"/>
          <w:color w:val="auto"/>
        </w:rPr>
      </w:pPr>
      <w:r>
        <w:rPr>
          <w:rFonts w:ascii="Arial" w:cs="Arial" w:eastAsia="Arial" w:hAnsi="Arial"/>
          <w:sz w:val="14"/>
          <w:szCs w:val="14"/>
          <w:color w:val="auto"/>
        </w:rPr>
        <w:t>The aggregate intrinsic value as presented in the preceding tables is the difference between the estimated fair value of the stock as of December 31, 2022 and 2021, and the exercise price of the option multiplied by the number of options outstanding. Stock options with exercise prices greater than the estimated fair value of the stock are not included in this calculation.</w:t>
      </w:r>
    </w:p>
    <w:p>
      <w:pPr>
        <w:spacing w:after="0" w:line="158"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Total unrecognized compensation expense related to stock options to be recognized over the next five years was $1.2 million and $2.9 million at December 31, 2022 and 2021, respectively.</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intrinsic value of stock options exercised was $1.9 million and $4.0 million during the years ended December 31, 2022 and 2021, respectively.</w:t>
      </w:r>
    </w:p>
    <w:p>
      <w:pPr>
        <w:spacing w:after="0" w:line="179" w:lineRule="exact"/>
        <w:rPr>
          <w:sz w:val="20"/>
          <w:szCs w:val="20"/>
          <w:color w:val="auto"/>
        </w:rPr>
      </w:pPr>
    </w:p>
    <w:p>
      <w:pPr>
        <w:ind w:right="620"/>
        <w:spacing w:after="0" w:line="266" w:lineRule="auto"/>
        <w:rPr>
          <w:sz w:val="20"/>
          <w:szCs w:val="20"/>
          <w:color w:val="auto"/>
        </w:rPr>
      </w:pPr>
      <w:r>
        <w:rPr>
          <w:rFonts w:ascii="Arial" w:cs="Arial" w:eastAsia="Arial" w:hAnsi="Arial"/>
          <w:sz w:val="14"/>
          <w:szCs w:val="14"/>
          <w:color w:val="auto"/>
        </w:rPr>
        <w:t>The weighted average fair value of options granted during 2022 and 2021 were estimated using the Black-Scholes option-pricing model with the following weighted average assumptions:</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160" w:type="dxa"/>
            <w:vAlign w:val="bottom"/>
          </w:tcPr>
          <w:p>
            <w:pPr>
              <w:spacing w:after="0"/>
              <w:rPr>
                <w:sz w:val="14"/>
                <w:szCs w:val="14"/>
                <w:color w:val="auto"/>
              </w:rPr>
            </w:pPr>
          </w:p>
        </w:tc>
        <w:tc>
          <w:tcPr>
            <w:tcW w:w="1760" w:type="dxa"/>
            <w:vAlign w:val="bottom"/>
            <w:tcBorders>
              <w:bottom w:val="single" w:sz="8" w:color="auto"/>
            </w:tcBorders>
          </w:tcPr>
          <w:p>
            <w:pPr>
              <w:jc w:val="center"/>
              <w:ind w:left="136"/>
              <w:spacing w:after="0"/>
              <w:rPr>
                <w:sz w:val="20"/>
                <w:szCs w:val="20"/>
                <w:color w:val="auto"/>
              </w:rPr>
            </w:pPr>
            <w:r>
              <w:rPr>
                <w:rFonts w:ascii="Arial" w:cs="Arial" w:eastAsia="Arial" w:hAnsi="Arial"/>
                <w:sz w:val="13"/>
                <w:szCs w:val="13"/>
                <w:b w:val="1"/>
                <w:bCs w:val="1"/>
                <w:color w:val="auto"/>
                <w:w w:val="96"/>
              </w:rPr>
              <w:t>2021</w:t>
            </w:r>
          </w:p>
        </w:tc>
      </w:tr>
      <w:tr>
        <w:trPr>
          <w:trHeight w:val="162"/>
        </w:trPr>
        <w:tc>
          <w:tcPr>
            <w:tcW w:w="7260" w:type="dxa"/>
            <w:vAlign w:val="bottom"/>
          </w:tcPr>
          <w:p>
            <w:pPr>
              <w:ind w:left="20"/>
              <w:spacing w:after="0"/>
              <w:rPr>
                <w:sz w:val="20"/>
                <w:szCs w:val="20"/>
                <w:color w:val="auto"/>
              </w:rPr>
            </w:pPr>
            <w:r>
              <w:rPr>
                <w:rFonts w:ascii="Arial" w:cs="Arial" w:eastAsia="Arial" w:hAnsi="Arial"/>
                <w:sz w:val="13"/>
                <w:szCs w:val="13"/>
                <w:color w:val="auto"/>
              </w:rPr>
              <w:t>Dividend yield</w:t>
            </w: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7"/>
              </w:rPr>
              <w:t>0.99%</w:t>
            </w:r>
          </w:p>
        </w:tc>
        <w:tc>
          <w:tcPr>
            <w:tcW w:w="160" w:type="dxa"/>
            <w:vAlign w:val="bottom"/>
          </w:tcPr>
          <w:p>
            <w:pPr>
              <w:spacing w:after="0"/>
              <w:rPr>
                <w:sz w:val="14"/>
                <w:szCs w:val="14"/>
                <w:color w:val="auto"/>
              </w:rPr>
            </w:pPr>
          </w:p>
        </w:tc>
        <w:tc>
          <w:tcPr>
            <w:tcW w:w="1760" w:type="dxa"/>
            <w:vAlign w:val="bottom"/>
          </w:tcPr>
          <w:p>
            <w:pPr>
              <w:jc w:val="center"/>
              <w:ind w:left="136"/>
              <w:spacing w:after="0"/>
              <w:rPr>
                <w:sz w:val="20"/>
                <w:szCs w:val="20"/>
                <w:color w:val="auto"/>
              </w:rPr>
            </w:pPr>
            <w:r>
              <w:rPr>
                <w:rFonts w:ascii="Arial" w:cs="Arial" w:eastAsia="Arial" w:hAnsi="Arial"/>
                <w:sz w:val="13"/>
                <w:szCs w:val="13"/>
                <w:color w:val="auto"/>
                <w:w w:val="97"/>
              </w:rPr>
              <w:t>0.80%</w:t>
            </w: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 free interest rate</w:t>
            </w: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97"/>
              </w:rPr>
              <w:t>3.25%</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jc w:val="center"/>
              <w:ind w:left="136"/>
              <w:spacing w:after="0"/>
              <w:rPr>
                <w:sz w:val="20"/>
                <w:szCs w:val="20"/>
                <w:color w:val="auto"/>
              </w:rPr>
            </w:pPr>
            <w:r>
              <w:rPr>
                <w:rFonts w:ascii="Arial" w:cs="Arial" w:eastAsia="Arial" w:hAnsi="Arial"/>
                <w:sz w:val="13"/>
                <w:szCs w:val="13"/>
                <w:color w:val="auto"/>
                <w:w w:val="97"/>
              </w:rPr>
              <w:t>0.25%</w:t>
            </w:r>
          </w:p>
        </w:tc>
      </w:tr>
      <w:tr>
        <w:trPr>
          <w:trHeight w:val="169"/>
        </w:trPr>
        <w:tc>
          <w:tcPr>
            <w:tcW w:w="7260" w:type="dxa"/>
            <w:vAlign w:val="bottom"/>
          </w:tcPr>
          <w:p>
            <w:pPr>
              <w:ind w:left="20"/>
              <w:spacing w:after="0"/>
              <w:rPr>
                <w:sz w:val="20"/>
                <w:szCs w:val="20"/>
                <w:color w:val="auto"/>
              </w:rPr>
            </w:pPr>
            <w:r>
              <w:rPr>
                <w:rFonts w:ascii="Arial" w:cs="Arial" w:eastAsia="Arial" w:hAnsi="Arial"/>
                <w:sz w:val="13"/>
                <w:szCs w:val="13"/>
                <w:color w:val="auto"/>
              </w:rPr>
              <w:t>Expected volatility</w:t>
            </w: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9"/>
              </w:rPr>
              <w:t>55.91%</w:t>
            </w:r>
          </w:p>
        </w:tc>
        <w:tc>
          <w:tcPr>
            <w:tcW w:w="160" w:type="dxa"/>
            <w:vAlign w:val="bottom"/>
          </w:tcPr>
          <w:p>
            <w:pPr>
              <w:spacing w:after="0"/>
              <w:rPr>
                <w:sz w:val="14"/>
                <w:szCs w:val="14"/>
                <w:color w:val="auto"/>
              </w:rPr>
            </w:pPr>
          </w:p>
        </w:tc>
        <w:tc>
          <w:tcPr>
            <w:tcW w:w="1760" w:type="dxa"/>
            <w:vAlign w:val="bottom"/>
          </w:tcPr>
          <w:p>
            <w:pPr>
              <w:jc w:val="center"/>
              <w:ind w:left="116"/>
              <w:spacing w:after="0"/>
              <w:rPr>
                <w:sz w:val="20"/>
                <w:szCs w:val="20"/>
                <w:color w:val="auto"/>
              </w:rPr>
            </w:pPr>
            <w:r>
              <w:rPr>
                <w:rFonts w:ascii="Arial" w:cs="Arial" w:eastAsia="Arial" w:hAnsi="Arial"/>
                <w:sz w:val="13"/>
                <w:szCs w:val="13"/>
                <w:color w:val="auto"/>
                <w:w w:val="95"/>
              </w:rPr>
              <w:t>60.97%</w:t>
            </w: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life in years</w:t>
            </w: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rPr>
              <w:t>5</w:t>
            </w: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jc w:val="center"/>
              <w:ind w:left="116"/>
              <w:spacing w:after="0"/>
              <w:rPr>
                <w:sz w:val="20"/>
                <w:szCs w:val="20"/>
                <w:color w:val="auto"/>
              </w:rPr>
            </w:pPr>
            <w:r>
              <w:rPr>
                <w:rFonts w:ascii="Arial" w:cs="Arial" w:eastAsia="Arial" w:hAnsi="Arial"/>
                <w:sz w:val="13"/>
                <w:szCs w:val="13"/>
                <w:color w:val="auto"/>
                <w:w w:val="82"/>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94" w:name="page95"/>
    <w:bookmarkEnd w:id="94"/>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Stock-Based Compensation (continued)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Restricted stock:</w:t>
      </w:r>
    </w:p>
    <w:p>
      <w:pPr>
        <w:spacing w:after="0" w:line="193" w:lineRule="exact"/>
        <w:rPr>
          <w:sz w:val="20"/>
          <w:szCs w:val="20"/>
          <w:color w:val="auto"/>
        </w:rPr>
      </w:pPr>
    </w:p>
    <w:p>
      <w:pPr>
        <w:jc w:val="both"/>
        <w:ind w:right="80" w:firstLine="255"/>
        <w:spacing w:after="0" w:line="257" w:lineRule="auto"/>
        <w:rPr>
          <w:sz w:val="20"/>
          <w:szCs w:val="20"/>
          <w:color w:val="auto"/>
        </w:rPr>
      </w:pPr>
      <w:r>
        <w:rPr>
          <w:rFonts w:ascii="Arial" w:cs="Arial" w:eastAsia="Arial" w:hAnsi="Arial"/>
          <w:sz w:val="14"/>
          <w:szCs w:val="14"/>
          <w:color w:val="auto"/>
        </w:rPr>
        <w:t>The Company from time-to-time also grants shares of restricted stock to key employees. These awards help align the interests of these employees with the interests of the stockholders of the Company by providing economic value directly related to increases in the value of the Company’s stock. These awards typically hold service requirements over various vesting periods. The value of the stock awarded is established as the fair market value of the stock at the time of the grant. The Company recognizes expense, equal to the total value of such awards, ratably over the vesting period of the stock grants.</w:t>
      </w:r>
    </w:p>
    <w:p>
      <w:pPr>
        <w:spacing w:after="0" w:line="159" w:lineRule="exact"/>
        <w:rPr>
          <w:sz w:val="20"/>
          <w:szCs w:val="20"/>
          <w:color w:val="auto"/>
        </w:rPr>
      </w:pPr>
    </w:p>
    <w:p>
      <w:pPr>
        <w:jc w:val="both"/>
        <w:ind w:right="80" w:firstLine="255"/>
        <w:spacing w:after="0" w:line="266" w:lineRule="auto"/>
        <w:rPr>
          <w:sz w:val="20"/>
          <w:szCs w:val="20"/>
          <w:color w:val="auto"/>
        </w:rPr>
      </w:pPr>
      <w:r>
        <w:rPr>
          <w:rFonts w:ascii="Arial" w:cs="Arial" w:eastAsia="Arial" w:hAnsi="Arial"/>
          <w:sz w:val="14"/>
          <w:szCs w:val="14"/>
          <w:color w:val="auto"/>
        </w:rPr>
        <w:t>All restricted stock agreements are conditioned upon continued employment. Termination of employment prior to a vesting date, as described below, would terminate any interest in non-vested shares. All restricted shares will fully vest in the event of change in control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Nonvested restricted stock for the years ended December 31, 2022 and 2021 is summarized in the following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1"/>
                <w:szCs w:val="11"/>
                <w:b w:val="1"/>
                <w:bCs w:val="1"/>
                <w:color w:val="auto"/>
              </w:rPr>
              <w:t>2021</w:t>
            </w: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88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Shares</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4"/>
          </w:tcPr>
          <w:p>
            <w:pPr>
              <w:ind w:left="80"/>
              <w:spacing w:after="0" w:line="112" w:lineRule="exact"/>
              <w:rPr>
                <w:sz w:val="20"/>
                <w:szCs w:val="20"/>
                <w:color w:val="auto"/>
              </w:rPr>
            </w:pPr>
            <w:r>
              <w:rPr>
                <w:rFonts w:ascii="Arial" w:cs="Arial" w:eastAsia="Arial" w:hAnsi="Arial"/>
                <w:sz w:val="11"/>
                <w:szCs w:val="11"/>
                <w:b w:val="1"/>
                <w:bCs w:val="1"/>
                <w:color w:val="auto"/>
              </w:rPr>
              <w:t>Weighted Average</w:t>
            </w: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tcPr>
          <w:p>
            <w:pPr>
              <w:jc w:val="right"/>
              <w:spacing w:after="0" w:line="112" w:lineRule="exact"/>
              <w:rPr>
                <w:sz w:val="20"/>
                <w:szCs w:val="20"/>
                <w:color w:val="auto"/>
              </w:rPr>
            </w:pPr>
            <w:r>
              <w:rPr>
                <w:rFonts w:ascii="Arial" w:cs="Arial" w:eastAsia="Arial" w:hAnsi="Arial"/>
                <w:sz w:val="11"/>
                <w:szCs w:val="11"/>
                <w:color w:val="auto"/>
              </w:rPr>
              <w:t>Weighted Average Gra</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Grant-Date Fair Value</w:t>
            </w:r>
          </w:p>
        </w:tc>
        <w:tc>
          <w:tcPr>
            <w:tcW w:w="1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rPr>
              <w:t>Shares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Date Fair Value</w:t>
            </w: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6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Nonvested at beginning of year</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1"/>
                <w:szCs w:val="11"/>
                <w:b w:val="1"/>
                <w:bCs w:val="1"/>
                <w:color w:val="auto"/>
              </w:rPr>
              <w:t>49,047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14.33</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30,713</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Add: Granted</w:t>
            </w:r>
          </w:p>
        </w:tc>
        <w:tc>
          <w:tcPr>
            <w:tcW w:w="480" w:type="dxa"/>
            <w:vAlign w:val="bottom"/>
          </w:tcPr>
          <w:p>
            <w:pPr>
              <w:jc w:val="right"/>
              <w:ind w:right="1"/>
              <w:spacing w:after="0"/>
              <w:rPr>
                <w:sz w:val="20"/>
                <w:szCs w:val="20"/>
                <w:color w:val="auto"/>
              </w:rPr>
            </w:pPr>
            <w:r>
              <w:rPr>
                <w:rFonts w:ascii="Arial" w:cs="Arial" w:eastAsia="Arial" w:hAnsi="Arial"/>
                <w:sz w:val="11"/>
                <w:szCs w:val="11"/>
                <w:b w:val="1"/>
                <w:bCs w:val="1"/>
                <w:color w:val="auto"/>
              </w:rPr>
              <w:t>11,495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b w:val="1"/>
                <w:bCs w:val="1"/>
                <w:color w:val="auto"/>
              </w:rPr>
              <w:t>24.66</w:t>
            </w:r>
          </w:p>
        </w:tc>
        <w:tc>
          <w:tcPr>
            <w:tcW w:w="14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1"/>
                <w:szCs w:val="11"/>
                <w:color w:val="auto"/>
              </w:rPr>
              <w:t>29,405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Less: Vested</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(15,905)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14.01</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(11,071)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Less: Retired on vesting</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(4,968)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b w:val="1"/>
                <w:bCs w:val="1"/>
                <w:color w:val="auto"/>
              </w:rPr>
              <w:t>14.44</w:t>
            </w:r>
          </w:p>
        </w:tc>
        <w:tc>
          <w:tcPr>
            <w:tcW w:w="14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Forfeited</w:t>
            </w:r>
          </w:p>
        </w:tc>
        <w:tc>
          <w:tcPr>
            <w:tcW w:w="8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6380" w:type="dxa"/>
            <w:vAlign w:val="bottom"/>
            <w:gridSpan w:val="2"/>
          </w:tcPr>
          <w:p>
            <w:pPr>
              <w:ind w:left="20"/>
              <w:spacing w:after="0"/>
              <w:rPr>
                <w:sz w:val="20"/>
                <w:szCs w:val="20"/>
                <w:color w:val="auto"/>
              </w:rPr>
            </w:pPr>
            <w:r>
              <w:rPr>
                <w:rFonts w:ascii="Arial" w:cs="Arial" w:eastAsia="Arial" w:hAnsi="Arial"/>
                <w:sz w:val="11"/>
                <w:szCs w:val="11"/>
                <w:color w:val="auto"/>
              </w:rPr>
              <w:t>Nonvested at end of year</w:t>
            </w:r>
          </w:p>
        </w:tc>
        <w:tc>
          <w:tcPr>
            <w:tcW w:w="480" w:type="dxa"/>
            <w:vAlign w:val="bottom"/>
          </w:tcPr>
          <w:p>
            <w:pPr>
              <w:jc w:val="right"/>
              <w:ind w:right="1"/>
              <w:spacing w:after="0"/>
              <w:rPr>
                <w:sz w:val="20"/>
                <w:szCs w:val="20"/>
                <w:color w:val="auto"/>
              </w:rPr>
            </w:pPr>
            <w:r>
              <w:rPr>
                <w:rFonts w:ascii="Arial" w:cs="Arial" w:eastAsia="Arial" w:hAnsi="Arial"/>
                <w:sz w:val="11"/>
                <w:szCs w:val="11"/>
                <w:b w:val="1"/>
                <w:bCs w:val="1"/>
                <w:color w:val="auto"/>
              </w:rPr>
              <w:t>39,669</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w:t>
            </w:r>
          </w:p>
        </w:tc>
        <w:tc>
          <w:tcPr>
            <w:tcW w:w="1260" w:type="dxa"/>
            <w:vAlign w:val="bottom"/>
            <w:gridSpan w:val="3"/>
          </w:tcPr>
          <w:p>
            <w:pPr>
              <w:jc w:val="right"/>
              <w:spacing w:after="0"/>
              <w:rPr>
                <w:sz w:val="20"/>
                <w:szCs w:val="20"/>
                <w:color w:val="auto"/>
              </w:rPr>
            </w:pPr>
            <w:r>
              <w:rPr>
                <w:rFonts w:ascii="Arial" w:cs="Arial" w:eastAsia="Arial" w:hAnsi="Arial"/>
                <w:sz w:val="11"/>
                <w:szCs w:val="11"/>
                <w:b w:val="1"/>
                <w:bCs w:val="1"/>
                <w:color w:val="auto"/>
              </w:rPr>
              <w:t>17.45</w:t>
            </w:r>
          </w:p>
        </w:tc>
        <w:tc>
          <w:tcPr>
            <w:tcW w:w="14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1"/>
                <w:szCs w:val="11"/>
                <w:color w:val="auto"/>
              </w:rPr>
              <w:t>49,047</w:t>
            </w:r>
          </w:p>
        </w:tc>
        <w:tc>
          <w:tcPr>
            <w:tcW w:w="280" w:type="dxa"/>
            <w:vAlign w:val="bottom"/>
            <w:gridSpan w:val="2"/>
          </w:tcPr>
          <w:p>
            <w:pPr>
              <w:jc w:val="right"/>
              <w:ind w:right="43"/>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6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4"/>
                <w:szCs w:val="14"/>
                <w:color w:val="auto"/>
              </w:rPr>
              <w:t>The vesting schedule of restricted shares as of December 31, 2022 is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6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60" w:type="dxa"/>
            <w:vAlign w:val="bottom"/>
            <w:gridSpan w:val="2"/>
          </w:tcPr>
          <w:p>
            <w:pPr>
              <w:ind w:left="20"/>
              <w:spacing w:after="0"/>
              <w:rPr>
                <w:sz w:val="20"/>
                <w:szCs w:val="20"/>
                <w:color w:val="auto"/>
              </w:rPr>
            </w:pPr>
            <w:r>
              <w:rPr>
                <w:rFonts w:ascii="Arial" w:cs="Arial" w:eastAsia="Arial" w:hAnsi="Arial"/>
                <w:sz w:val="13"/>
                <w:szCs w:val="13"/>
                <w:color w:val="auto"/>
              </w:rPr>
              <w:t>2024</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13,632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was $429 thousand and $189 thousand of total unrecognized compensation expense related to nonvested restricted stock at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95" w:name="page96"/>
    <w:bookmarkEnd w:id="95"/>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Parent Company Financial Information</w:t>
      </w:r>
    </w:p>
    <w:p>
      <w:pPr>
        <w:spacing w:after="0" w:line="197" w:lineRule="exact"/>
        <w:rPr>
          <w:sz w:val="20"/>
          <w:szCs w:val="20"/>
          <w:color w:val="auto"/>
        </w:rPr>
      </w:pPr>
    </w:p>
    <w:p>
      <w:pPr>
        <w:ind w:right="80" w:firstLine="255"/>
        <w:spacing w:after="0" w:line="266" w:lineRule="auto"/>
        <w:rPr>
          <w:sz w:val="20"/>
          <w:szCs w:val="20"/>
          <w:color w:val="auto"/>
        </w:rPr>
      </w:pPr>
      <w:r>
        <w:rPr>
          <w:rFonts w:ascii="Arial" w:cs="Arial" w:eastAsia="Arial" w:hAnsi="Arial"/>
          <w:sz w:val="14"/>
          <w:szCs w:val="14"/>
          <w:color w:val="auto"/>
        </w:rPr>
        <w:t>The balance sheets as of December 31, 2022 and 2021 and statements of income and cash flows for the years then ended, for Capital Bancorp, Inc. (Parent only) are presented below.</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Parent Company Only Balance Sheets</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72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2"/>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460" w:type="dxa"/>
            <w:vAlign w:val="bottom"/>
            <w:gridSpan w:val="2"/>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9"/>
        </w:trPr>
        <w:tc>
          <w:tcPr>
            <w:tcW w:w="7260" w:type="dxa"/>
            <w:vAlign w:val="bottom"/>
          </w:tcPr>
          <w:p>
            <w:pPr>
              <w:ind w:left="100"/>
              <w:spacing w:after="0"/>
              <w:rPr>
                <w:sz w:val="20"/>
                <w:szCs w:val="20"/>
                <w:color w:val="auto"/>
              </w:rPr>
            </w:pPr>
            <w:r>
              <w:rPr>
                <w:rFonts w:ascii="Arial" w:cs="Arial" w:eastAsia="Arial" w:hAnsi="Arial"/>
                <w:sz w:val="13"/>
                <w:szCs w:val="13"/>
                <w:color w:val="auto"/>
              </w:rPr>
              <w:t>Investment in Bank</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183,095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168,3</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in Church Street Capital</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5,402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9"/>
        </w:trPr>
        <w:tc>
          <w:tcPr>
            <w:tcW w:w="7260" w:type="dxa"/>
            <w:vAlign w:val="bottom"/>
          </w:tcPr>
          <w:p>
            <w:pPr>
              <w:ind w:left="100"/>
              <w:spacing w:after="0"/>
              <w:rPr>
                <w:sz w:val="20"/>
                <w:szCs w:val="20"/>
                <w:color w:val="auto"/>
              </w:rPr>
            </w:pPr>
            <w:r>
              <w:rPr>
                <w:rFonts w:ascii="Arial" w:cs="Arial" w:eastAsia="Arial" w:hAnsi="Arial"/>
                <w:sz w:val="13"/>
                <w:szCs w:val="13"/>
                <w:color w:val="auto"/>
              </w:rPr>
              <w:t>Investment in Trust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62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receivable, net of allowance for loan losses of $328 and $328 at December 31, 2022 and 2021, respectively</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47,517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69"/>
        </w:trPr>
        <w:tc>
          <w:tcPr>
            <w:tcW w:w="7260" w:type="dxa"/>
            <w:vAlign w:val="bottom"/>
          </w:tcPr>
          <w:p>
            <w:pPr>
              <w:ind w:left="100"/>
              <w:spacing w:after="0"/>
              <w:rPr>
                <w:sz w:val="20"/>
                <w:szCs w:val="20"/>
                <w:color w:val="auto"/>
              </w:rPr>
            </w:pPr>
            <w:r>
              <w:rPr>
                <w:rFonts w:ascii="Arial" w:cs="Arial" w:eastAsia="Arial" w:hAnsi="Arial"/>
                <w:sz w:val="13"/>
                <w:szCs w:val="13"/>
                <w:color w:val="auto"/>
              </w:rPr>
              <w:t>Accrued interest receivable</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288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income taxes</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72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assets</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Total assets</w:t>
            </w: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236,781</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60" w:type="dxa"/>
            <w:vAlign w:val="bottom"/>
          </w:tcPr>
          <w:p>
            <w:pPr>
              <w:ind w:left="100"/>
              <w:spacing w:after="0"/>
              <w:rPr>
                <w:sz w:val="20"/>
                <w:szCs w:val="20"/>
                <w:color w:val="auto"/>
              </w:rPr>
            </w:pPr>
            <w:r>
              <w:rPr>
                <w:rFonts w:ascii="Arial" w:cs="Arial" w:eastAsia="Arial" w:hAnsi="Arial"/>
                <w:sz w:val="13"/>
                <w:szCs w:val="13"/>
                <w:color w:val="auto"/>
              </w:rPr>
              <w:t>Borrowed funds</w:t>
            </w:r>
          </w:p>
        </w:tc>
        <w:tc>
          <w:tcPr>
            <w:tcW w:w="460" w:type="dxa"/>
            <w:vAlign w:val="bottom"/>
            <w:gridSpan w:val="2"/>
          </w:tcPr>
          <w:p>
            <w:pPr>
              <w:jc w:val="right"/>
              <w:ind w:right="296"/>
              <w:spacing w:after="0"/>
              <w:rPr>
                <w:sz w:val="20"/>
                <w:szCs w:val="20"/>
                <w:color w:val="auto"/>
              </w:rPr>
            </w:pPr>
            <w:r>
              <w:rPr>
                <w:rFonts w:ascii="Arial" w:cs="Arial" w:eastAsia="Arial" w:hAnsi="Arial"/>
                <w:sz w:val="13"/>
                <w:szCs w:val="13"/>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12,062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liabilities</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656</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1"/>
        </w:trPr>
        <w:tc>
          <w:tcPr>
            <w:tcW w:w="72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liabilities</w:t>
            </w:r>
          </w:p>
        </w:tc>
        <w:tc>
          <w:tcPr>
            <w:tcW w:w="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12,766</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49"/>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7260" w:type="dxa"/>
            <w:vAlign w:val="bottom"/>
          </w:tcPr>
          <w:p>
            <w:pPr>
              <w:ind w:left="100"/>
              <w:spacing w:after="0"/>
              <w:rPr>
                <w:sz w:val="20"/>
                <w:szCs w:val="20"/>
                <w:color w:val="auto"/>
              </w:rPr>
            </w:pPr>
            <w:r>
              <w:rPr>
                <w:rFonts w:ascii="Arial" w:cs="Arial" w:eastAsia="Arial" w:hAnsi="Arial"/>
                <w:sz w:val="13"/>
                <w:szCs w:val="13"/>
                <w:color w:val="auto"/>
              </w:rPr>
              <w:t>Additional paid-in capital</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58,190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54,3</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182,435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144,5</w:t>
            </w:r>
          </w:p>
        </w:tc>
        <w:tc>
          <w:tcPr>
            <w:tcW w:w="0" w:type="dxa"/>
            <w:vAlign w:val="bottom"/>
          </w:tcPr>
          <w:p>
            <w:pPr>
              <w:spacing w:after="0"/>
              <w:rPr>
                <w:sz w:val="1"/>
                <w:szCs w:val="1"/>
                <w:color w:val="auto"/>
              </w:rPr>
            </w:pPr>
          </w:p>
        </w:tc>
      </w:tr>
      <w:tr>
        <w:trPr>
          <w:trHeight w:val="169"/>
        </w:trPr>
        <w:tc>
          <w:tcPr>
            <w:tcW w:w="72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Accumulated other comprehensive loss</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(16,751)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1"/>
        </w:trPr>
        <w:tc>
          <w:tcPr>
            <w:tcW w:w="72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stockholders’ equity</w:t>
            </w:r>
          </w:p>
        </w:tc>
        <w:tc>
          <w:tcPr>
            <w:tcW w:w="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224,015</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197,9</w:t>
            </w:r>
          </w:p>
        </w:tc>
        <w:tc>
          <w:tcPr>
            <w:tcW w:w="0" w:type="dxa"/>
            <w:vAlign w:val="bottom"/>
          </w:tcPr>
          <w:p>
            <w:pPr>
              <w:spacing w:after="0"/>
              <w:rPr>
                <w:sz w:val="1"/>
                <w:szCs w:val="1"/>
                <w:color w:val="auto"/>
              </w:rPr>
            </w:pPr>
          </w:p>
        </w:tc>
      </w:tr>
      <w:tr>
        <w:trPr>
          <w:trHeight w:val="160"/>
        </w:trPr>
        <w:tc>
          <w:tcPr>
            <w:tcW w:w="7260" w:type="dxa"/>
            <w:vAlign w:val="bottom"/>
          </w:tcPr>
          <w:p>
            <w:pPr>
              <w:ind w:left="520"/>
              <w:spacing w:after="0"/>
              <w:rPr>
                <w:sz w:val="20"/>
                <w:szCs w:val="20"/>
                <w:color w:val="auto"/>
              </w:rPr>
            </w:pPr>
            <w:r>
              <w:rPr>
                <w:rFonts w:ascii="Arial" w:cs="Arial" w:eastAsia="Arial" w:hAnsi="Arial"/>
                <w:sz w:val="13"/>
                <w:szCs w:val="13"/>
                <w:color w:val="auto"/>
              </w:rPr>
              <w:t>Total liabilities and stockholders’ equity</w:t>
            </w:r>
          </w:p>
        </w:tc>
        <w:tc>
          <w:tcPr>
            <w:tcW w:w="2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236,781</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210,1</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Parent Company Only Statements of Income</w:t>
            </w: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3"/>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and dividend income</w:t>
            </w:r>
          </w:p>
        </w:tc>
        <w:tc>
          <w:tcPr>
            <w:tcW w:w="460" w:type="dxa"/>
            <w:vAlign w:val="bottom"/>
            <w:gridSpan w:val="2"/>
            <w:shd w:val="clear" w:color="auto" w:fill="CCEEFF"/>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2,146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Dividend from Bank</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11,400</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1"/>
        </w:trPr>
        <w:tc>
          <w:tcPr>
            <w:tcW w:w="72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interest and dividend revenue</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13,546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6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expense</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576</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1"/>
        </w:trPr>
        <w:tc>
          <w:tcPr>
            <w:tcW w:w="72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Net interest income</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12,970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9"/>
        </w:trPr>
        <w:tc>
          <w:tcPr>
            <w:tcW w:w="7260" w:type="dxa"/>
            <w:vAlign w:val="bottom"/>
          </w:tcPr>
          <w:p>
            <w:pPr>
              <w:ind w:left="20"/>
              <w:spacing w:after="0"/>
              <w:rPr>
                <w:sz w:val="20"/>
                <w:szCs w:val="20"/>
                <w:color w:val="auto"/>
              </w:rPr>
            </w:pPr>
            <w:r>
              <w:rPr>
                <w:rFonts w:ascii="Arial" w:cs="Arial" w:eastAsia="Arial" w:hAnsi="Arial"/>
                <w:sz w:val="13"/>
                <w:szCs w:val="13"/>
                <w:color w:val="auto"/>
              </w:rPr>
              <w:t>Provision for loan losses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Net interest income after provision for loan losses</w:t>
            </w:r>
          </w:p>
        </w:tc>
        <w:tc>
          <w:tcPr>
            <w:tcW w:w="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12,970</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9"/>
        </w:trPr>
        <w:tc>
          <w:tcPr>
            <w:tcW w:w="7260" w:type="dxa"/>
            <w:vAlign w:val="bottom"/>
          </w:tcPr>
          <w:p>
            <w:pPr>
              <w:ind w:left="20"/>
              <w:spacing w:after="0"/>
              <w:rPr>
                <w:sz w:val="20"/>
                <w:szCs w:val="20"/>
                <w:color w:val="auto"/>
              </w:rPr>
            </w:pPr>
            <w:r>
              <w:rPr>
                <w:rFonts w:ascii="Arial" w:cs="Arial" w:eastAsia="Arial" w:hAnsi="Arial"/>
                <w:sz w:val="13"/>
                <w:szCs w:val="13"/>
                <w:color w:val="auto"/>
              </w:rPr>
              <w:t>Noninterest income</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expenses</w:t>
            </w: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447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0"/>
        </w:trPr>
        <w:tc>
          <w:tcPr>
            <w:tcW w:w="7260" w:type="dxa"/>
            <w:vAlign w:val="bottom"/>
          </w:tcPr>
          <w:p>
            <w:pPr>
              <w:ind w:left="100"/>
              <w:spacing w:after="0"/>
              <w:rPr>
                <w:sz w:val="20"/>
                <w:szCs w:val="20"/>
                <w:color w:val="auto"/>
              </w:rPr>
            </w:pPr>
            <w:r>
              <w:rPr>
                <w:rFonts w:ascii="Arial" w:cs="Arial" w:eastAsia="Arial" w:hAnsi="Arial"/>
                <w:sz w:val="13"/>
                <w:szCs w:val="13"/>
                <w:b w:val="1"/>
                <w:bCs w:val="1"/>
                <w:color w:val="auto"/>
              </w:rPr>
              <w:t>Income before income taxes</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12,525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0"/>
        </w:trPr>
        <w:tc>
          <w:tcPr>
            <w:tcW w:w="7260" w:type="dxa"/>
            <w:vAlign w:val="bottom"/>
          </w:tcPr>
          <w:p>
            <w:pPr>
              <w:ind w:left="20"/>
              <w:spacing w:after="0"/>
              <w:rPr>
                <w:sz w:val="20"/>
                <w:szCs w:val="20"/>
                <w:color w:val="auto"/>
              </w:rPr>
            </w:pPr>
            <w:r>
              <w:rPr>
                <w:rFonts w:ascii="Arial" w:cs="Arial" w:eastAsia="Arial" w:hAnsi="Arial"/>
                <w:sz w:val="13"/>
                <w:szCs w:val="13"/>
                <w:color w:val="auto"/>
              </w:rPr>
              <w:t>Income before undistributed net income of subsidiaries</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12,210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Undistributed net income of subsidiaries</w:t>
            </w: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29,594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61"/>
        </w:trPr>
        <w:tc>
          <w:tcPr>
            <w:tcW w:w="7260" w:type="dxa"/>
            <w:vAlign w:val="bottom"/>
          </w:tcPr>
          <w:p>
            <w:pPr>
              <w:ind w:left="100"/>
              <w:spacing w:after="0"/>
              <w:rPr>
                <w:sz w:val="20"/>
                <w:szCs w:val="20"/>
                <w:color w:val="auto"/>
              </w:rPr>
            </w:pPr>
            <w:r>
              <w:rPr>
                <w:rFonts w:ascii="Arial" w:cs="Arial" w:eastAsia="Arial" w:hAnsi="Arial"/>
                <w:sz w:val="13"/>
                <w:szCs w:val="13"/>
                <w:b w:val="1"/>
                <w:bCs w:val="1"/>
                <w:color w:val="auto"/>
              </w:rPr>
              <w:t>Net income</w:t>
            </w:r>
          </w:p>
        </w:tc>
        <w:tc>
          <w:tcPr>
            <w:tcW w:w="460" w:type="dxa"/>
            <w:vAlign w:val="bottom"/>
            <w:tcBorders>
              <w:bottom w:val="single" w:sz="8" w:color="auto"/>
            </w:tcBorders>
            <w:gridSpan w:val="2"/>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41,804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96" w:name="page97"/>
    <w:bookmarkEnd w:id="96"/>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Parent Company Financial Information (continued)</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Parent Company Only Statements of Cash Flows</w:t>
      </w:r>
    </w:p>
    <w:p>
      <w:pPr>
        <w:spacing w:after="0" w:line="20"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r>
      <w:tr>
        <w:trPr>
          <w:trHeight w:val="152"/>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9"/>
        </w:trPr>
        <w:tc>
          <w:tcPr>
            <w:tcW w:w="838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41,804</w:t>
            </w:r>
          </w:p>
        </w:tc>
        <w:tc>
          <w:tcPr>
            <w:tcW w:w="160" w:type="dxa"/>
            <w:vAlign w:val="bottom"/>
          </w:tcPr>
          <w:p>
            <w:pPr>
              <w:spacing w:after="0"/>
              <w:rPr>
                <w:sz w:val="14"/>
                <w:szCs w:val="14"/>
                <w:color w:val="auto"/>
              </w:rPr>
            </w:pPr>
          </w:p>
        </w:tc>
        <w:tc>
          <w:tcPr>
            <w:tcW w:w="3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39,9</w:t>
            </w:r>
          </w:p>
        </w:tc>
      </w:tr>
      <w:tr>
        <w:trPr>
          <w:trHeight w:val="170"/>
        </w:trPr>
        <w:tc>
          <w:tcPr>
            <w:tcW w:w="8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8380" w:type="dxa"/>
            <w:vAlign w:val="bottom"/>
          </w:tcPr>
          <w:p>
            <w:pPr>
              <w:ind w:left="180"/>
              <w:spacing w:after="0"/>
              <w:rPr>
                <w:sz w:val="20"/>
                <w:szCs w:val="20"/>
                <w:color w:val="auto"/>
              </w:rPr>
            </w:pPr>
            <w:r>
              <w:rPr>
                <w:rFonts w:ascii="Arial" w:cs="Arial" w:eastAsia="Arial" w:hAnsi="Arial"/>
                <w:sz w:val="13"/>
                <w:szCs w:val="13"/>
                <w:color w:val="auto"/>
              </w:rPr>
              <w:t>Provision for loan losses</w:t>
            </w:r>
          </w:p>
        </w:tc>
        <w:tc>
          <w:tcPr>
            <w:tcW w:w="32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8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Undistributed net income of subsidiaries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(29,594)</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r>
      <w:tr>
        <w:trPr>
          <w:trHeight w:val="169"/>
        </w:trPr>
        <w:tc>
          <w:tcPr>
            <w:tcW w:w="838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1,662</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0"/>
        </w:trPr>
        <w:tc>
          <w:tcPr>
            <w:tcW w:w="8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Director and employee compensation paid in Company stock</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171</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9"/>
        </w:trPr>
        <w:tc>
          <w:tcPr>
            <w:tcW w:w="8380" w:type="dxa"/>
            <w:vAlign w:val="bottom"/>
          </w:tcPr>
          <w:p>
            <w:pPr>
              <w:ind w:left="180"/>
              <w:spacing w:after="0"/>
              <w:rPr>
                <w:sz w:val="20"/>
                <w:szCs w:val="20"/>
                <w:color w:val="auto"/>
              </w:rPr>
            </w:pPr>
            <w:r>
              <w:rPr>
                <w:rFonts w:ascii="Arial" w:cs="Arial" w:eastAsia="Arial" w:hAnsi="Arial"/>
                <w:sz w:val="13"/>
                <w:szCs w:val="13"/>
                <w:color w:val="auto"/>
              </w:rPr>
              <w:t>Deferred income tax benefit</w:t>
            </w:r>
          </w:p>
        </w:tc>
        <w:tc>
          <w:tcPr>
            <w:tcW w:w="32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Changes in assets and liabilities: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8380" w:type="dxa"/>
            <w:vAlign w:val="bottom"/>
          </w:tcPr>
          <w:p>
            <w:pPr>
              <w:ind w:left="260"/>
              <w:spacing w:after="0"/>
              <w:rPr>
                <w:sz w:val="20"/>
                <w:szCs w:val="20"/>
                <w:color w:val="auto"/>
              </w:rPr>
            </w:pPr>
            <w:r>
              <w:rPr>
                <w:rFonts w:ascii="Arial" w:cs="Arial" w:eastAsia="Arial" w:hAnsi="Arial"/>
                <w:sz w:val="13"/>
                <w:szCs w:val="13"/>
                <w:color w:val="auto"/>
              </w:rPr>
              <w:t>Accrued interest receivable</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(71)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8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assets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380" w:type="dxa"/>
            <w:vAlign w:val="bottom"/>
          </w:tcPr>
          <w:p>
            <w:pPr>
              <w:ind w:left="260"/>
              <w:spacing w:after="0"/>
              <w:rPr>
                <w:sz w:val="20"/>
                <w:szCs w:val="20"/>
                <w:color w:val="auto"/>
              </w:rPr>
            </w:pPr>
            <w:r>
              <w:rPr>
                <w:rFonts w:ascii="Arial" w:cs="Arial" w:eastAsia="Arial" w:hAnsi="Arial"/>
                <w:sz w:val="13"/>
                <w:szCs w:val="13"/>
                <w:color w:val="auto"/>
              </w:rPr>
              <w:t>Accrued interest payable</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4</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8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liabilities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528</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60"/>
        </w:trPr>
        <w:tc>
          <w:tcPr>
            <w:tcW w:w="83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Net cash provided by operating activities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14,473</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r>
      <w:tr>
        <w:trPr>
          <w:trHeight w:val="150"/>
        </w:trPr>
        <w:tc>
          <w:tcPr>
            <w:tcW w:w="8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9"/>
        </w:trPr>
        <w:tc>
          <w:tcPr>
            <w:tcW w:w="838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8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increase in loans receivable</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(11,319)</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r>
      <w:tr>
        <w:trPr>
          <w:trHeight w:val="169"/>
        </w:trPr>
        <w:tc>
          <w:tcPr>
            <w:tcW w:w="83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Capital contributions to subsidiaries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(1,662)</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160"/>
        </w:trPr>
        <w:tc>
          <w:tcPr>
            <w:tcW w:w="8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cash used by investing activities</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(12,981)</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150"/>
        </w:trPr>
        <w:tc>
          <w:tcPr>
            <w:tcW w:w="8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0"/>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8380" w:type="dxa"/>
            <w:vAlign w:val="bottom"/>
          </w:tcPr>
          <w:p>
            <w:pPr>
              <w:ind w:left="100"/>
              <w:spacing w:after="0"/>
              <w:rPr>
                <w:sz w:val="20"/>
                <w:szCs w:val="20"/>
                <w:color w:val="auto"/>
              </w:rPr>
            </w:pPr>
            <w:r>
              <w:rPr>
                <w:rFonts w:ascii="Arial" w:cs="Arial" w:eastAsia="Arial" w:hAnsi="Arial"/>
                <w:sz w:val="13"/>
                <w:szCs w:val="13"/>
                <w:color w:val="auto"/>
              </w:rPr>
              <w:t>Dividends paid</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(3,085)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0"/>
        </w:trPr>
        <w:tc>
          <w:tcPr>
            <w:tcW w:w="8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exercise of stock options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1,235</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0"/>
        </w:trPr>
        <w:tc>
          <w:tcPr>
            <w:tcW w:w="83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Net cash used by financing activities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(1,850)</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50"/>
        </w:trPr>
        <w:tc>
          <w:tcPr>
            <w:tcW w:w="8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9"/>
        </w:trPr>
        <w:tc>
          <w:tcPr>
            <w:tcW w:w="8380" w:type="dxa"/>
            <w:vAlign w:val="bottom"/>
          </w:tcPr>
          <w:p>
            <w:pPr>
              <w:ind w:left="20"/>
              <w:spacing w:after="0"/>
              <w:rPr>
                <w:sz w:val="20"/>
                <w:szCs w:val="20"/>
                <w:color w:val="auto"/>
              </w:rPr>
            </w:pPr>
            <w:r>
              <w:rPr>
                <w:rFonts w:ascii="Arial" w:cs="Arial" w:eastAsia="Arial" w:hAnsi="Arial"/>
                <w:sz w:val="13"/>
                <w:szCs w:val="13"/>
                <w:b w:val="1"/>
                <w:bCs w:val="1"/>
                <w:color w:val="auto"/>
              </w:rPr>
              <w:t>Net decrease in cash and cash equivalents</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(358)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70"/>
        </w:trPr>
        <w:tc>
          <w:tcPr>
            <w:tcW w:w="8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and cash equivalents, beginning of year</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630</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r>
      <w:tr>
        <w:trPr>
          <w:trHeight w:val="150"/>
        </w:trPr>
        <w:tc>
          <w:tcPr>
            <w:tcW w:w="8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0"/>
        </w:trPr>
        <w:tc>
          <w:tcPr>
            <w:tcW w:w="838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end of year</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272</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97" w:name="page98"/>
    <w:bookmarkEnd w:id="97"/>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Fair Value</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1 - Inputs to the valuation method are quoted prices (unadjusted) for identical assets or liabilities in active markets;</w:t>
      </w:r>
    </w:p>
    <w:p>
      <w:pPr>
        <w:spacing w:after="0" w:line="17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3 - Inputs to the valuation method are unobservable and significant to the fair value measurement.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 on a recurring basis</w:t>
      </w:r>
    </w:p>
    <w:p>
      <w:pPr>
        <w:spacing w:after="0" w:line="181"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i w:val="1"/>
          <w:iCs w:val="1"/>
          <w:color w:val="auto"/>
        </w:rPr>
        <w:t xml:space="preserve">Investment securities available for sale </w:t>
      </w:r>
      <w:r>
        <w:rPr>
          <w:rFonts w:ascii="Arial" w:cs="Arial" w:eastAsia="Arial" w:hAnsi="Arial"/>
          <w:sz w:val="14"/>
          <w:szCs w:val="14"/>
          <w:color w:val="auto"/>
        </w:rPr>
        <w:t>- The fair values of the Company's investment securities available for sale are provided by an independent pricing service. The fair</w:t>
      </w:r>
      <w:r>
        <w:rPr>
          <w:rFonts w:ascii="Arial" w:cs="Arial" w:eastAsia="Arial" w:hAnsi="Arial"/>
          <w:sz w:val="14"/>
          <w:szCs w:val="14"/>
          <w:i w:val="1"/>
          <w:iCs w:val="1"/>
          <w:color w:val="auto"/>
        </w:rPr>
        <w:t xml:space="preserve"> </w:t>
      </w:r>
      <w:r>
        <w:rPr>
          <w:rFonts w:ascii="Arial" w:cs="Arial" w:eastAsia="Arial" w:hAnsi="Arial"/>
          <w:sz w:val="14"/>
          <w:szCs w:val="14"/>
          <w:color w:val="auto"/>
        </w:rPr>
        <w:t>values of the Company's securities are determined based on quoted prices for similar securities under Level 1 or Level 2 inputs.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Loans held for sale </w:t>
      </w:r>
      <w:r>
        <w:rPr>
          <w:rFonts w:ascii="Arial" w:cs="Arial" w:eastAsia="Arial" w:hAnsi="Arial"/>
          <w:sz w:val="14"/>
          <w:szCs w:val="14"/>
          <w:color w:val="auto"/>
        </w:rPr>
        <w:t>- The fair value of loans held for sale is determined using Level 2 inputs of quoted prices for a similar asset, adjusted for specific attributes of that loan.</w:t>
      </w:r>
    </w:p>
    <w:p>
      <w:pPr>
        <w:spacing w:after="0" w:line="179"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4"/>
          <w:szCs w:val="14"/>
          <w:i w:val="1"/>
          <w:iCs w:val="1"/>
          <w:color w:val="auto"/>
        </w:rPr>
        <w:t xml:space="preserve">Derivative financial instruments </w:t>
      </w:r>
      <w:r>
        <w:rPr>
          <w:rFonts w:ascii="Arial" w:cs="Arial" w:eastAsia="Arial" w:hAnsi="Arial"/>
          <w:sz w:val="14"/>
          <w:szCs w:val="14"/>
          <w:color w:val="auto"/>
        </w:rPr>
        <w:t>- Derivative instruments used to hedge residential mortgage loans held for sale and the related interest rate lock commitments include forward</w:t>
      </w:r>
      <w:r>
        <w:rPr>
          <w:rFonts w:ascii="Arial" w:cs="Arial" w:eastAsia="Arial" w:hAnsi="Arial"/>
          <w:sz w:val="14"/>
          <w:szCs w:val="14"/>
          <w:i w:val="1"/>
          <w:iCs w:val="1"/>
          <w:color w:val="auto"/>
        </w:rPr>
        <w:t xml:space="preserve"> </w:t>
      </w:r>
      <w:r>
        <w:rPr>
          <w:rFonts w:ascii="Arial" w:cs="Arial" w:eastAsia="Arial" w:hAnsi="Arial"/>
          <w:sz w:val="14"/>
          <w:szCs w:val="14"/>
          <w:color w:val="auto"/>
        </w:rPr>
        <w:t>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8" w:name="page99"/>
    <w:bookmarkEnd w:id="98"/>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Fair Value (continued)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has categorized its financial instruments measured at fair value on a recurring basis as of December 31, 2022 and December 31, 2021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6100" w:type="dxa"/>
            <w:vAlign w:val="bottom"/>
            <w:gridSpan w:val="2"/>
          </w:tcPr>
          <w:p>
            <w:pPr>
              <w:spacing w:after="0"/>
              <w:rPr>
                <w:sz w:val="20"/>
                <w:szCs w:val="20"/>
                <w:color w:val="auto"/>
              </w:rPr>
            </w:pPr>
            <w:r>
              <w:rPr>
                <w:rFonts w:ascii="Arial" w:cs="Arial" w:eastAsia="Arial" w:hAnsi="Arial"/>
                <w:sz w:val="8"/>
                <w:szCs w:val="8"/>
                <w:i w:val="1"/>
                <w:iCs w:val="1"/>
                <w:color w:val="auto"/>
              </w:rPr>
              <w:t>(in thousands)</w:t>
            </w: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December 31, 2022</w:t>
            </w:r>
          </w:p>
        </w:tc>
        <w:tc>
          <w:tcPr>
            <w:tcW w:w="280" w:type="dxa"/>
            <w:vAlign w:val="bottom"/>
          </w:tcPr>
          <w:p>
            <w:pPr>
              <w:spacing w:after="0"/>
              <w:rPr>
                <w:sz w:val="13"/>
                <w:szCs w:val="13"/>
                <w:color w:val="auto"/>
              </w:rPr>
            </w:pPr>
          </w:p>
        </w:tc>
        <w:tc>
          <w:tcPr>
            <w:tcW w:w="104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1 Inputs</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Level 2 Inputs</w:t>
            </w:r>
          </w:p>
        </w:tc>
        <w:tc>
          <w:tcPr>
            <w:tcW w:w="14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Level 3 Inputs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1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Investment securities available for sale</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6100" w:type="dxa"/>
            <w:vAlign w:val="bottom"/>
            <w:gridSpan w:val="2"/>
          </w:tcPr>
          <w:p>
            <w:pPr>
              <w:ind w:left="100"/>
              <w:spacing w:after="0"/>
              <w:rPr>
                <w:sz w:val="20"/>
                <w:szCs w:val="20"/>
                <w:color w:val="auto"/>
              </w:rPr>
            </w:pPr>
            <w:r>
              <w:rPr>
                <w:rFonts w:ascii="Arial" w:cs="Arial" w:eastAsia="Arial" w:hAnsi="Arial"/>
                <w:sz w:val="13"/>
                <w:szCs w:val="13"/>
                <w:color w:val="auto"/>
              </w:rPr>
              <w:t>U.S. Treasuries</w:t>
            </w:r>
          </w:p>
        </w:tc>
        <w:tc>
          <w:tcPr>
            <w:tcW w:w="280" w:type="dxa"/>
            <w:vAlign w:val="bottom"/>
          </w:tcPr>
          <w:p>
            <w:pPr>
              <w:jc w:val="right"/>
              <w:ind w:right="116"/>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199,449</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199,449</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ind w:left="880"/>
              <w:spacing w:after="0"/>
              <w:rPr>
                <w:sz w:val="20"/>
                <w:szCs w:val="20"/>
                <w:color w:val="auto"/>
              </w:rPr>
            </w:pPr>
            <w:r>
              <w:rPr>
                <w:rFonts w:ascii="Arial" w:cs="Arial" w:eastAsia="Arial" w:hAnsi="Arial"/>
                <w:sz w:val="13"/>
                <w:szCs w:val="13"/>
                <w:b w:val="1"/>
                <w:bCs w:val="1"/>
                <w:color w:val="auto"/>
              </w:rPr>
              <w:t>—</w:t>
            </w:r>
          </w:p>
        </w:tc>
      </w:tr>
      <w:tr>
        <w:trPr>
          <w:trHeight w:val="170"/>
        </w:trPr>
        <w:tc>
          <w:tcPr>
            <w:tcW w:w="20" w:type="dxa"/>
            <w:vAlign w:val="bottom"/>
            <w:shd w:val="clear" w:color="auto" w:fill="CCEEFF"/>
          </w:tcPr>
          <w:p>
            <w:pPr>
              <w:spacing w:after="0"/>
              <w:rPr>
                <w:sz w:val="14"/>
                <w:szCs w:val="14"/>
                <w:color w:val="auto"/>
              </w:rPr>
            </w:pPr>
          </w:p>
        </w:tc>
        <w:tc>
          <w:tcPr>
            <w:tcW w:w="61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Asset-backed securities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7,711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7,711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3"/>
                <w:szCs w:val="13"/>
                <w:b w:val="1"/>
                <w:bCs w:val="1"/>
                <w:color w:val="auto"/>
              </w:rPr>
              <w:t>—</w:t>
            </w:r>
          </w:p>
        </w:tc>
      </w:tr>
      <w:tr>
        <w:trPr>
          <w:trHeight w:val="169"/>
        </w:trPr>
        <w:tc>
          <w:tcPr>
            <w:tcW w:w="20" w:type="dxa"/>
            <w:vAlign w:val="bottom"/>
          </w:tcPr>
          <w:p>
            <w:pPr>
              <w:spacing w:after="0"/>
              <w:rPr>
                <w:sz w:val="14"/>
                <w:szCs w:val="14"/>
                <w:color w:val="auto"/>
              </w:rPr>
            </w:pPr>
          </w:p>
        </w:tc>
        <w:tc>
          <w:tcPr>
            <w:tcW w:w="6100" w:type="dxa"/>
            <w:vAlign w:val="bottom"/>
            <w:gridSpan w:val="2"/>
          </w:tcPr>
          <w:p>
            <w:pPr>
              <w:ind w:left="100"/>
              <w:spacing w:after="0"/>
              <w:rPr>
                <w:sz w:val="20"/>
                <w:szCs w:val="20"/>
                <w:color w:val="auto"/>
              </w:rPr>
            </w:pPr>
            <w:r>
              <w:rPr>
                <w:rFonts w:ascii="Arial" w:cs="Arial" w:eastAsia="Arial" w:hAnsi="Arial"/>
                <w:sz w:val="13"/>
                <w:szCs w:val="13"/>
                <w:color w:val="auto"/>
              </w:rPr>
              <w:t>Municipal</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8,012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8,012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ind w:left="880"/>
              <w:spacing w:after="0"/>
              <w:rPr>
                <w:sz w:val="20"/>
                <w:szCs w:val="20"/>
                <w:color w:val="auto"/>
              </w:rPr>
            </w:pPr>
            <w:r>
              <w:rPr>
                <w:rFonts w:ascii="Arial" w:cs="Arial" w:eastAsia="Arial" w:hAnsi="Arial"/>
                <w:sz w:val="13"/>
                <w:szCs w:val="13"/>
                <w:b w:val="1"/>
                <w:bCs w:val="1"/>
                <w:color w:val="auto"/>
              </w:rPr>
              <w:t>—</w:t>
            </w:r>
          </w:p>
        </w:tc>
      </w:tr>
      <w:tr>
        <w:trPr>
          <w:trHeight w:val="170"/>
        </w:trPr>
        <w:tc>
          <w:tcPr>
            <w:tcW w:w="20" w:type="dxa"/>
            <w:vAlign w:val="bottom"/>
            <w:shd w:val="clear" w:color="auto" w:fill="CCEEFF"/>
          </w:tcPr>
          <w:p>
            <w:pPr>
              <w:spacing w:after="0"/>
              <w:rPr>
                <w:sz w:val="14"/>
                <w:szCs w:val="14"/>
                <w:color w:val="auto"/>
              </w:rPr>
            </w:pPr>
          </w:p>
        </w:tc>
        <w:tc>
          <w:tcPr>
            <w:tcW w:w="61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Corporate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3"/>
                <w:szCs w:val="13"/>
                <w:b w:val="1"/>
                <w:bCs w:val="1"/>
                <w:color w:val="auto"/>
              </w:rPr>
              <w:t>—</w:t>
            </w:r>
          </w:p>
        </w:tc>
      </w:tr>
      <w:tr>
        <w:trPr>
          <w:trHeight w:val="169"/>
        </w:trPr>
        <w:tc>
          <w:tcPr>
            <w:tcW w:w="20" w:type="dxa"/>
            <w:vAlign w:val="bottom"/>
          </w:tcPr>
          <w:p>
            <w:pPr>
              <w:spacing w:after="0"/>
              <w:rPr>
                <w:sz w:val="14"/>
                <w:szCs w:val="14"/>
                <w:color w:val="auto"/>
              </w:rPr>
            </w:pPr>
          </w:p>
        </w:tc>
        <w:tc>
          <w:tcPr>
            <w:tcW w:w="6100" w:type="dxa"/>
            <w:vAlign w:val="bottom"/>
            <w:gridSpan w:val="2"/>
          </w:tcPr>
          <w:p>
            <w:pPr>
              <w:ind w:left="100"/>
              <w:spacing w:after="0"/>
              <w:rPr>
                <w:sz w:val="20"/>
                <w:szCs w:val="20"/>
                <w:color w:val="auto"/>
              </w:rPr>
            </w:pPr>
            <w:r>
              <w:rPr>
                <w:rFonts w:ascii="Arial" w:cs="Arial" w:eastAsia="Arial" w:hAnsi="Arial"/>
                <w:sz w:val="13"/>
                <w:szCs w:val="13"/>
                <w:color w:val="auto"/>
              </w:rPr>
              <w:t>Mortgage-backed securities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32,709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32,709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ind w:left="880"/>
              <w:spacing w:after="0"/>
              <w:rPr>
                <w:sz w:val="20"/>
                <w:szCs w:val="20"/>
                <w:color w:val="auto"/>
              </w:rPr>
            </w:pPr>
            <w:r>
              <w:rPr>
                <w:rFonts w:ascii="Arial" w:cs="Arial" w:eastAsia="Arial" w:hAnsi="Arial"/>
                <w:sz w:val="13"/>
                <w:szCs w:val="13"/>
                <w:b w:val="1"/>
                <w:bCs w:val="1"/>
                <w:color w:val="auto"/>
              </w:rPr>
              <w:t>—</w:t>
            </w:r>
          </w:p>
        </w:tc>
      </w:tr>
      <w:tr>
        <w:trPr>
          <w:trHeight w:val="18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1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252,481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199,449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53,032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3"/>
                <w:szCs w:val="13"/>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100" w:type="dxa"/>
            <w:vAlign w:val="bottom"/>
            <w:gridSpan w:val="2"/>
          </w:tcPr>
          <w:p>
            <w:pPr>
              <w:spacing w:after="0" w:line="133" w:lineRule="exact"/>
              <w:rPr>
                <w:sz w:val="20"/>
                <w:szCs w:val="20"/>
                <w:color w:val="auto"/>
              </w:rPr>
            </w:pPr>
            <w:r>
              <w:rPr>
                <w:rFonts w:ascii="Arial" w:cs="Arial" w:eastAsia="Arial" w:hAnsi="Arial"/>
                <w:sz w:val="13"/>
                <w:szCs w:val="13"/>
                <w:color w:val="auto"/>
              </w:rPr>
              <w:t>Loans held for sale</w:t>
            </w:r>
          </w:p>
        </w:tc>
        <w:tc>
          <w:tcPr>
            <w:tcW w:w="280" w:type="dxa"/>
            <w:vAlign w:val="bottom"/>
            <w:tcBorders>
              <w:top w:val="single" w:sz="8" w:color="auto"/>
              <w:bottom w:val="single" w:sz="8" w:color="auto"/>
            </w:tcBorders>
          </w:tcPr>
          <w:p>
            <w:pPr>
              <w:jc w:val="right"/>
              <w:ind w:right="116"/>
              <w:spacing w:after="0" w:line="133" w:lineRule="exact"/>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7,416</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6"/>
              <w:spacing w:after="0" w:line="133" w:lineRule="exact"/>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6"/>
              <w:spacing w:after="0" w:line="133" w:lineRule="exact"/>
              <w:rPr>
                <w:sz w:val="20"/>
                <w:szCs w:val="20"/>
                <w:color w:val="auto"/>
              </w:rPr>
            </w:pPr>
            <w:r>
              <w:rPr>
                <w:rFonts w:ascii="Arial" w:cs="Arial" w:eastAsia="Arial" w:hAnsi="Arial"/>
                <w:sz w:val="13"/>
                <w:szCs w:val="13"/>
                <w:b w:val="1"/>
                <w:bCs w:val="1"/>
                <w:color w:val="auto"/>
                <w:w w:val="82"/>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7,416</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ind w:left="880"/>
              <w:spacing w:after="0" w:line="133" w:lineRule="exact"/>
              <w:rPr>
                <w:sz w:val="20"/>
                <w:szCs w:val="20"/>
                <w:color w:val="auto"/>
              </w:rPr>
            </w:pPr>
            <w:r>
              <w:rPr>
                <w:rFonts w:ascii="Arial" w:cs="Arial" w:eastAsia="Arial" w:hAnsi="Arial"/>
                <w:sz w:val="13"/>
                <w:szCs w:val="13"/>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4"/>
                <w:szCs w:val="14"/>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Derivative assets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3"/>
                <w:szCs w:val="13"/>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100" w:type="dxa"/>
            <w:vAlign w:val="bottom"/>
            <w:gridSpan w:val="2"/>
          </w:tcPr>
          <w:p>
            <w:pPr>
              <w:spacing w:after="0" w:line="133" w:lineRule="exact"/>
              <w:rPr>
                <w:sz w:val="20"/>
                <w:szCs w:val="20"/>
                <w:color w:val="auto"/>
              </w:rPr>
            </w:pPr>
            <w:r>
              <w:rPr>
                <w:rFonts w:ascii="Arial" w:cs="Arial" w:eastAsia="Arial" w:hAnsi="Arial"/>
                <w:sz w:val="13"/>
                <w:szCs w:val="13"/>
                <w:color w:val="auto"/>
              </w:rPr>
              <w:t>Derivative liabilities</w:t>
            </w:r>
          </w:p>
        </w:tc>
        <w:tc>
          <w:tcPr>
            <w:tcW w:w="280" w:type="dxa"/>
            <w:vAlign w:val="bottom"/>
            <w:tcBorders>
              <w:top w:val="single" w:sz="8" w:color="auto"/>
              <w:bottom w:val="single" w:sz="8" w:color="auto"/>
            </w:tcBorders>
          </w:tcPr>
          <w:p>
            <w:pPr>
              <w:jc w:val="right"/>
              <w:ind w:right="116"/>
              <w:spacing w:after="0" w:line="133" w:lineRule="exact"/>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6"/>
              <w:spacing w:after="0" w:line="133" w:lineRule="exact"/>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6"/>
              <w:spacing w:after="0" w:line="133" w:lineRule="exact"/>
              <w:rPr>
                <w:sz w:val="20"/>
                <w:szCs w:val="20"/>
                <w:color w:val="auto"/>
              </w:rPr>
            </w:pPr>
            <w:r>
              <w:rPr>
                <w:rFonts w:ascii="Arial" w:cs="Arial" w:eastAsia="Arial" w:hAnsi="Arial"/>
                <w:sz w:val="13"/>
                <w:szCs w:val="13"/>
                <w:b w:val="1"/>
                <w:bCs w:val="1"/>
                <w:color w:val="auto"/>
                <w:w w:val="82"/>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ind w:left="880"/>
              <w:spacing w:after="0" w:line="133" w:lineRule="exact"/>
              <w:rPr>
                <w:sz w:val="20"/>
                <w:szCs w:val="20"/>
                <w:color w:val="auto"/>
              </w:rPr>
            </w:pPr>
            <w:r>
              <w:rPr>
                <w:rFonts w:ascii="Arial" w:cs="Arial" w:eastAsia="Arial" w:hAnsi="Arial"/>
                <w:sz w:val="13"/>
                <w:szCs w:val="13"/>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9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1"/>
                <w:szCs w:val="11"/>
                <w:color w:val="auto"/>
              </w:rPr>
            </w:pPr>
          </w:p>
        </w:tc>
        <w:tc>
          <w:tcPr>
            <w:tcW w:w="61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December 31, 2021</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 securities available for sale</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6100" w:type="dxa"/>
            <w:vAlign w:val="bottom"/>
            <w:gridSpan w:val="2"/>
          </w:tcPr>
          <w:p>
            <w:pPr>
              <w:ind w:left="100"/>
              <w:spacing w:after="0"/>
              <w:rPr>
                <w:sz w:val="20"/>
                <w:szCs w:val="20"/>
                <w:color w:val="auto"/>
              </w:rPr>
            </w:pPr>
            <w:r>
              <w:rPr>
                <w:rFonts w:ascii="Arial" w:cs="Arial" w:eastAsia="Arial" w:hAnsi="Arial"/>
                <w:sz w:val="13"/>
                <w:szCs w:val="13"/>
                <w:color w:val="auto"/>
              </w:rPr>
              <w:t>U.S. Treasuries</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131,001</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131,001</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ind w:left="880"/>
              <w:spacing w:after="0"/>
              <w:rPr>
                <w:sz w:val="20"/>
                <w:szCs w:val="20"/>
                <w:color w:val="auto"/>
              </w:rPr>
            </w:pPr>
            <w:r>
              <w:rPr>
                <w:rFonts w:ascii="Arial" w:cs="Arial" w:eastAsia="Arial" w:hAnsi="Arial"/>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61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Asset-backed securities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168"/>
        </w:trPr>
        <w:tc>
          <w:tcPr>
            <w:tcW w:w="20" w:type="dxa"/>
            <w:vAlign w:val="bottom"/>
          </w:tcPr>
          <w:p>
            <w:pPr>
              <w:spacing w:after="0"/>
              <w:rPr>
                <w:sz w:val="14"/>
                <w:szCs w:val="14"/>
                <w:color w:val="auto"/>
              </w:rPr>
            </w:pPr>
          </w:p>
        </w:tc>
        <w:tc>
          <w:tcPr>
            <w:tcW w:w="6100" w:type="dxa"/>
            <w:vAlign w:val="bottom"/>
            <w:gridSpan w:val="2"/>
          </w:tcPr>
          <w:p>
            <w:pPr>
              <w:ind w:left="100"/>
              <w:spacing w:after="0"/>
              <w:rPr>
                <w:sz w:val="20"/>
                <w:szCs w:val="20"/>
                <w:color w:val="auto"/>
              </w:rPr>
            </w:pPr>
            <w:r>
              <w:rPr>
                <w:rFonts w:ascii="Arial" w:cs="Arial" w:eastAsia="Arial" w:hAnsi="Arial"/>
                <w:sz w:val="13"/>
                <w:szCs w:val="13"/>
                <w:color w:val="auto"/>
              </w:rPr>
              <w:t>Municipal</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10,474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10,474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ind w:left="880"/>
              <w:spacing w:after="0"/>
              <w:rPr>
                <w:sz w:val="20"/>
                <w:szCs w:val="20"/>
                <w:color w:val="auto"/>
              </w:rPr>
            </w:pPr>
            <w:r>
              <w:rPr>
                <w:rFonts w:ascii="Arial" w:cs="Arial" w:eastAsia="Arial" w:hAnsi="Arial"/>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61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Corporate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168"/>
        </w:trPr>
        <w:tc>
          <w:tcPr>
            <w:tcW w:w="20" w:type="dxa"/>
            <w:vAlign w:val="bottom"/>
          </w:tcPr>
          <w:p>
            <w:pPr>
              <w:spacing w:after="0"/>
              <w:rPr>
                <w:sz w:val="14"/>
                <w:szCs w:val="14"/>
                <w:color w:val="auto"/>
              </w:rPr>
            </w:pPr>
          </w:p>
        </w:tc>
        <w:tc>
          <w:tcPr>
            <w:tcW w:w="6100" w:type="dxa"/>
            <w:vAlign w:val="bottom"/>
            <w:gridSpan w:val="2"/>
          </w:tcPr>
          <w:p>
            <w:pPr>
              <w:ind w:left="100"/>
              <w:spacing w:after="0"/>
              <w:rPr>
                <w:sz w:val="20"/>
                <w:szCs w:val="20"/>
                <w:color w:val="auto"/>
              </w:rPr>
            </w:pPr>
            <w:r>
              <w:rPr>
                <w:rFonts w:ascii="Arial" w:cs="Arial" w:eastAsia="Arial" w:hAnsi="Arial"/>
                <w:sz w:val="13"/>
                <w:szCs w:val="13"/>
                <w:color w:val="auto"/>
              </w:rPr>
              <w:t>Mortgage-backed securities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27,906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27,906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ind w:left="880"/>
              <w:spacing w:after="0"/>
              <w:rPr>
                <w:sz w:val="20"/>
                <w:szCs w:val="20"/>
                <w:color w:val="auto"/>
              </w:rPr>
            </w:pPr>
            <w:r>
              <w:rPr>
                <w:rFonts w:ascii="Arial" w:cs="Arial" w:eastAsia="Arial" w:hAnsi="Arial"/>
                <w:sz w:val="13"/>
                <w:szCs w:val="13"/>
                <w:color w:val="auto"/>
              </w:rPr>
              <w:t>—</w:t>
            </w:r>
          </w:p>
        </w:tc>
      </w:tr>
      <w:tr>
        <w:trPr>
          <w:trHeight w:val="18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1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184,455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131,001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53,454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100" w:type="dxa"/>
            <w:vAlign w:val="bottom"/>
            <w:gridSpan w:val="2"/>
          </w:tcPr>
          <w:p>
            <w:pPr>
              <w:spacing w:after="0" w:line="133" w:lineRule="exact"/>
              <w:rPr>
                <w:sz w:val="20"/>
                <w:szCs w:val="20"/>
                <w:color w:val="auto"/>
              </w:rPr>
            </w:pPr>
            <w:r>
              <w:rPr>
                <w:rFonts w:ascii="Arial" w:cs="Arial" w:eastAsia="Arial" w:hAnsi="Arial"/>
                <w:sz w:val="13"/>
                <w:szCs w:val="13"/>
                <w:color w:val="auto"/>
              </w:rPr>
              <w:t>Marketable equity securities</w:t>
            </w:r>
          </w:p>
        </w:tc>
        <w:tc>
          <w:tcPr>
            <w:tcW w:w="280" w:type="dxa"/>
            <w:vAlign w:val="bottom"/>
          </w:tcPr>
          <w:p>
            <w:pPr>
              <w:jc w:val="right"/>
              <w:ind w:right="116"/>
              <w:spacing w:after="0" w:line="133"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33" w:lineRule="exact"/>
              <w:rPr>
                <w:sz w:val="20"/>
                <w:szCs w:val="20"/>
                <w:color w:val="auto"/>
              </w:rPr>
            </w:pPr>
            <w:r>
              <w:rPr>
                <w:rFonts w:ascii="Arial" w:cs="Arial" w:eastAsia="Arial" w:hAnsi="Arial"/>
                <w:sz w:val="13"/>
                <w:szCs w:val="13"/>
                <w:color w:val="auto"/>
              </w:rPr>
              <w:t>245</w:t>
            </w:r>
          </w:p>
        </w:tc>
        <w:tc>
          <w:tcPr>
            <w:tcW w:w="100" w:type="dxa"/>
            <w:vAlign w:val="bottom"/>
          </w:tcPr>
          <w:p>
            <w:pPr>
              <w:spacing w:after="0"/>
              <w:rPr>
                <w:sz w:val="11"/>
                <w:szCs w:val="11"/>
                <w:color w:val="auto"/>
              </w:rPr>
            </w:pPr>
          </w:p>
        </w:tc>
        <w:tc>
          <w:tcPr>
            <w:tcW w:w="160" w:type="dxa"/>
            <w:vAlign w:val="bottom"/>
          </w:tcPr>
          <w:p>
            <w:pPr>
              <w:jc w:val="right"/>
              <w:ind w:right="16"/>
              <w:spacing w:after="0" w:line="133" w:lineRule="exact"/>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line="133" w:lineRule="exact"/>
              <w:rPr>
                <w:sz w:val="20"/>
                <w:szCs w:val="20"/>
                <w:color w:val="auto"/>
              </w:rPr>
            </w:pPr>
            <w:r>
              <w:rPr>
                <w:rFonts w:ascii="Arial" w:cs="Arial" w:eastAsia="Arial" w:hAnsi="Arial"/>
                <w:sz w:val="13"/>
                <w:szCs w:val="13"/>
                <w:color w:val="auto"/>
              </w:rPr>
              <w:t>245</w:t>
            </w:r>
          </w:p>
        </w:tc>
        <w:tc>
          <w:tcPr>
            <w:tcW w:w="100" w:type="dxa"/>
            <w:vAlign w:val="bottom"/>
          </w:tcPr>
          <w:p>
            <w:pPr>
              <w:spacing w:after="0"/>
              <w:rPr>
                <w:sz w:val="11"/>
                <w:szCs w:val="11"/>
                <w:color w:val="auto"/>
              </w:rPr>
            </w:pPr>
          </w:p>
        </w:tc>
        <w:tc>
          <w:tcPr>
            <w:tcW w:w="160" w:type="dxa"/>
            <w:vAlign w:val="bottom"/>
          </w:tcPr>
          <w:p>
            <w:pPr>
              <w:jc w:val="right"/>
              <w:ind w:right="16"/>
              <w:spacing w:after="0" w:line="133" w:lineRule="exact"/>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33" w:lineRule="exact"/>
              <w:rPr>
                <w:sz w:val="20"/>
                <w:szCs w:val="20"/>
                <w:color w:val="auto"/>
              </w:rPr>
            </w:pPr>
            <w:r>
              <w:rPr>
                <w:rFonts w:ascii="Arial" w:cs="Arial" w:eastAsia="Arial" w:hAnsi="Arial"/>
                <w:sz w:val="13"/>
                <w:szCs w:val="13"/>
                <w:color w:val="auto"/>
                <w:w w:val="82"/>
              </w:rPr>
              <w:t>$</w:t>
            </w:r>
          </w:p>
        </w:tc>
        <w:tc>
          <w:tcPr>
            <w:tcW w:w="1060" w:type="dxa"/>
            <w:vAlign w:val="bottom"/>
          </w:tcPr>
          <w:p>
            <w:pPr>
              <w:ind w:left="880"/>
              <w:spacing w:after="0" w:line="133" w:lineRule="exact"/>
              <w:rPr>
                <w:sz w:val="20"/>
                <w:szCs w:val="20"/>
                <w:color w:val="auto"/>
              </w:rPr>
            </w:pPr>
            <w:r>
              <w:rPr>
                <w:rFonts w:ascii="Arial" w:cs="Arial" w:eastAsia="Arial" w:hAnsi="Arial"/>
                <w:sz w:val="13"/>
                <w:szCs w:val="13"/>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Loans held for sale</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15,989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15,989</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100" w:type="dxa"/>
            <w:vAlign w:val="bottom"/>
            <w:gridSpan w:val="2"/>
          </w:tcPr>
          <w:p>
            <w:pPr>
              <w:spacing w:after="0" w:line="133" w:lineRule="exact"/>
              <w:rPr>
                <w:sz w:val="20"/>
                <w:szCs w:val="20"/>
                <w:color w:val="auto"/>
              </w:rPr>
            </w:pPr>
            <w:r>
              <w:rPr>
                <w:rFonts w:ascii="Arial" w:cs="Arial" w:eastAsia="Arial" w:hAnsi="Arial"/>
                <w:sz w:val="13"/>
                <w:szCs w:val="13"/>
                <w:color w:val="auto"/>
              </w:rPr>
              <w:t>Derivative assets</w:t>
            </w:r>
          </w:p>
        </w:tc>
        <w:tc>
          <w:tcPr>
            <w:tcW w:w="280" w:type="dxa"/>
            <w:vAlign w:val="bottom"/>
          </w:tcPr>
          <w:p>
            <w:pPr>
              <w:jc w:val="right"/>
              <w:ind w:right="116"/>
              <w:spacing w:after="0" w:line="133"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33" w:lineRule="exact"/>
              <w:rPr>
                <w:sz w:val="20"/>
                <w:szCs w:val="20"/>
                <w:color w:val="auto"/>
              </w:rPr>
            </w:pPr>
            <w:r>
              <w:rPr>
                <w:rFonts w:ascii="Arial" w:cs="Arial" w:eastAsia="Arial" w:hAnsi="Arial"/>
                <w:sz w:val="13"/>
                <w:szCs w:val="13"/>
                <w:color w:val="auto"/>
              </w:rPr>
              <w:t>34</w:t>
            </w:r>
          </w:p>
        </w:tc>
        <w:tc>
          <w:tcPr>
            <w:tcW w:w="100" w:type="dxa"/>
            <w:vAlign w:val="bottom"/>
          </w:tcPr>
          <w:p>
            <w:pPr>
              <w:spacing w:after="0"/>
              <w:rPr>
                <w:sz w:val="11"/>
                <w:szCs w:val="11"/>
                <w:color w:val="auto"/>
              </w:rPr>
            </w:pPr>
          </w:p>
        </w:tc>
        <w:tc>
          <w:tcPr>
            <w:tcW w:w="160" w:type="dxa"/>
            <w:vAlign w:val="bottom"/>
          </w:tcPr>
          <w:p>
            <w:pPr>
              <w:jc w:val="right"/>
              <w:ind w:right="16"/>
              <w:spacing w:after="0" w:line="133" w:lineRule="exact"/>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line="133" w:lineRule="exact"/>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line="133" w:lineRule="exact"/>
              <w:rPr>
                <w:sz w:val="20"/>
                <w:szCs w:val="20"/>
                <w:color w:val="auto"/>
              </w:rPr>
            </w:pPr>
            <w:r>
              <w:rPr>
                <w:rFonts w:ascii="Arial" w:cs="Arial" w:eastAsia="Arial" w:hAnsi="Arial"/>
                <w:sz w:val="13"/>
                <w:szCs w:val="13"/>
                <w:color w:val="auto"/>
              </w:rPr>
              <w:t>34</w:t>
            </w:r>
          </w:p>
        </w:tc>
        <w:tc>
          <w:tcPr>
            <w:tcW w:w="120" w:type="dxa"/>
            <w:vAlign w:val="bottom"/>
          </w:tcPr>
          <w:p>
            <w:pPr>
              <w:spacing w:after="0"/>
              <w:rPr>
                <w:sz w:val="11"/>
                <w:szCs w:val="11"/>
                <w:color w:val="auto"/>
              </w:rPr>
            </w:pPr>
          </w:p>
        </w:tc>
        <w:tc>
          <w:tcPr>
            <w:tcW w:w="140" w:type="dxa"/>
            <w:vAlign w:val="bottom"/>
          </w:tcPr>
          <w:p>
            <w:pPr>
              <w:jc w:val="right"/>
              <w:spacing w:after="0" w:line="133" w:lineRule="exact"/>
              <w:rPr>
                <w:sz w:val="20"/>
                <w:szCs w:val="20"/>
                <w:color w:val="auto"/>
              </w:rPr>
            </w:pPr>
            <w:r>
              <w:rPr>
                <w:rFonts w:ascii="Arial" w:cs="Arial" w:eastAsia="Arial" w:hAnsi="Arial"/>
                <w:sz w:val="13"/>
                <w:szCs w:val="13"/>
                <w:color w:val="auto"/>
                <w:w w:val="82"/>
              </w:rPr>
              <w:t>$</w:t>
            </w:r>
          </w:p>
        </w:tc>
        <w:tc>
          <w:tcPr>
            <w:tcW w:w="1060" w:type="dxa"/>
            <w:vAlign w:val="bottom"/>
          </w:tcPr>
          <w:p>
            <w:pPr>
              <w:ind w:left="880"/>
              <w:spacing w:after="0" w:line="133" w:lineRule="exact"/>
              <w:rPr>
                <w:sz w:val="20"/>
                <w:szCs w:val="20"/>
                <w:color w:val="auto"/>
              </w:rPr>
            </w:pPr>
            <w:r>
              <w:rPr>
                <w:rFonts w:ascii="Arial" w:cs="Arial" w:eastAsia="Arial" w:hAnsi="Arial"/>
                <w:sz w:val="13"/>
                <w:szCs w:val="13"/>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Derivative liabilities</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instruments recorded using FASB ASC 825-10</w:t>
      </w:r>
    </w:p>
    <w:p>
      <w:pPr>
        <w:spacing w:after="0" w:line="19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60" w:type="dxa"/>
            <w:vAlign w:val="bottom"/>
          </w:tcPr>
          <w:p>
            <w:pPr>
              <w:ind w:left="20"/>
              <w:spacing w:after="0"/>
              <w:rPr>
                <w:sz w:val="20"/>
                <w:szCs w:val="20"/>
                <w:color w:val="auto"/>
              </w:rPr>
            </w:pPr>
            <w:r>
              <w:rPr>
                <w:rFonts w:ascii="Arial" w:cs="Arial" w:eastAsia="Arial" w:hAnsi="Arial"/>
                <w:sz w:val="13"/>
                <w:szCs w:val="13"/>
                <w:b w:val="1"/>
                <w:bCs w:val="1"/>
                <w:color w:val="auto"/>
              </w:rPr>
              <w:t>Fair Value of Loans Held for Sale</w:t>
            </w: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7560" w:type="dxa"/>
            <w:vAlign w:val="bottom"/>
          </w:tcPr>
          <w:p>
            <w:pPr>
              <w:ind w:left="20"/>
              <w:spacing w:after="0"/>
              <w:rPr>
                <w:sz w:val="20"/>
                <w:szCs w:val="20"/>
                <w:color w:val="auto"/>
              </w:rPr>
            </w:pPr>
            <w:r>
              <w:rPr>
                <w:rFonts w:ascii="Arial" w:cs="Arial" w:eastAsia="Arial" w:hAnsi="Arial"/>
                <w:sz w:val="8"/>
                <w:szCs w:val="8"/>
                <w:i w:val="1"/>
                <w:iCs w:val="1"/>
                <w:color w:val="auto"/>
              </w:rPr>
              <w:t>(in thousands)</w:t>
            </w:r>
          </w:p>
        </w:tc>
        <w:tc>
          <w:tcPr>
            <w:tcW w:w="22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 2022</w:t>
            </w:r>
          </w:p>
        </w:tc>
        <w:tc>
          <w:tcPr>
            <w:tcW w:w="200" w:type="dxa"/>
            <w:vAlign w:val="bottom"/>
          </w:tcPr>
          <w:p>
            <w:pPr>
              <w:spacing w:after="0"/>
              <w:rPr>
                <w:sz w:val="14"/>
                <w:szCs w:val="14"/>
                <w:color w:val="auto"/>
              </w:rPr>
            </w:pPr>
          </w:p>
        </w:tc>
        <w:tc>
          <w:tcPr>
            <w:tcW w:w="1600" w:type="dxa"/>
            <w:vAlign w:val="bottom"/>
          </w:tcPr>
          <w:p>
            <w:pPr>
              <w:jc w:val="right"/>
              <w:ind w:right="256"/>
              <w:spacing w:after="0"/>
              <w:rPr>
                <w:sz w:val="20"/>
                <w:szCs w:val="20"/>
                <w:color w:val="auto"/>
              </w:rPr>
            </w:pPr>
            <w:r>
              <w:rPr>
                <w:rFonts w:ascii="Arial" w:cs="Arial" w:eastAsia="Arial" w:hAnsi="Arial"/>
                <w:sz w:val="13"/>
                <w:szCs w:val="13"/>
                <w:b w:val="1"/>
                <w:bCs w:val="1"/>
                <w:color w:val="auto"/>
              </w:rPr>
              <w:t>December 31, 2021</w:t>
            </w:r>
          </w:p>
        </w:tc>
      </w:tr>
      <w:tr>
        <w:trPr>
          <w:trHeight w:val="16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Aggregate fair value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7,416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15,989</w:t>
            </w:r>
          </w:p>
        </w:tc>
      </w:tr>
      <w:tr>
        <w:trPr>
          <w:trHeight w:val="16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Contractual principal</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6,808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14,504</w:t>
            </w:r>
          </w:p>
        </w:tc>
      </w:tr>
      <w:tr>
        <w:trPr>
          <w:trHeight w:val="186"/>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Difference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99" w:name="page100"/>
    <w:bookmarkEnd w:id="99"/>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Fair Value (continued)</w:t>
      </w:r>
    </w:p>
    <w:p>
      <w:pPr>
        <w:spacing w:after="0" w:line="197" w:lineRule="exact"/>
        <w:rPr>
          <w:sz w:val="20"/>
          <w:szCs w:val="20"/>
          <w:color w:val="auto"/>
        </w:rPr>
      </w:pPr>
    </w:p>
    <w:p>
      <w:pPr>
        <w:ind w:right="140"/>
        <w:spacing w:after="0" w:line="266" w:lineRule="auto"/>
        <w:rPr>
          <w:sz w:val="20"/>
          <w:szCs w:val="20"/>
          <w:color w:val="auto"/>
        </w:rPr>
      </w:pPr>
      <w:r>
        <w:rPr>
          <w:rFonts w:ascii="Arial" w:cs="Arial" w:eastAsia="Arial" w:hAnsi="Arial"/>
          <w:sz w:val="14"/>
          <w:szCs w:val="14"/>
          <w:color w:val="auto"/>
        </w:rPr>
        <w:t>The Company elects to account for loans held for sale at fair value to eliminate the mismatch that would occur by recording changes in market value on derivative instruments used to hedge loans held for sale while carrying the loans at the lower of cost or market.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 on a nonrecurring basis</w:t>
      </w:r>
    </w:p>
    <w:p>
      <w:pPr>
        <w:spacing w:after="0" w:line="181" w:lineRule="exact"/>
        <w:rPr>
          <w:sz w:val="20"/>
          <w:szCs w:val="20"/>
          <w:color w:val="auto"/>
        </w:rPr>
      </w:pPr>
    </w:p>
    <w:p>
      <w:pPr>
        <w:jc w:val="both"/>
        <w:ind w:right="80" w:firstLine="255"/>
        <w:spacing w:after="0" w:line="264" w:lineRule="auto"/>
        <w:rPr>
          <w:sz w:val="20"/>
          <w:szCs w:val="20"/>
          <w:color w:val="auto"/>
        </w:rPr>
      </w:pPr>
      <w:r>
        <w:rPr>
          <w:rFonts w:ascii="Arial" w:cs="Arial" w:eastAsia="Arial" w:hAnsi="Arial"/>
          <w:sz w:val="14"/>
          <w:szCs w:val="14"/>
          <w:i w:val="1"/>
          <w:iCs w:val="1"/>
          <w:color w:val="auto"/>
        </w:rPr>
        <w:t xml:space="preserve">Impaired loans </w:t>
      </w:r>
      <w:r>
        <w:rPr>
          <w:rFonts w:ascii="Arial" w:cs="Arial" w:eastAsia="Arial" w:hAnsi="Arial"/>
          <w:sz w:val="14"/>
          <w:szCs w:val="14"/>
          <w:color w:val="auto"/>
        </w:rPr>
        <w:t>- The Company has measured impairment generally based on the fair value of the loan's collateral and discounted cash flow analysis. Fair value is generally</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determined based upon independent third-party appraisals of the properties, or discounted cash flows based upon the expected proceeds. These assets are included as Level 3 fair values. As of December 31, 2022 and December 31, 2021, the fair values consist of loan balances of $9.4 million and $11.3 million, with valuation allowances of $372 thousand and $218 thousand, respectively.</w:t>
      </w:r>
    </w:p>
    <w:p>
      <w:pPr>
        <w:spacing w:after="0" w:line="140" w:lineRule="exact"/>
        <w:rPr>
          <w:sz w:val="20"/>
          <w:szCs w:val="20"/>
          <w:color w:val="auto"/>
        </w:rPr>
      </w:pPr>
    </w:p>
    <w:p>
      <w:pPr>
        <w:jc w:val="both"/>
        <w:ind w:right="80" w:firstLine="255"/>
        <w:spacing w:after="0" w:line="287" w:lineRule="auto"/>
        <w:rPr>
          <w:sz w:val="20"/>
          <w:szCs w:val="20"/>
          <w:color w:val="auto"/>
        </w:rPr>
      </w:pPr>
      <w:r>
        <w:rPr>
          <w:rFonts w:ascii="Arial" w:cs="Arial" w:eastAsia="Arial" w:hAnsi="Arial"/>
          <w:sz w:val="14"/>
          <w:szCs w:val="14"/>
          <w:i w:val="1"/>
          <w:iCs w:val="1"/>
          <w:color w:val="auto"/>
        </w:rPr>
        <w:t xml:space="preserve">Foreclosed real estate </w:t>
      </w:r>
      <w:r>
        <w:rPr>
          <w:rFonts w:ascii="Arial" w:cs="Arial" w:eastAsia="Arial" w:hAnsi="Arial"/>
          <w:sz w:val="14"/>
          <w:szCs w:val="14"/>
          <w:color w:val="auto"/>
        </w:rPr>
        <w:t>- The Company's foreclosed real estate is measured at fair value less cost to sell. Fair value was determined based on offers and/or appraisals. Cost to</w:t>
      </w:r>
      <w:r>
        <w:rPr>
          <w:rFonts w:ascii="Arial" w:cs="Arial" w:eastAsia="Arial" w:hAnsi="Arial"/>
          <w:sz w:val="14"/>
          <w:szCs w:val="14"/>
          <w:i w:val="1"/>
          <w:iCs w:val="1"/>
          <w:color w:val="auto"/>
        </w:rPr>
        <w:t xml:space="preserve"> </w:t>
      </w:r>
      <w:r>
        <w:rPr>
          <w:rFonts w:ascii="Arial" w:cs="Arial" w:eastAsia="Arial" w:hAnsi="Arial"/>
          <w:sz w:val="14"/>
          <w:szCs w:val="14"/>
          <w:color w:val="auto"/>
        </w:rPr>
        <w:t>sell the real estate was based on standard market factors. The Company has categorized its foreclosed real estate as Level 3.</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Fair Value of Impaired Loans and Foreclosed Real Estate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62"/>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62"/>
              <w:spacing w:after="0"/>
              <w:rPr>
                <w:sz w:val="20"/>
                <w:szCs w:val="20"/>
                <w:color w:val="auto"/>
              </w:rPr>
            </w:pPr>
            <w:r>
              <w:rPr>
                <w:rFonts w:ascii="Arial" w:cs="Arial" w:eastAsia="Arial" w:hAnsi="Arial"/>
                <w:sz w:val="13"/>
                <w:szCs w:val="13"/>
                <w:b w:val="1"/>
                <w:bCs w:val="1"/>
                <w:color w:val="auto"/>
              </w:rPr>
              <w:t>2021</w:t>
            </w:r>
          </w:p>
        </w:tc>
      </w:tr>
      <w:tr>
        <w:trPr>
          <w:trHeight w:val="152"/>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Impaired loans</w:t>
            </w: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78"/>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Level 3 Inputs</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11,121</w:t>
            </w:r>
          </w:p>
        </w:tc>
      </w:tr>
      <w:tr>
        <w:trPr>
          <w:trHeight w:val="171"/>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9,021</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11,121</w:t>
            </w:r>
          </w:p>
        </w:tc>
      </w:tr>
      <w:tr>
        <w:trPr>
          <w:trHeight w:val="152"/>
        </w:trPr>
        <w:tc>
          <w:tcPr>
            <w:tcW w:w="7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0"/>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Foreclosed real estate</w:t>
            </w: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78"/>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Level 3 Inputs</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w:t>
            </w:r>
          </w:p>
        </w:tc>
      </w:tr>
      <w:tr>
        <w:trPr>
          <w:trHeight w:val="193"/>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b w:val="1"/>
                <w:bCs w:val="1"/>
                <w:color w:val="auto"/>
                <w:w w:val="97"/>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information describing the unobservable inputs used in Level 3 fair value measurements at December 31, 2022 and 2021:</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155"/>
        </w:trPr>
        <w:tc>
          <w:tcPr>
            <w:tcW w:w="2560" w:type="dxa"/>
            <w:vAlign w:val="bottom"/>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gridSpan w:val="2"/>
          </w:tcPr>
          <w:p>
            <w:pPr>
              <w:ind w:left="1320"/>
              <w:spacing w:after="0"/>
              <w:rPr>
                <w:sz w:val="20"/>
                <w:szCs w:val="20"/>
                <w:color w:val="auto"/>
              </w:rPr>
            </w:pPr>
            <w:r>
              <w:rPr>
                <w:rFonts w:ascii="Arial" w:cs="Arial" w:eastAsia="Arial" w:hAnsi="Arial"/>
                <w:sz w:val="13"/>
                <w:szCs w:val="13"/>
                <w:color w:val="auto"/>
              </w:rPr>
              <w:t>Inputs</w:t>
            </w:r>
          </w:p>
        </w:tc>
        <w:tc>
          <w:tcPr>
            <w:tcW w:w="1700" w:type="dxa"/>
            <w:vAlign w:val="bottom"/>
            <w:tcBorders>
              <w:bottom w:val="single" w:sz="8" w:color="auto"/>
            </w:tcBorders>
          </w:tcPr>
          <w:p>
            <w:pPr>
              <w:spacing w:after="0"/>
              <w:rPr>
                <w:sz w:val="13"/>
                <w:szCs w:val="13"/>
                <w:color w:val="auto"/>
              </w:rPr>
            </w:pPr>
          </w:p>
        </w:tc>
      </w:tr>
      <w:tr>
        <w:trPr>
          <w:trHeight w:val="309"/>
        </w:trPr>
        <w:tc>
          <w:tcPr>
            <w:tcW w:w="2560" w:type="dxa"/>
            <w:vAlign w:val="bottom"/>
            <w:tcBorders>
              <w:bottom w:val="single" w:sz="8" w:color="CCEEFF"/>
            </w:tcBorders>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Valuation Technique</w:t>
            </w:r>
          </w:p>
        </w:tc>
        <w:tc>
          <w:tcPr>
            <w:tcW w:w="140" w:type="dxa"/>
            <w:vAlign w:val="bottom"/>
            <w:tcBorders>
              <w:bottom w:val="single" w:sz="8" w:color="CCEEFF"/>
            </w:tcBorders>
          </w:tcPr>
          <w:p>
            <w:pPr>
              <w:spacing w:after="0"/>
              <w:rPr>
                <w:sz w:val="24"/>
                <w:szCs w:val="24"/>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Unobservable Inputs</w:t>
            </w:r>
          </w:p>
        </w:tc>
        <w:tc>
          <w:tcPr>
            <w:tcW w:w="14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w w:val="98"/>
              </w:rPr>
              <w:t>General Range of Inputs</w:t>
            </w:r>
          </w:p>
        </w:tc>
      </w:tr>
      <w:tr>
        <w:trPr>
          <w:trHeight w:val="132"/>
        </w:trPr>
        <w:tc>
          <w:tcPr>
            <w:tcW w:w="256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980" w:type="dxa"/>
            <w:vAlign w:val="bottom"/>
            <w:gridSpan w:val="2"/>
            <w:shd w:val="clear" w:color="auto" w:fill="CCEEFF"/>
          </w:tcPr>
          <w:p>
            <w:pPr>
              <w:jc w:val="center"/>
              <w:ind w:right="140"/>
              <w:spacing w:after="0" w:line="133" w:lineRule="exact"/>
              <w:rPr>
                <w:sz w:val="20"/>
                <w:szCs w:val="20"/>
                <w:color w:val="auto"/>
              </w:rPr>
            </w:pPr>
            <w:r>
              <w:rPr>
                <w:rFonts w:ascii="Arial" w:cs="Arial" w:eastAsia="Arial" w:hAnsi="Arial"/>
                <w:sz w:val="13"/>
                <w:szCs w:val="13"/>
                <w:color w:val="auto"/>
                <w:w w:val="98"/>
              </w:rPr>
              <w:t>Discounts to appraisals or cash flows for estimated holding and/or</w:t>
            </w:r>
          </w:p>
        </w:tc>
        <w:tc>
          <w:tcPr>
            <w:tcW w:w="1700" w:type="dxa"/>
            <w:vAlign w:val="bottom"/>
            <w:shd w:val="clear" w:color="auto" w:fill="CCEEFF"/>
          </w:tcPr>
          <w:p>
            <w:pPr>
              <w:spacing w:after="0"/>
              <w:rPr>
                <w:sz w:val="11"/>
                <w:szCs w:val="11"/>
                <w:color w:val="auto"/>
              </w:rPr>
            </w:pPr>
          </w:p>
        </w:tc>
      </w:tr>
      <w:tr>
        <w:trPr>
          <w:trHeight w:val="158"/>
        </w:trPr>
        <w:tc>
          <w:tcPr>
            <w:tcW w:w="2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Impaired Loans</w:t>
            </w:r>
          </w:p>
        </w:tc>
        <w:tc>
          <w:tcPr>
            <w:tcW w:w="28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Appraised Value/Discounted Cash Flows</w:t>
            </w:r>
          </w:p>
        </w:tc>
        <w:tc>
          <w:tcPr>
            <w:tcW w:w="398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selling costs</w:t>
            </w:r>
          </w:p>
        </w:tc>
        <w:tc>
          <w:tcPr>
            <w:tcW w:w="1700" w:type="dxa"/>
            <w:vAlign w:val="bottom"/>
            <w:shd w:val="clear" w:color="auto" w:fill="CCEEFF"/>
          </w:tcPr>
          <w:p>
            <w:pPr>
              <w:jc w:val="center"/>
              <w:ind w:left="116"/>
              <w:spacing w:after="0"/>
              <w:rPr>
                <w:sz w:val="20"/>
                <w:szCs w:val="20"/>
                <w:color w:val="auto"/>
              </w:rPr>
            </w:pPr>
            <w:r>
              <w:rPr>
                <w:rFonts w:ascii="Arial" w:cs="Arial" w:eastAsia="Arial" w:hAnsi="Arial"/>
                <w:sz w:val="13"/>
                <w:szCs w:val="13"/>
                <w:color w:val="auto"/>
                <w:w w:val="98"/>
              </w:rPr>
              <w:t>0 - 25%</w:t>
            </w:r>
          </w:p>
        </w:tc>
      </w:tr>
      <w:tr>
        <w:trPr>
          <w:trHeight w:val="165"/>
        </w:trPr>
        <w:tc>
          <w:tcPr>
            <w:tcW w:w="2560" w:type="dxa"/>
            <w:vAlign w:val="bottom"/>
          </w:tcPr>
          <w:p>
            <w:pPr>
              <w:ind w:left="20"/>
              <w:spacing w:after="0"/>
              <w:rPr>
                <w:sz w:val="20"/>
                <w:szCs w:val="20"/>
                <w:color w:val="auto"/>
              </w:rPr>
            </w:pPr>
            <w:r>
              <w:rPr>
                <w:rFonts w:ascii="Arial" w:cs="Arial" w:eastAsia="Arial" w:hAnsi="Arial"/>
                <w:sz w:val="13"/>
                <w:szCs w:val="13"/>
                <w:color w:val="auto"/>
              </w:rPr>
              <w:t>Foreclosed Real Estate</w:t>
            </w:r>
          </w:p>
        </w:tc>
        <w:tc>
          <w:tcPr>
            <w:tcW w:w="2860" w:type="dxa"/>
            <w:vAlign w:val="bottom"/>
            <w:gridSpan w:val="2"/>
          </w:tcPr>
          <w:p>
            <w:pPr>
              <w:jc w:val="center"/>
              <w:ind w:right="140"/>
              <w:spacing w:after="0"/>
              <w:rPr>
                <w:sz w:val="20"/>
                <w:szCs w:val="20"/>
                <w:color w:val="auto"/>
              </w:rPr>
            </w:pPr>
            <w:r>
              <w:rPr>
                <w:rFonts w:ascii="Arial" w:cs="Arial" w:eastAsia="Arial" w:hAnsi="Arial"/>
                <w:sz w:val="13"/>
                <w:szCs w:val="13"/>
                <w:color w:val="auto"/>
                <w:w w:val="97"/>
              </w:rPr>
              <w:t>Appraised Value/Comparable Sales</w:t>
            </w:r>
          </w:p>
        </w:tc>
        <w:tc>
          <w:tcPr>
            <w:tcW w:w="3980" w:type="dxa"/>
            <w:vAlign w:val="bottom"/>
            <w:gridSpan w:val="2"/>
          </w:tcPr>
          <w:p>
            <w:pPr>
              <w:jc w:val="center"/>
              <w:ind w:right="120"/>
              <w:spacing w:after="0"/>
              <w:rPr>
                <w:sz w:val="20"/>
                <w:szCs w:val="20"/>
                <w:color w:val="auto"/>
              </w:rPr>
            </w:pPr>
            <w:r>
              <w:rPr>
                <w:rFonts w:ascii="Arial" w:cs="Arial" w:eastAsia="Arial" w:hAnsi="Arial"/>
                <w:sz w:val="13"/>
                <w:szCs w:val="13"/>
                <w:color w:val="auto"/>
                <w:w w:val="97"/>
              </w:rPr>
              <w:t>Discounts to appraisals for estimated holding and/or selling costs</w:t>
            </w:r>
          </w:p>
        </w:tc>
        <w:tc>
          <w:tcPr>
            <w:tcW w:w="1700" w:type="dxa"/>
            <w:vAlign w:val="bottom"/>
          </w:tcPr>
          <w:p>
            <w:pPr>
              <w:jc w:val="center"/>
              <w:ind w:left="116"/>
              <w:spacing w:after="0"/>
              <w:rPr>
                <w:sz w:val="20"/>
                <w:szCs w:val="20"/>
                <w:color w:val="auto"/>
              </w:rPr>
            </w:pPr>
            <w:r>
              <w:rPr>
                <w:rFonts w:ascii="Arial" w:cs="Arial" w:eastAsia="Arial" w:hAnsi="Arial"/>
                <w:sz w:val="13"/>
                <w:szCs w:val="13"/>
                <w:color w:val="auto"/>
                <w:w w:val="98"/>
              </w:rPr>
              <w:t>0 - 25%</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95" w:lineRule="exact"/>
        <w:rPr>
          <w:sz w:val="20"/>
          <w:szCs w:val="20"/>
          <w:color w:val="auto"/>
        </w:rPr>
      </w:pPr>
    </w:p>
    <w:p>
      <w:pPr>
        <w:jc w:val="both"/>
        <w:ind w:right="80" w:firstLine="255"/>
        <w:spacing w:after="0" w:line="259" w:lineRule="auto"/>
        <w:rPr>
          <w:sz w:val="20"/>
          <w:szCs w:val="20"/>
          <w:color w:val="auto"/>
        </w:rPr>
      </w:pPr>
      <w:r>
        <w:rPr>
          <w:rFonts w:ascii="Arial" w:cs="Arial" w:eastAsia="Arial" w:hAnsi="Arial"/>
          <w:sz w:val="14"/>
          <w:szCs w:val="14"/>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195580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100" w:name="page101"/>
    <w:bookmarkEnd w:id="100"/>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Fair Value (continued)</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information used to determine fair value is highly subjective and judgmental in nature and, therefore, the results may not be 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15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4"/>
          <w:szCs w:val="14"/>
          <w:color w:val="auto"/>
        </w:rPr>
        <w:t>As of December 31, 2022, the technique used by the Company to estimate the exit price of the loan portfolio consists of similar procedures to those used as of December 31, 2021, but with added emphasis on both illiquidity risk and credit risk not captured by the previously applied entry price notion. The fair value of the Company’s loan portfolio has always included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16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fair value of cash and cash equivalents, interest-bearing deposits at other financial institutions, federal funds sold and restricted investments is the carrying amount.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Restricted stock includes equity of the Federal Reserve and other banker’s banks.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fair value of noninterest-bearing deposits and securities sold under agreements to repurchase is the carrying amount.</w:t>
      </w:r>
    </w:p>
    <w:p>
      <w:pPr>
        <w:spacing w:after="0" w:line="17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fair value of checking and savings deposits, and money market accounts, is the amount payable on demand at the reporting date. Fair value of fixed maturity term accounts and individual retirement accounts is estimated using rates currently offered for accounts of similar remaining maturities.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fair value of certificates of deposit in other financial institutions is estimated based on interest rates currently offered for deposits of similar remaining maturities.</w:t>
      </w:r>
    </w:p>
    <w:p>
      <w:pPr>
        <w:spacing w:after="0" w:line="179"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4"/>
          <w:szCs w:val="14"/>
          <w:color w:val="auto"/>
        </w:rPr>
        <w:t>The fair value of borrowings is estimated by discounting the value of contractual cash flows using current market rates for borrowings with similar terms and remaining maturities.</w:t>
      </w:r>
    </w:p>
    <w:p>
      <w:pPr>
        <w:spacing w:after="0" w:line="34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1" w:name="page102"/>
    <w:bookmarkEnd w:id="101"/>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Fair Value (continued)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presents the carrying amount, fair value, and placement in the fair value hierarchy of the Company’s financial instruments (in thousands).</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Fair Value of Financial Assets and Liabilities</w:t>
      </w:r>
    </w:p>
    <w:p>
      <w:pPr>
        <w:spacing w:after="0" w:line="25" w:lineRule="exact"/>
        <w:rPr>
          <w:sz w:val="20"/>
          <w:szCs w:val="20"/>
          <w:color w:val="auto"/>
        </w:rPr>
      </w:pPr>
    </w:p>
    <w:tbl>
      <w:tblPr>
        <w:tblLayout w:type="fixed"/>
        <w:tblInd w:w="26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1"/>
                <w:szCs w:val="11"/>
                <w:b w:val="1"/>
                <w:bCs w:val="1"/>
                <w:color w:val="auto"/>
              </w:rPr>
              <w:t>December 31, 2022</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1"/>
                <w:szCs w:val="11"/>
                <w:b w:val="1"/>
                <w:bCs w:val="1"/>
                <w:color w:val="auto"/>
              </w:rPr>
              <w:t>December 31, 2021</w:t>
            </w:r>
          </w:p>
        </w:tc>
      </w:tr>
      <w:tr>
        <w:trPr>
          <w:trHeight w:val="150"/>
        </w:trPr>
        <w:tc>
          <w:tcPr>
            <w:tcW w:w="582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4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Carrying Amount</w:t>
            </w:r>
          </w:p>
        </w:tc>
        <w:tc>
          <w:tcPr>
            <w:tcW w:w="22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Fair Value</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color w:val="auto"/>
              </w:rPr>
              <w:t>Carrying Amount</w:t>
            </w:r>
          </w:p>
        </w:tc>
        <w:tc>
          <w:tcPr>
            <w:tcW w:w="220" w:type="dxa"/>
            <w:vAlign w:val="bottom"/>
          </w:tcPr>
          <w:p>
            <w:pPr>
              <w:spacing w:after="0"/>
              <w:rPr>
                <w:sz w:val="13"/>
                <w:szCs w:val="13"/>
                <w:color w:val="auto"/>
              </w:rPr>
            </w:pPr>
          </w:p>
        </w:tc>
        <w:tc>
          <w:tcPr>
            <w:tcW w:w="880" w:type="dxa"/>
            <w:vAlign w:val="bottom"/>
          </w:tcPr>
          <w:p>
            <w:pPr>
              <w:jc w:val="right"/>
              <w:ind w:right="163"/>
              <w:spacing w:after="0"/>
              <w:rPr>
                <w:sz w:val="20"/>
                <w:szCs w:val="20"/>
                <w:color w:val="auto"/>
              </w:rPr>
            </w:pPr>
            <w:r>
              <w:rPr>
                <w:rFonts w:ascii="Arial" w:cs="Arial" w:eastAsia="Arial" w:hAnsi="Arial"/>
                <w:sz w:val="11"/>
                <w:szCs w:val="11"/>
                <w:color w:val="auto"/>
              </w:rPr>
              <w:t>Fair Value</w:t>
            </w:r>
          </w:p>
        </w:tc>
      </w:tr>
      <w:tr>
        <w:trPr>
          <w:trHeight w:val="154"/>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Financial assets</w:t>
            </w: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68"/>
        </w:trPr>
        <w:tc>
          <w:tcPr>
            <w:tcW w:w="5820" w:type="dxa"/>
            <w:vAlign w:val="bottom"/>
          </w:tcPr>
          <w:p>
            <w:pPr>
              <w:ind w:left="100"/>
              <w:spacing w:after="0"/>
              <w:rPr>
                <w:sz w:val="20"/>
                <w:szCs w:val="20"/>
                <w:color w:val="auto"/>
              </w:rPr>
            </w:pPr>
            <w:r>
              <w:rPr>
                <w:rFonts w:ascii="Arial" w:cs="Arial" w:eastAsia="Arial" w:hAnsi="Arial"/>
                <w:sz w:val="13"/>
                <w:szCs w:val="13"/>
                <w:color w:val="auto"/>
              </w:rPr>
              <w:t>Level 1</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due from banks</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19,963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19,963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42,914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w:t>
            </w:r>
          </w:p>
        </w:tc>
      </w:tr>
      <w:tr>
        <w:trPr>
          <w:trHeight w:val="168"/>
        </w:trPr>
        <w:tc>
          <w:tcPr>
            <w:tcW w:w="5820" w:type="dxa"/>
            <w:vAlign w:val="bottom"/>
          </w:tcPr>
          <w:p>
            <w:pPr>
              <w:ind w:left="180"/>
              <w:spacing w:after="0"/>
              <w:rPr>
                <w:sz w:val="20"/>
                <w:szCs w:val="20"/>
                <w:color w:val="auto"/>
              </w:rPr>
            </w:pPr>
            <w:r>
              <w:rPr>
                <w:rFonts w:ascii="Arial" w:cs="Arial" w:eastAsia="Arial" w:hAnsi="Arial"/>
                <w:sz w:val="13"/>
                <w:szCs w:val="13"/>
                <w:color w:val="auto"/>
              </w:rPr>
              <w:t>Interest-bearing deposits at other financial institutions</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39,764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b w:val="1"/>
                <w:bCs w:val="1"/>
                <w:color w:val="auto"/>
              </w:rPr>
              <w:t>39,764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136,824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136,8</w:t>
            </w:r>
          </w:p>
        </w:tc>
      </w:tr>
      <w:tr>
        <w:trPr>
          <w:trHeight w:val="172"/>
        </w:trPr>
        <w:tc>
          <w:tcPr>
            <w:tcW w:w="5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Marketable equity securities</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68"/>
        </w:trPr>
        <w:tc>
          <w:tcPr>
            <w:tcW w:w="5820" w:type="dxa"/>
            <w:vAlign w:val="bottom"/>
          </w:tcPr>
          <w:p>
            <w:pPr>
              <w:ind w:left="180"/>
              <w:spacing w:after="0"/>
              <w:rPr>
                <w:sz w:val="20"/>
                <w:szCs w:val="20"/>
                <w:color w:val="auto"/>
              </w:rPr>
            </w:pPr>
            <w:r>
              <w:rPr>
                <w:rFonts w:ascii="Arial" w:cs="Arial" w:eastAsia="Arial" w:hAnsi="Arial"/>
                <w:sz w:val="13"/>
                <w:szCs w:val="13"/>
                <w:color w:val="auto"/>
              </w:rPr>
              <w:t>Federal funds sold</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20,688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b w:val="1"/>
                <w:bCs w:val="1"/>
                <w:color w:val="auto"/>
              </w:rPr>
              <w:t>20,688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3,657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3,6</w:t>
            </w:r>
          </w:p>
        </w:tc>
      </w:tr>
      <w:tr>
        <w:trPr>
          <w:trHeight w:val="172"/>
        </w:trPr>
        <w:tc>
          <w:tcPr>
            <w:tcW w:w="5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Level 3</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8"/>
        </w:trPr>
        <w:tc>
          <w:tcPr>
            <w:tcW w:w="5820" w:type="dxa"/>
            <w:vAlign w:val="bottom"/>
          </w:tcPr>
          <w:p>
            <w:pPr>
              <w:ind w:left="180"/>
              <w:spacing w:after="0"/>
              <w:rPr>
                <w:sz w:val="20"/>
                <w:szCs w:val="20"/>
                <w:color w:val="auto"/>
              </w:rPr>
            </w:pPr>
            <w:r>
              <w:rPr>
                <w:rFonts w:ascii="Arial" w:cs="Arial" w:eastAsia="Arial" w:hAnsi="Arial"/>
                <w:sz w:val="13"/>
                <w:szCs w:val="13"/>
                <w:color w:val="auto"/>
              </w:rPr>
              <w:t>Loans receivable, net</w:t>
            </w:r>
          </w:p>
        </w:tc>
        <w:tc>
          <w:tcPr>
            <w:tcW w:w="14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1,704,370</w:t>
            </w:r>
          </w:p>
        </w:tc>
        <w:tc>
          <w:tcPr>
            <w:tcW w:w="12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Pr>
          <w:p>
            <w:pPr>
              <w:jc w:val="right"/>
              <w:ind w:right="3"/>
              <w:spacing w:after="0"/>
              <w:rPr>
                <w:sz w:val="20"/>
                <w:szCs w:val="20"/>
                <w:color w:val="auto"/>
              </w:rPr>
            </w:pPr>
            <w:r>
              <w:rPr>
                <w:rFonts w:ascii="Arial" w:cs="Arial" w:eastAsia="Arial" w:hAnsi="Arial"/>
                <w:sz w:val="11"/>
                <w:szCs w:val="11"/>
                <w:b w:val="1"/>
                <w:bCs w:val="1"/>
                <w:color w:val="auto"/>
              </w:rPr>
              <w:t>1,659,283</w:t>
            </w:r>
          </w:p>
        </w:tc>
        <w:tc>
          <w:tcPr>
            <w:tcW w:w="10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1,607,086</w:t>
            </w:r>
          </w:p>
        </w:tc>
        <w:tc>
          <w:tcPr>
            <w:tcW w:w="120" w:type="dxa"/>
            <w:vAlign w:val="bottom"/>
          </w:tcPr>
          <w:p>
            <w:pPr>
              <w:spacing w:after="0"/>
              <w:rPr>
                <w:sz w:val="14"/>
                <w:szCs w:val="14"/>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1,598,2</w:t>
            </w:r>
          </w:p>
        </w:tc>
      </w:tr>
      <w:tr>
        <w:trPr>
          <w:trHeight w:val="172"/>
        </w:trPr>
        <w:tc>
          <w:tcPr>
            <w:tcW w:w="5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investments</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7,362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7,362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r>
      <w:tr>
        <w:trPr>
          <w:trHeight w:val="170"/>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8"/>
        </w:trPr>
        <w:tc>
          <w:tcPr>
            <w:tcW w:w="5820" w:type="dxa"/>
            <w:vAlign w:val="bottom"/>
          </w:tcPr>
          <w:p>
            <w:pPr>
              <w:ind w:left="100"/>
              <w:spacing w:after="0"/>
              <w:rPr>
                <w:sz w:val="20"/>
                <w:szCs w:val="20"/>
                <w:color w:val="auto"/>
              </w:rPr>
            </w:pPr>
            <w:r>
              <w:rPr>
                <w:rFonts w:ascii="Arial" w:cs="Arial" w:eastAsia="Arial" w:hAnsi="Arial"/>
                <w:sz w:val="13"/>
                <w:szCs w:val="13"/>
                <w:color w:val="auto"/>
              </w:rPr>
              <w:t>Level 1</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Noninterest-bearing deposits</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674,313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674,313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787,650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787,6</w:t>
            </w:r>
          </w:p>
        </w:tc>
      </w:tr>
      <w:tr>
        <w:trPr>
          <w:trHeight w:val="168"/>
        </w:trPr>
        <w:tc>
          <w:tcPr>
            <w:tcW w:w="5820" w:type="dxa"/>
            <w:vAlign w:val="bottom"/>
          </w:tcPr>
          <w:p>
            <w:pPr>
              <w:ind w:left="100"/>
              <w:spacing w:after="0"/>
              <w:rPr>
                <w:sz w:val="20"/>
                <w:szCs w:val="20"/>
                <w:color w:val="auto"/>
              </w:rPr>
            </w:pPr>
            <w:r>
              <w:rPr>
                <w:rFonts w:ascii="Arial" w:cs="Arial" w:eastAsia="Arial" w:hAnsi="Arial"/>
                <w:sz w:val="13"/>
                <w:szCs w:val="13"/>
                <w:color w:val="auto"/>
              </w:rPr>
              <w:t>Level 3</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Interest-bearing deposits</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1,083,759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7"/>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1,090,553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1,009,487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1,011,1</w:t>
            </w:r>
          </w:p>
        </w:tc>
      </w:tr>
      <w:tr>
        <w:trPr>
          <w:trHeight w:val="165"/>
        </w:trPr>
        <w:tc>
          <w:tcPr>
            <w:tcW w:w="5820" w:type="dxa"/>
            <w:vAlign w:val="bottom"/>
          </w:tcPr>
          <w:p>
            <w:pPr>
              <w:ind w:left="180"/>
              <w:spacing w:after="0"/>
              <w:rPr>
                <w:sz w:val="20"/>
                <w:szCs w:val="20"/>
                <w:color w:val="auto"/>
              </w:rPr>
            </w:pPr>
            <w:r>
              <w:rPr>
                <w:rFonts w:ascii="Arial" w:cs="Arial" w:eastAsia="Arial" w:hAnsi="Arial"/>
                <w:sz w:val="13"/>
                <w:szCs w:val="13"/>
                <w:color w:val="auto"/>
              </w:rPr>
              <w:t>FHLB advances and other borrowed funds</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119,062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b w:val="1"/>
                <w:bCs w:val="1"/>
                <w:color w:val="auto"/>
              </w:rPr>
              <w:t>116,544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34,062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66" w:right="239" w:bottom="1440" w:gutter="0" w:footer="0" w:header="0"/>
        </w:sectPr>
      </w:pPr>
    </w:p>
    <w:bookmarkStart w:id="102" w:name="page103"/>
    <w:bookmarkEnd w:id="102"/>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 Segments</w:t>
      </w:r>
    </w:p>
    <w:p>
      <w:pPr>
        <w:spacing w:after="0" w:line="197" w:lineRule="exact"/>
        <w:rPr>
          <w:sz w:val="20"/>
          <w:szCs w:val="20"/>
          <w:color w:val="auto"/>
        </w:rPr>
      </w:pPr>
    </w:p>
    <w:p>
      <w:pPr>
        <w:jc w:val="both"/>
        <w:ind w:firstLine="255"/>
        <w:spacing w:after="0" w:line="231" w:lineRule="auto"/>
        <w:rPr>
          <w:sz w:val="20"/>
          <w:szCs w:val="20"/>
          <w:color w:val="auto"/>
        </w:rPr>
      </w:pPr>
      <w:r>
        <w:rPr>
          <w:rFonts w:ascii="Arial" w:cs="Arial" w:eastAsia="Arial" w:hAnsi="Arial"/>
          <w:sz w:val="14"/>
          <w:szCs w:val="14"/>
          <w:color w:val="auto"/>
        </w:rPr>
        <w:t>The Company’s reportable segments represent business units with discrete financial information whose results are regularly reviewed by management. The four segments include Commercial Banking, Capital Bank Home Loans (the Company’s mortgage loan division), and OpenSky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(the Company’s credit card division) and the Corporate Office. The following schedule presents financial information for each reportable segment at December 31, 2022 and 2021.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Segments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8"/>
          <w:szCs w:val="8"/>
          <w:i w:val="1"/>
          <w:iCs w:val="1"/>
          <w:color w:val="auto"/>
        </w:rPr>
        <w:t>(in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43"/>
              <w:spacing w:after="0"/>
              <w:rPr>
                <w:sz w:val="20"/>
                <w:szCs w:val="20"/>
                <w:color w:val="auto"/>
              </w:rPr>
            </w:pPr>
            <w:r>
              <w:rPr>
                <w:rFonts w:ascii="Arial" w:cs="Arial" w:eastAsia="Arial" w:hAnsi="Arial"/>
                <w:sz w:val="11"/>
                <w:szCs w:val="11"/>
                <w:b w:val="1"/>
                <w:bCs w:val="1"/>
                <w:color w:val="auto"/>
              </w:rPr>
              <w:t>OpenSky</w:t>
            </w:r>
            <w:r>
              <w:rPr>
                <w:rFonts w:ascii="Arial" w:cs="Arial" w:eastAsia="Arial" w:hAnsi="Arial"/>
                <w:sz w:val="14"/>
                <w:szCs w:val="14"/>
                <w:b w:val="1"/>
                <w:bCs w:val="1"/>
                <w:color w:val="auto"/>
                <w:vertAlign w:val="superscript"/>
              </w:rPr>
              <w:t>®</w:t>
            </w:r>
          </w:p>
        </w:tc>
        <w:tc>
          <w:tcPr>
            <w:tcW w:w="240" w:type="dxa"/>
            <w:vAlign w:val="bottom"/>
          </w:tcPr>
          <w:p>
            <w:pPr>
              <w:spacing w:after="0"/>
              <w:rPr>
                <w:sz w:val="14"/>
                <w:szCs w:val="14"/>
                <w:color w:val="auto"/>
              </w:rPr>
            </w:pPr>
          </w:p>
        </w:tc>
        <w:tc>
          <w:tcPr>
            <w:tcW w:w="1120" w:type="dxa"/>
            <w:vAlign w:val="bottom"/>
          </w:tcPr>
          <w:p>
            <w:pPr>
              <w:jc w:val="right"/>
              <w:ind w:right="283"/>
              <w:spacing w:after="0"/>
              <w:rPr>
                <w:sz w:val="20"/>
                <w:szCs w:val="20"/>
                <w:color w:val="auto"/>
              </w:rPr>
            </w:pPr>
            <w:r>
              <w:rPr>
                <w:rFonts w:ascii="Arial" w:cs="Arial" w:eastAsia="Arial" w:hAnsi="Arial"/>
                <w:sz w:val="11"/>
                <w:szCs w:val="11"/>
                <w:b w:val="1"/>
                <w:bCs w:val="1"/>
                <w:color w:val="auto"/>
              </w:rPr>
              <w:t>Corporate</w:t>
            </w:r>
            <w:r>
              <w:rPr>
                <w:rFonts w:ascii="Arial" w:cs="Arial" w:eastAsia="Arial" w:hAnsi="Arial"/>
                <w:sz w:val="6"/>
                <w:szCs w:val="6"/>
                <w:b w:val="1"/>
                <w:bCs w:val="1"/>
                <w:color w:val="auto"/>
              </w:rPr>
              <w:t>(2)</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27"/>
        </w:trPr>
        <w:tc>
          <w:tcPr>
            <w:tcW w:w="20" w:type="dxa"/>
            <w:vAlign w:val="bottom"/>
          </w:tcPr>
          <w:p>
            <w:pPr>
              <w:spacing w:after="0"/>
              <w:rPr>
                <w:sz w:val="11"/>
                <w:szCs w:val="11"/>
                <w:color w:val="auto"/>
              </w:rPr>
            </w:pPr>
          </w:p>
        </w:tc>
        <w:tc>
          <w:tcPr>
            <w:tcW w:w="3060" w:type="dxa"/>
            <w:vAlign w:val="bottom"/>
            <w:gridSpan w:val="2"/>
          </w:tcPr>
          <w:p>
            <w:pPr>
              <w:spacing w:after="0"/>
              <w:rPr>
                <w:sz w:val="20"/>
                <w:szCs w:val="20"/>
                <w:color w:val="auto"/>
              </w:rPr>
            </w:pPr>
            <w:r>
              <w:rPr>
                <w:rFonts w:ascii="Arial" w:cs="Arial" w:eastAsia="Arial" w:hAnsi="Arial"/>
                <w:sz w:val="11"/>
                <w:szCs w:val="11"/>
                <w:b w:val="1"/>
                <w:bCs w:val="1"/>
                <w:color w:val="auto"/>
              </w:rPr>
              <w:t>December 31, 2022</w:t>
            </w:r>
          </w:p>
        </w:tc>
        <w:tc>
          <w:tcPr>
            <w:tcW w:w="140" w:type="dxa"/>
            <w:vAlign w:val="bottom"/>
          </w:tcPr>
          <w:p>
            <w:pPr>
              <w:spacing w:after="0"/>
              <w:rPr>
                <w:sz w:val="11"/>
                <w:szCs w:val="11"/>
                <w:color w:val="auto"/>
              </w:rPr>
            </w:pPr>
          </w:p>
        </w:tc>
        <w:tc>
          <w:tcPr>
            <w:tcW w:w="1220" w:type="dxa"/>
            <w:vAlign w:val="bottom"/>
          </w:tcPr>
          <w:p>
            <w:pPr>
              <w:jc w:val="right"/>
              <w:ind w:right="143"/>
              <w:spacing w:after="0"/>
              <w:rPr>
                <w:sz w:val="20"/>
                <w:szCs w:val="20"/>
                <w:color w:val="auto"/>
              </w:rPr>
            </w:pPr>
            <w:r>
              <w:rPr>
                <w:rFonts w:ascii="Arial" w:cs="Arial" w:eastAsia="Arial" w:hAnsi="Arial"/>
                <w:sz w:val="11"/>
                <w:szCs w:val="11"/>
                <w:b w:val="1"/>
                <w:bCs w:val="1"/>
                <w:color w:val="auto"/>
              </w:rPr>
              <w:t>Commercial Bank</w:t>
            </w:r>
          </w:p>
        </w:tc>
        <w:tc>
          <w:tcPr>
            <w:tcW w:w="300" w:type="dxa"/>
            <w:vAlign w:val="bottom"/>
          </w:tcPr>
          <w:p>
            <w:pPr>
              <w:spacing w:after="0"/>
              <w:rPr>
                <w:sz w:val="11"/>
                <w:szCs w:val="11"/>
                <w:color w:val="auto"/>
              </w:rPr>
            </w:pPr>
          </w:p>
        </w:tc>
        <w:tc>
          <w:tcPr>
            <w:tcW w:w="1060" w:type="dxa"/>
            <w:vAlign w:val="bottom"/>
          </w:tcPr>
          <w:p>
            <w:pPr>
              <w:jc w:val="right"/>
              <w:ind w:right="463"/>
              <w:spacing w:after="0"/>
              <w:rPr>
                <w:sz w:val="20"/>
                <w:szCs w:val="20"/>
                <w:color w:val="auto"/>
              </w:rPr>
            </w:pPr>
            <w:r>
              <w:rPr>
                <w:rFonts w:ascii="Arial" w:cs="Arial" w:eastAsia="Arial" w:hAnsi="Arial"/>
                <w:sz w:val="11"/>
                <w:szCs w:val="11"/>
                <w:b w:val="1"/>
                <w:bCs w:val="1"/>
                <w:color w:val="auto"/>
              </w:rPr>
              <w:t>CBHL</w:t>
            </w: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right"/>
              <w:ind w:right="303"/>
              <w:spacing w:after="0"/>
              <w:rPr>
                <w:sz w:val="20"/>
                <w:szCs w:val="20"/>
                <w:color w:val="auto"/>
              </w:rPr>
            </w:pPr>
            <w:r>
              <w:rPr>
                <w:rFonts w:ascii="Arial" w:cs="Arial" w:eastAsia="Arial" w:hAnsi="Arial"/>
                <w:sz w:val="11"/>
                <w:szCs w:val="11"/>
                <w:b w:val="1"/>
                <w:bCs w:val="1"/>
                <w:color w:val="auto"/>
              </w:rPr>
              <w:t>Eliminations</w:t>
            </w:r>
          </w:p>
        </w:tc>
        <w:tc>
          <w:tcPr>
            <w:tcW w:w="200" w:type="dxa"/>
            <w:vAlign w:val="bottom"/>
          </w:tcPr>
          <w:p>
            <w:pPr>
              <w:spacing w:after="0"/>
              <w:rPr>
                <w:sz w:val="11"/>
                <w:szCs w:val="11"/>
                <w:color w:val="auto"/>
              </w:rPr>
            </w:pPr>
          </w:p>
        </w:tc>
        <w:tc>
          <w:tcPr>
            <w:tcW w:w="1160" w:type="dxa"/>
            <w:vAlign w:val="bottom"/>
          </w:tcPr>
          <w:p>
            <w:pPr>
              <w:jc w:val="right"/>
              <w:ind w:right="263"/>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1"/>
                <w:szCs w:val="11"/>
                <w:color w:val="auto"/>
              </w:rPr>
              <w:t>Interest income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82,182</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435</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64,859</w:t>
            </w:r>
          </w:p>
        </w:tc>
        <w:tc>
          <w:tcPr>
            <w:tcW w:w="2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3,349</w:t>
            </w:r>
          </w:p>
        </w:tc>
        <w:tc>
          <w:tcPr>
            <w:tcW w:w="2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(179)</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150,646</w:t>
            </w:r>
          </w:p>
        </w:tc>
      </w:tr>
      <w:tr>
        <w:trPr>
          <w:trHeight w:val="190"/>
        </w:trPr>
        <w:tc>
          <w:tcPr>
            <w:tcW w:w="2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9,245</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218</w:t>
            </w: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755</w:t>
            </w: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10,039</w:t>
            </w:r>
          </w:p>
        </w:tc>
      </w:tr>
      <w:tr>
        <w:trPr>
          <w:trHeight w:val="161"/>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1"/>
                <w:szCs w:val="11"/>
                <w:b w:val="1"/>
                <w:bCs w:val="1"/>
                <w:color w:val="auto"/>
              </w:rPr>
              <w:t>Net interest income</w:t>
            </w:r>
          </w:p>
        </w:tc>
        <w:tc>
          <w:tcPr>
            <w:tcW w:w="14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72,937</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217</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64,859</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2,594</w:t>
            </w:r>
          </w:p>
        </w:tc>
        <w:tc>
          <w:tcPr>
            <w:tcW w:w="2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140,607</w:t>
            </w:r>
          </w:p>
        </w:tc>
      </w:tr>
      <w:tr>
        <w:trPr>
          <w:trHeight w:val="190"/>
        </w:trPr>
        <w:tc>
          <w:tcPr>
            <w:tcW w:w="2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 for (reversal of) loan losses</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(980)</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7,611</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6,631</w:t>
            </w:r>
          </w:p>
        </w:tc>
      </w:tr>
      <w:tr>
        <w:trPr>
          <w:trHeight w:val="171"/>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1"/>
                <w:szCs w:val="11"/>
                <w:color w:val="auto"/>
              </w:rPr>
              <w:t>Noninterest income</w:t>
            </w:r>
          </w:p>
        </w:tc>
        <w:tc>
          <w:tcPr>
            <w:tcW w:w="14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2,122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5,276</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21,972</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29,372</w:t>
            </w: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Noninterest expense</w:t>
            </w:r>
            <w:r>
              <w:rPr>
                <w:rFonts w:ascii="Arial" w:cs="Arial" w:eastAsia="Arial" w:hAnsi="Arial"/>
                <w:sz w:val="6"/>
                <w:szCs w:val="6"/>
                <w:color w:val="auto"/>
              </w:rPr>
              <w:t>(1)</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79"/>
        </w:trPr>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52,552</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8,450</w:t>
            </w: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47,647</w:t>
            </w: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465</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109,114</w:t>
            </w: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Arial" w:cs="Arial" w:eastAsia="Arial" w:hAnsi="Arial"/>
                <w:sz w:val="11"/>
                <w:szCs w:val="11"/>
                <w:b w:val="1"/>
                <w:bCs w:val="1"/>
                <w:color w:val="auto"/>
              </w:rPr>
              <w:t>Net income (loss) before taxes</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23,487</w:t>
            </w: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(2,957)</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31,573</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2,131</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54,234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Arial" w:cs="Arial" w:eastAsia="Arial" w:hAnsi="Arial"/>
                <w:sz w:val="11"/>
                <w:szCs w:val="11"/>
                <w:b w:val="1"/>
                <w:bCs w:val="1"/>
                <w:color w:val="auto"/>
              </w:rPr>
              <w:t>Total assets</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1,939,601</w:t>
            </w: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7,936</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122,418</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245,399</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(191,699)</w:t>
            </w: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2,123,655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tcPr>
          <w:p>
            <w:pPr>
              <w:spacing w:after="0"/>
              <w:rPr>
                <w:sz w:val="20"/>
                <w:szCs w:val="20"/>
                <w:color w:val="auto"/>
              </w:rPr>
            </w:pPr>
            <w:r>
              <w:rPr>
                <w:rFonts w:ascii="Arial" w:cs="Arial" w:eastAsia="Arial" w:hAnsi="Arial"/>
                <w:sz w:val="11"/>
                <w:szCs w:val="11"/>
                <w:b w:val="1"/>
                <w:bCs w:val="1"/>
                <w:color w:val="auto"/>
              </w:rPr>
              <w:t>December 31, 2021</w:t>
            </w: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income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69,433</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1,217</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50,422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123,243</w:t>
            </w:r>
          </w:p>
        </w:tc>
      </w:tr>
      <w:tr>
        <w:trPr>
          <w:trHeight w:val="171"/>
        </w:trPr>
        <w:tc>
          <w:tcPr>
            <w:tcW w:w="2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Interest expense</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5,142</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874</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670</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6,550</w:t>
            </w: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interest income</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64,291</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50,422</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1,637</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116,693</w:t>
            </w:r>
          </w:p>
        </w:tc>
      </w:tr>
      <w:tr>
        <w:trPr>
          <w:trHeight w:val="171"/>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1"/>
                <w:szCs w:val="11"/>
                <w:color w:val="auto"/>
              </w:rPr>
              <w:t>Provision for loan losses</w:t>
            </w:r>
          </w:p>
        </w:tc>
        <w:tc>
          <w:tcPr>
            <w:tcW w:w="14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433</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2,856</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70</w:t>
            </w:r>
          </w:p>
        </w:tc>
        <w:tc>
          <w:tcPr>
            <w:tcW w:w="240" w:type="dxa"/>
            <w:vAlign w:val="bottom"/>
          </w:tcPr>
          <w:p>
            <w:pPr>
              <w:spacing w:after="0"/>
              <w:rPr>
                <w:sz w:val="14"/>
                <w:szCs w:val="14"/>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3,359</w:t>
            </w:r>
          </w:p>
        </w:tc>
      </w:tr>
      <w:tr>
        <w:trPr>
          <w:trHeight w:val="190"/>
        </w:trPr>
        <w:tc>
          <w:tcPr>
            <w:tcW w:w="2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Noninterest income</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1,759</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20,911</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27,884</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50,636</w:t>
            </w:r>
          </w:p>
        </w:tc>
      </w:tr>
      <w:tr>
        <w:trPr>
          <w:trHeight w:val="161"/>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1"/>
                <w:szCs w:val="11"/>
                <w:color w:val="auto"/>
              </w:rPr>
              <w:t>Noninterest expense</w:t>
            </w:r>
            <w:r>
              <w:rPr>
                <w:rFonts w:ascii="Arial" w:cs="Arial" w:eastAsia="Arial" w:hAnsi="Arial"/>
                <w:sz w:val="6"/>
                <w:szCs w:val="6"/>
                <w:color w:val="auto"/>
              </w:rPr>
              <w:t>(1)</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44,729</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12,713</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52,231</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110,094</w:t>
            </w: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before taxes</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20,888</w:t>
            </w: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8,541</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23,219</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1,228</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53,876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1,859,201</w:t>
            </w: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16,698</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138,232</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217,993</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(176,824)</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2,055,300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 w:lineRule="exact"/>
        <w:rPr>
          <w:sz w:val="20"/>
          <w:szCs w:val="20"/>
          <w:color w:val="auto"/>
        </w:rPr>
      </w:pPr>
    </w:p>
    <w:p>
      <w:pPr>
        <w:ind w:left="260" w:hanging="255"/>
        <w:spacing w:after="0"/>
        <w:tabs>
          <w:tab w:leader="none" w:pos="260" w:val="left"/>
        </w:tabs>
        <w:numPr>
          <w:ilvl w:val="0"/>
          <w:numId w:val="20"/>
        </w:numPr>
        <w:rPr>
          <w:rFonts w:ascii="Arial" w:cs="Arial" w:eastAsia="Arial" w:hAnsi="Arial"/>
          <w:sz w:val="11"/>
          <w:szCs w:val="11"/>
          <w:color w:val="auto"/>
          <w:vertAlign w:val="superscript"/>
        </w:rPr>
      </w:pPr>
      <w:r>
        <w:rPr>
          <w:rFonts w:ascii="Arial" w:cs="Arial" w:eastAsia="Arial" w:hAnsi="Arial"/>
          <w:sz w:val="8"/>
          <w:szCs w:val="8"/>
          <w:color w:val="auto"/>
        </w:rPr>
        <w:t>Noninterest expense includes $27.0 million and $36.1 million in data processing expenses in OpenSky’s</w:t>
      </w:r>
      <w:r>
        <w:rPr>
          <w:rFonts w:ascii="Arial" w:cs="Arial" w:eastAsia="Arial" w:hAnsi="Arial"/>
          <w:sz w:val="11"/>
          <w:szCs w:val="11"/>
          <w:color w:val="auto"/>
          <w:vertAlign w:val="superscript"/>
        </w:rPr>
        <w:t>®</w:t>
      </w:r>
      <w:r>
        <w:rPr>
          <w:rFonts w:ascii="Arial" w:cs="Arial" w:eastAsia="Arial" w:hAnsi="Arial"/>
          <w:sz w:val="8"/>
          <w:szCs w:val="8"/>
          <w:color w:val="auto"/>
        </w:rPr>
        <w:t xml:space="preserve"> segment for the years ended December 31, 2022 and 2021, respectively.</w:t>
      </w:r>
    </w:p>
    <w:p>
      <w:pPr>
        <w:spacing w:after="0" w:line="143" w:lineRule="exact"/>
        <w:rPr>
          <w:rFonts w:ascii="Arial" w:cs="Arial" w:eastAsia="Arial" w:hAnsi="Arial"/>
          <w:sz w:val="11"/>
          <w:szCs w:val="11"/>
          <w:color w:val="auto"/>
          <w:vertAlign w:val="superscript"/>
        </w:rPr>
      </w:pPr>
    </w:p>
    <w:p>
      <w:pPr>
        <w:ind w:left="260" w:hanging="255"/>
        <w:spacing w:after="0"/>
        <w:tabs>
          <w:tab w:leader="none" w:pos="260" w:val="left"/>
        </w:tabs>
        <w:numPr>
          <w:ilvl w:val="0"/>
          <w:numId w:val="20"/>
        </w:numPr>
        <w:rPr>
          <w:rFonts w:ascii="Arial" w:cs="Arial" w:eastAsia="Arial" w:hAnsi="Arial"/>
          <w:sz w:val="8"/>
          <w:szCs w:val="8"/>
          <w:color w:val="auto"/>
        </w:rPr>
      </w:pPr>
      <w:r>
        <w:rPr>
          <w:rFonts w:ascii="Arial" w:cs="Arial" w:eastAsia="Arial" w:hAnsi="Arial"/>
          <w:sz w:val="8"/>
          <w:szCs w:val="8"/>
          <w:color w:val="auto"/>
        </w:rPr>
        <w:t>The Corporate segment invests idle cash in revenue producing assets including interest-bearing cash accounts, loan participations and other appropriate investments for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19 - Litigation</w:t>
      </w:r>
    </w:p>
    <w:p>
      <w:pPr>
        <w:spacing w:after="0" w:line="197"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The Company is involved in legal proceedings occurring in the ordinary course of business. The aggregate effect of these, in management’s opinion, would not be material to the results of operations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3" w:name="page104"/>
    <w:bookmarkEnd w:id="103"/>
    <w:p>
      <w:pPr>
        <w:ind w:left="2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1743075</wp:posOffset>
            </wp:positionH>
            <wp:positionV relativeFrom="page">
              <wp:posOffset>102235</wp:posOffset>
            </wp:positionV>
            <wp:extent cx="4224020" cy="13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24020" cy="13335"/>
                    </a:xfrm>
                    <a:prstGeom prst="rect">
                      <a:avLst/>
                    </a:prstGeom>
                    <a:noFill/>
                  </pic:spPr>
                </pic:pic>
              </a:graphicData>
            </a:graphic>
          </wp:anchor>
        </w:drawing>
        <w:t>Capital Bancorp, Inc. and Subsidiaries</w:t>
      </w:r>
    </w:p>
    <w:p>
      <w:pPr>
        <w:ind w:left="2460"/>
        <w:spacing w:after="0" w:line="212" w:lineRule="auto"/>
        <w:rPr>
          <w:sz w:val="20"/>
          <w:szCs w:val="20"/>
          <w:color w:val="auto"/>
        </w:rPr>
      </w:pPr>
      <w:r>
        <w:rPr>
          <w:rFonts w:ascii="Arial" w:cs="Arial" w:eastAsia="Arial" w:hAnsi="Arial"/>
          <w:sz w:val="14"/>
          <w:szCs w:val="14"/>
          <w:b w:val="1"/>
          <w:bCs w:val="1"/>
          <w:i w:val="1"/>
          <w:iCs w:val="1"/>
          <w:color w:val="auto"/>
        </w:rPr>
        <w:t>Notes to Consolidated Financial Statements</w:t>
      </w:r>
    </w:p>
    <w:p>
      <w:pPr>
        <w:ind w:left="2460"/>
        <w:spacing w:after="0"/>
        <w:rPr>
          <w:sz w:val="20"/>
          <w:szCs w:val="20"/>
          <w:color w:val="auto"/>
        </w:rPr>
      </w:pPr>
      <w:r>
        <w:rPr>
          <w:rFonts w:ascii="Arial" w:cs="Arial" w:eastAsia="Arial" w:hAnsi="Arial"/>
          <w:sz w:val="11"/>
          <w:szCs w:val="11"/>
          <w:b w:val="1"/>
          <w:bCs w:val="1"/>
          <w:i w:val="1"/>
          <w:iCs w:val="1"/>
          <w:color w:val="auto"/>
        </w:rPr>
        <w:t>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11430</wp:posOffset>
            </wp:positionV>
            <wp:extent cx="4224020" cy="133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2402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 Subsequent Events</w:t>
      </w:r>
    </w:p>
    <w:p>
      <w:pPr>
        <w:spacing w:after="0" w:line="19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The Company has disclosed information about deposit concentrations in Note 9. In relation to the current economic conditions, management has monitored deposit concentrations through the date the financial statements were issued, noting no significant changes to concentrations. In addition, there has been no significant changes in the characteristics of the deposit book through the date the financial statements were issued.</w:t>
      </w:r>
    </w:p>
    <w:p>
      <w:pPr>
        <w:spacing w:after="0" w:line="15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The company has disclosed its investment portfolio position in Note 3. There has been no significant changes in the composition of the investment portfolio through the date the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6" w:right="319" w:bottom="1440" w:gutter="0" w:footer="0" w:header="0"/>
        </w:sectPr>
      </w:pPr>
    </w:p>
    <w:bookmarkStart w:id="104" w:name="page105"/>
    <w:bookmarkEnd w:id="104"/>
    <w:p>
      <w:pPr>
        <w:ind w:left="260"/>
        <w:spacing w:after="0"/>
        <w:rPr>
          <w:sz w:val="20"/>
          <w:szCs w:val="20"/>
          <w:color w:val="auto"/>
        </w:rPr>
      </w:pPr>
      <w:r>
        <w:rPr>
          <w:rFonts w:ascii="Arial" w:cs="Arial" w:eastAsia="Arial" w:hAnsi="Arial"/>
          <w:sz w:val="14"/>
          <w:szCs w:val="14"/>
          <w:b w:val="1"/>
          <w:bCs w:val="1"/>
          <w:u w:val="single" w:color="auto"/>
          <w:color w:val="auto"/>
        </w:rPr>
        <w:t>ITEM 9. CHANGES IN AND DISAGREEMENTS WITH ACCOUNTANTS ON ACCOUNTING AND FINANCIAL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b w:val="1"/>
          <w:bCs w:val="1"/>
          <w:u w:val="single" w:color="auto"/>
          <w:color w:val="auto"/>
        </w:rPr>
        <w:t>ITEM 9A. 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Evaluation of Disclosure Controls and Procedures</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Company’s management, including our Principal Executive Officer and Principal Financial Officer, have evaluated the effectiveness of our disclosure controls and procedures (as defined in Rules 13a-15(e) and 15d-15(e)) under the Exchange Act as of the end of the period covered by this report. Based upon that evaluation, our Principal Executive Officer and Principal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Principal Executive Officer and Principal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Report by Management on Internal Control over Financial Reporting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Management is responsible for establishing and maintaining an effective system of internal control over financial reporting (as such term is defined in Rules 13A-15(f) and 15d-15(f) under the Exchange Act).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 There are inherent limitations in the effectiveness of any system of internal control over financial reporting, including the possibility of human error and circumvention or overriding of controls. Accordingly, even an effective system of internal control over financial reporting can provide only reasonable assurance with respect to financial statement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Management has assessed the Company’s internal control over financial reporting as of December 31, 2022. This assessment was based on criteria for effective internal control over financial reporting described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Based on this assessment, management believes that, as of December 31, 2022, the Company maintained effective internal control over financial reporting based on those criteria.</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Elliott Davis, PLLC, the independent registered public accounting firm, audited the consolidated financial statements of the Company included in this Annual Report on Form 10-K. Their report is included in Part II, Item 8. Financial Statements and Supplementary Data under the heading “Report of Independent Registered Public Accounting Firm.” The Annual Report on Form 10-K does not include an attestation report on the Company’s internal control over financial reporting from the Company’s independent registered public accounting firm due to the transition period established by the SEC for an Emerging Growth Company.</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There has been no change in the Company’s internal control over financial reporting (as such term is defined in Rule 13a-15(f) under the Exchange Act) during the fourth quarter of 2022 to which this report relates that has materially affected, or is reasonably likely to materially affect, the Company’s internal control over financial reporting. During March 2023, management designed additional internal controls around the review of the allowance for loan loss, created an Allowance for Loan Loss governance committee, and moved Loan Review under the management of the Bank’s Chief Risk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105" w:name="page106"/>
    <w:bookmarkEnd w:id="105"/>
    <w:p>
      <w:pPr>
        <w:spacing w:after="0" w:line="230" w:lineRule="exact"/>
        <w:rPr>
          <w:sz w:val="20"/>
          <w:szCs w:val="20"/>
          <w:color w:val="auto"/>
        </w:rPr>
      </w:pPr>
    </w:p>
    <w:p>
      <w:pPr>
        <w:ind w:left="260"/>
        <w:spacing w:after="0"/>
        <w:rPr>
          <w:sz w:val="20"/>
          <w:szCs w:val="20"/>
          <w:color w:val="auto"/>
        </w:rPr>
      </w:pPr>
      <w:r>
        <w:rPr>
          <w:rFonts w:ascii="Arial" w:cs="Arial" w:eastAsia="Arial" w:hAnsi="Arial"/>
          <w:sz w:val="14"/>
          <w:szCs w:val="14"/>
          <w:b w:val="1"/>
          <w:bCs w:val="1"/>
          <w:u w:val="single" w:color="auto"/>
          <w:color w:val="auto"/>
        </w:rPr>
        <w:t>ITEM 9B. OTHER INFORMATION</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b w:val="1"/>
          <w:bCs w:val="1"/>
          <w:u w:val="single" w:color="auto"/>
          <w:color w:val="auto"/>
        </w:rPr>
        <w:t>ITEM 9C. DISCLOSURE REGARDING FOREIGN JURISDICTIONS THAT PREVENT INSPECTIONS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61"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III</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u w:val="single" w:color="auto"/>
          <w:color w:val="auto"/>
        </w:rPr>
        <w:t>ITEM 10. DIRECTORS, EXECUTIVE OFFICERS AND CORPORATE GOVERNANCE</w:t>
      </w:r>
    </w:p>
    <w:p>
      <w:pPr>
        <w:spacing w:after="0" w:line="19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The information required by this Item with respect to our directors and certain corporate governance practices is contained in our Proxy Statement for our 2023 Annual Meeting of Shareholders (the “Proxy Statement”) to be filed with the SEC within 120 days after the end of the Company’s fiscal year ended December 31, 2022. Such information is incorporated herein by reference.</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ITEM 11. EXECUTIVE COMPENSATION</w:t>
      </w:r>
    </w:p>
    <w:p>
      <w:pPr>
        <w:spacing w:after="0" w:line="197"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The information required by this Item is incorporated herein by reference to our Proxy Statement to be filed with the SEC within 120 days after the end of the Company’s fiscal year ended December 31, 2022.</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u w:val="single" w:color="auto"/>
          <w:color w:val="auto"/>
        </w:rPr>
        <w:t>ITEM 12. SECURITY OWNERSHIP OF CERTAIN BENEFICIAL OWNERS AND MANAGEMENT AND RELATED STOCKHOLDER MATTERS</w:t>
      </w:r>
    </w:p>
    <w:p>
      <w:pPr>
        <w:spacing w:after="0" w:line="197"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The information required by this Item regarding security ownership of certain beneficial owners and management is incorporated by reference to our Proxy Statement to be filed with the SEC within 120 days after the end of the Company’s fiscal year ended December 31, 2022.</w:t>
      </w:r>
    </w:p>
    <w:p>
      <w:pPr>
        <w:spacing w:after="0" w:line="152"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Information relating to securities authorized for issuance under the Company’s equity compensation plans is included in Part II of this Annual Report on Form 10-K under “Item 5. Market for Registrant’s Common Equity, Related Shareholder Matters and Issuer Purchases of Equity Securities.”</w:t>
      </w:r>
    </w:p>
    <w:p>
      <w:pPr>
        <w:spacing w:after="0" w:line="325" w:lineRule="exact"/>
        <w:rPr>
          <w:sz w:val="20"/>
          <w:szCs w:val="20"/>
          <w:color w:val="auto"/>
        </w:rPr>
      </w:pPr>
    </w:p>
    <w:p>
      <w:pPr>
        <w:ind w:left="260"/>
        <w:spacing w:after="0"/>
        <w:rPr>
          <w:sz w:val="20"/>
          <w:szCs w:val="20"/>
          <w:color w:val="auto"/>
        </w:rPr>
      </w:pPr>
      <w:r>
        <w:rPr>
          <w:rFonts w:ascii="Arial" w:cs="Arial" w:eastAsia="Arial" w:hAnsi="Arial"/>
          <w:sz w:val="14"/>
          <w:szCs w:val="14"/>
          <w:b w:val="1"/>
          <w:bCs w:val="1"/>
          <w:u w:val="single" w:color="auto"/>
          <w:color w:val="auto"/>
        </w:rPr>
        <w:t>ITEM 13. CERTAIN RELATIONSHIPS AND RELATED TRANSACTIONS, AND DIRECTOR INDEPENDENCE</w:t>
      </w:r>
    </w:p>
    <w:p>
      <w:pPr>
        <w:spacing w:after="0" w:line="197"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The information required by this Item is incorporated herein by reference to our Proxy Statement to be filed with the SEC within 120 days after the end of the Company’s fiscal year ended December 31, 2022.</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u w:val="single" w:color="auto"/>
          <w:color w:val="auto"/>
        </w:rPr>
        <w:t>ITEM 14. PRINCIPAL ACCOUNTANT FEES AND SERVICES</w:t>
      </w:r>
    </w:p>
    <w:p>
      <w:pPr>
        <w:spacing w:after="0" w:line="197"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The information required by this Item is incorporated herein by reference to our Proxy Statement to be filed with the SEC within 120 days after the end of the Company’s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784860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06" w:name="page107"/>
    <w:bookmarkEnd w:id="106"/>
    <w:p>
      <w:pPr>
        <w:ind w:left="5380"/>
        <w:spacing w:after="0"/>
        <w:rPr>
          <w:sz w:val="20"/>
          <w:szCs w:val="20"/>
          <w:color w:val="auto"/>
        </w:rPr>
      </w:pPr>
      <w:r>
        <w:rPr>
          <w:rFonts w:ascii="Arial" w:cs="Arial" w:eastAsia="Arial" w:hAnsi="Arial"/>
          <w:sz w:val="14"/>
          <w:szCs w:val="14"/>
          <w:b w:val="1"/>
          <w:bCs w:val="1"/>
          <w:color w:val="auto"/>
        </w:rPr>
        <w:t>PART IV</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(a)(1), (2) and (c) The following financial statements are incorporated by reference from Item 8 hereof:</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Report of Independent Registered Public Accounting Firm. PCAOB ID (149)</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Consolidated Balance Sheets as of December 31, 2022 and 2021.</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Consolidated Statements of Income for the Years Ended December 31, 2022 and 2021.</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Consolidated Statements of Comprehensive Income for the Years Ended December 31, 2022 and 2021.</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Consolidated Statements of Changes in Stockholders’ Equity for the Years Ended December 31, 2022 and 2021.</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Consolidated Statements of Cash Flows for the Years Ended December 31, 2022 and 2021.</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Notes to Consolidated Financial Statements.</w:t>
      </w:r>
    </w:p>
    <w:p>
      <w:pPr>
        <w:spacing w:after="0" w:line="179" w:lineRule="exact"/>
        <w:rPr>
          <w:sz w:val="20"/>
          <w:szCs w:val="20"/>
          <w:color w:val="auto"/>
        </w:rPr>
      </w:pPr>
    </w:p>
    <w:p>
      <w:pPr>
        <w:ind w:left="520"/>
        <w:spacing w:after="0"/>
        <w:tabs>
          <w:tab w:leader="none" w:pos="1480" w:val="left"/>
        </w:tabs>
        <w:rPr>
          <w:sz w:val="20"/>
          <w:szCs w:val="20"/>
          <w:color w:val="auto"/>
        </w:rPr>
      </w:pPr>
      <w:r>
        <w:rPr>
          <w:rFonts w:ascii="Arial" w:cs="Arial" w:eastAsia="Arial" w:hAnsi="Arial"/>
          <w:sz w:val="14"/>
          <w:szCs w:val="14"/>
          <w:color w:val="auto"/>
        </w:rPr>
        <w:t>(a)(3) and (b)</w:t>
        <w:tab/>
        <w:t>Exhibits required to be filed by Item 601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1030605</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09" w:right="1440"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color w:val="auto"/>
        </w:rPr>
        <w:t>INDEX TO EXHIBITS</w:t>
      </w:r>
    </w:p>
    <w:p>
      <w:pPr>
        <w:spacing w:after="0" w:line="219" w:lineRule="exact"/>
        <w:rPr>
          <w:sz w:val="20"/>
          <w:szCs w:val="20"/>
          <w:color w:val="auto"/>
        </w:rPr>
      </w:pPr>
    </w:p>
    <w:p>
      <w:pPr>
        <w:ind w:left="60"/>
        <w:spacing w:after="0"/>
        <w:tabs>
          <w:tab w:leader="none" w:pos="5820" w:val="left"/>
        </w:tabs>
        <w:rPr>
          <w:sz w:val="20"/>
          <w:szCs w:val="20"/>
          <w:color w:val="auto"/>
        </w:rPr>
      </w:pPr>
      <w:r>
        <w:rPr>
          <w:rFonts w:ascii="Arial" w:cs="Arial" w:eastAsia="Arial" w:hAnsi="Arial"/>
          <w:sz w:val="11"/>
          <w:szCs w:val="11"/>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04850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48500" cy="6985"/>
                    </a:xfrm>
                    <a:prstGeom prst="rect">
                      <a:avLst/>
                    </a:prstGeom>
                    <a:noFill/>
                  </pic:spPr>
                </pic:pic>
              </a:graphicData>
            </a:graphic>
          </wp:anchor>
        </w:drawing>
      </w:r>
    </w:p>
    <w:p>
      <w:pPr>
        <w:spacing w:after="0" w:line="37" w:lineRule="exact"/>
        <w:rPr>
          <w:sz w:val="20"/>
          <w:szCs w:val="20"/>
          <w:color w:val="auto"/>
        </w:rPr>
      </w:pPr>
    </w:p>
    <w:p>
      <w:pPr>
        <w:ind w:left="740"/>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3.1</w:t>
      </w:r>
      <w:r>
        <w:rPr>
          <w:sz w:val="20"/>
          <w:szCs w:val="20"/>
          <w:color w:val="auto"/>
        </w:rPr>
        <w:tab/>
      </w:r>
      <w:hyperlink r:id="rId215">
        <w:r>
          <w:rPr>
            <w:rFonts w:ascii="Arial" w:cs="Arial" w:eastAsia="Arial" w:hAnsi="Arial"/>
            <w:sz w:val="11"/>
            <w:szCs w:val="11"/>
            <w:u w:val="single" w:color="auto"/>
            <w:color w:val="0000FF"/>
          </w:rPr>
          <w:t>Amended and Restated Articles of Incorporation (incorporated by reference to Exhibit 3.1 to the Company’s Form S-1 filed on August 31, 2018)</w:t>
        </w:r>
      </w:hyperlink>
    </w:p>
    <w:p>
      <w:pPr>
        <w:spacing w:after="0" w:line="33" w:lineRule="exact"/>
        <w:rPr>
          <w:sz w:val="20"/>
          <w:szCs w:val="20"/>
          <w:color w:val="auto"/>
        </w:rPr>
      </w:pPr>
    </w:p>
    <w:p>
      <w:pPr>
        <w:ind w:left="740"/>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3.2</w:t>
      </w:r>
      <w:r>
        <w:rPr>
          <w:sz w:val="20"/>
          <w:szCs w:val="20"/>
          <w:color w:val="auto"/>
        </w:rPr>
        <w:tab/>
      </w:r>
      <w:hyperlink r:id="rId216">
        <w:r>
          <w:rPr>
            <w:rFonts w:ascii="Arial" w:cs="Arial" w:eastAsia="Arial" w:hAnsi="Arial"/>
            <w:sz w:val="11"/>
            <w:szCs w:val="11"/>
            <w:u w:val="single" w:color="auto"/>
            <w:color w:val="0000FF"/>
          </w:rPr>
          <w:t>Amended and Restated Bylaws (incorporated by reference to Exhibit 3.2 to the Company’s Form S-1 filed on August 31, 2018)</w:t>
        </w:r>
      </w:hyperlink>
    </w:p>
    <w:p>
      <w:pPr>
        <w:spacing w:after="0" w:line="33" w:lineRule="exact"/>
        <w:rPr>
          <w:sz w:val="20"/>
          <w:szCs w:val="20"/>
          <w:color w:val="auto"/>
        </w:rPr>
      </w:pPr>
    </w:p>
    <w:p>
      <w:pPr>
        <w:ind w:left="740"/>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4.1</w:t>
      </w:r>
      <w:r>
        <w:rPr>
          <w:sz w:val="20"/>
          <w:szCs w:val="20"/>
          <w:color w:val="auto"/>
        </w:rPr>
        <w:tab/>
      </w:r>
      <w:hyperlink r:id="rId217">
        <w:r>
          <w:rPr>
            <w:rFonts w:ascii="Arial" w:cs="Arial" w:eastAsia="Arial" w:hAnsi="Arial"/>
            <w:sz w:val="11"/>
            <w:szCs w:val="11"/>
            <w:u w:val="single" w:color="auto"/>
            <w:color w:val="0000FF"/>
          </w:rPr>
          <w:t>Specimen Common Stock Certificate (incorporated by reference to Exhibit 4.1 to the Company’s Form S-1/A filed on September 17, 2018)</w:t>
        </w:r>
      </w:hyperlink>
    </w:p>
    <w:p>
      <w:pPr>
        <w:spacing w:after="0" w:line="33" w:lineRule="exact"/>
        <w:rPr>
          <w:sz w:val="20"/>
          <w:szCs w:val="20"/>
          <w:color w:val="auto"/>
        </w:rPr>
      </w:pPr>
    </w:p>
    <w:p>
      <w:pPr>
        <w:ind w:left="740"/>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4.2</w:t>
      </w:r>
      <w:r>
        <w:rPr>
          <w:sz w:val="20"/>
          <w:szCs w:val="20"/>
          <w:color w:val="auto"/>
        </w:rPr>
        <w:tab/>
      </w:r>
      <w:hyperlink r:id="rId218">
        <w:r>
          <w:rPr>
            <w:rFonts w:ascii="Arial" w:cs="Arial" w:eastAsia="Arial" w:hAnsi="Arial"/>
            <w:sz w:val="11"/>
            <w:szCs w:val="11"/>
            <w:u w:val="single" w:color="auto"/>
            <w:color w:val="0000FF"/>
          </w:rPr>
          <w:t>Description of Registrant’s Securities (incorporated by reference to Exhibit 4.2 to the Company’s Form 10-K filed March 16, 2020).</w:t>
        </w:r>
      </w:hyperlink>
    </w:p>
    <w:p>
      <w:pPr>
        <w:spacing w:after="0" w:line="33" w:lineRule="exact"/>
        <w:rPr>
          <w:sz w:val="20"/>
          <w:szCs w:val="20"/>
          <w:color w:val="auto"/>
        </w:rPr>
      </w:pPr>
    </w:p>
    <w:p>
      <w:pPr>
        <w:ind w:left="740"/>
        <w:spacing w:after="0"/>
        <w:tabs>
          <w:tab w:leader="none" w:pos="1180" w:val="left"/>
        </w:tabs>
        <w:rPr>
          <w:sz w:val="20"/>
          <w:szCs w:val="20"/>
          <w:color w:val="auto"/>
        </w:rPr>
      </w:pPr>
      <w:r>
        <w:rPr>
          <w:rFonts w:ascii="Arial" w:cs="Arial" w:eastAsia="Arial" w:hAnsi="Arial"/>
          <w:sz w:val="11"/>
          <w:szCs w:val="11"/>
          <w:color w:val="auto"/>
        </w:rPr>
        <w:t>4.3</w:t>
      </w:r>
      <w:r>
        <w:rPr>
          <w:sz w:val="20"/>
          <w:szCs w:val="20"/>
          <w:color w:val="auto"/>
        </w:rPr>
        <w:tab/>
      </w:r>
      <w:r>
        <w:rPr>
          <w:rFonts w:ascii="Arial" w:cs="Arial" w:eastAsia="Arial" w:hAnsi="Arial"/>
          <w:sz w:val="11"/>
          <w:szCs w:val="11"/>
          <w:color w:val="auto"/>
        </w:rPr>
        <w:t>Long-term borrowing instruments are omitted pursuant to Item 601(b)(4)(iii) of Regulation S-K. The Company undertakes to furnish copies of such instruments to the SEC upon request.</w:t>
      </w:r>
    </w:p>
    <w:p>
      <w:pPr>
        <w:spacing w:after="0" w:line="33" w:lineRule="exact"/>
        <w:rPr>
          <w:sz w:val="20"/>
          <w:szCs w:val="20"/>
          <w:color w:val="auto"/>
        </w:rPr>
      </w:pPr>
    </w:p>
    <w:p>
      <w:pPr>
        <w:ind w:left="680"/>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10.1</w:t>
      </w:r>
      <w:r>
        <w:rPr>
          <w:sz w:val="20"/>
          <w:szCs w:val="20"/>
          <w:color w:val="auto"/>
        </w:rPr>
        <w:tab/>
      </w:r>
      <w:hyperlink r:id="rId219">
        <w:r>
          <w:rPr>
            <w:rFonts w:ascii="Arial" w:cs="Arial" w:eastAsia="Arial" w:hAnsi="Arial"/>
            <w:sz w:val="11"/>
            <w:szCs w:val="11"/>
            <w:u w:val="single" w:color="auto"/>
            <w:color w:val="0000FF"/>
          </w:rPr>
          <w:t>Capital Bancorp, Inc. 2017 Stock and Incentive Compensation Plan (incorporated by reference to Exhibit 10.1 to the Company’s Form S-1 filed on August 31, 2018)</w:t>
        </w:r>
      </w:hyperlink>
    </w:p>
    <w:p>
      <w:pPr>
        <w:spacing w:after="0" w:line="33" w:lineRule="exact"/>
        <w:rPr>
          <w:sz w:val="20"/>
          <w:szCs w:val="20"/>
          <w:color w:val="auto"/>
        </w:rPr>
      </w:pPr>
    </w:p>
    <w:p>
      <w:pPr>
        <w:ind w:left="1200" w:right="180" w:hanging="519"/>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10.2</w:t>
      </w:r>
      <w:r>
        <w:rPr>
          <w:sz w:val="20"/>
          <w:szCs w:val="20"/>
          <w:color w:val="auto"/>
        </w:rPr>
        <w:tab/>
      </w:r>
      <w:hyperlink r:id="rId220">
        <w:r>
          <w:rPr>
            <w:rFonts w:ascii="Arial" w:cs="Arial" w:eastAsia="Arial" w:hAnsi="Arial"/>
            <w:sz w:val="11"/>
            <w:szCs w:val="11"/>
            <w:u w:val="single" w:color="auto"/>
            <w:color w:val="0000FF"/>
          </w:rPr>
          <w:t>Form of Restricted Stock Award Agreement under the Capital Bancorp, Inc. 2017 Stock and Incentive Compensation Plan (incorporated by reference to Exhibit 10.2 to the Company’s Form S-1/A</w:t>
        </w:r>
      </w:hyperlink>
      <w:r>
        <w:rPr>
          <w:rFonts w:ascii="Arial" w:cs="Arial" w:eastAsia="Arial" w:hAnsi="Arial"/>
          <w:sz w:val="11"/>
          <w:szCs w:val="11"/>
          <w:u w:val="single" w:color="auto"/>
          <w:color w:val="0000FF"/>
        </w:rPr>
        <w:t xml:space="preserve"> </w:t>
      </w:r>
      <w:hyperlink r:id="rId220">
        <w:r>
          <w:rPr>
            <w:rFonts w:ascii="Arial" w:cs="Arial" w:eastAsia="Arial" w:hAnsi="Arial"/>
            <w:sz w:val="11"/>
            <w:szCs w:val="11"/>
            <w:u w:val="single" w:color="auto"/>
            <w:color w:val="0000FF"/>
          </w:rPr>
          <w:t>filed on September 17, 2018)</w:t>
        </w:r>
      </w:hyperlink>
    </w:p>
    <w:p>
      <w:pPr>
        <w:spacing w:after="0" w:line="12" w:lineRule="exact"/>
        <w:rPr>
          <w:sz w:val="20"/>
          <w:szCs w:val="20"/>
          <w:color w:val="auto"/>
        </w:rPr>
      </w:pPr>
    </w:p>
    <w:p>
      <w:pPr>
        <w:ind w:left="1200" w:right="120" w:hanging="519"/>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10.3</w:t>
      </w:r>
      <w:r>
        <w:rPr>
          <w:sz w:val="20"/>
          <w:szCs w:val="20"/>
          <w:color w:val="auto"/>
        </w:rPr>
        <w:tab/>
      </w:r>
      <w:hyperlink r:id="rId221">
        <w:r>
          <w:rPr>
            <w:rFonts w:ascii="Arial" w:cs="Arial" w:eastAsia="Arial" w:hAnsi="Arial"/>
            <w:sz w:val="11"/>
            <w:szCs w:val="11"/>
            <w:u w:val="single" w:color="auto"/>
            <w:color w:val="0000FF"/>
          </w:rPr>
          <w:t>Form of Restricted Stock Unit Award Agreement under the Capital Bancorp, Inc. 2017 Stock and Incentive Compensation Plan (incorporated by reference to Exhibit 10.3 to the Company’s Form S-</w:t>
        </w:r>
      </w:hyperlink>
      <w:hyperlink r:id="rId221">
        <w:r>
          <w:rPr>
            <w:rFonts w:ascii="Arial" w:cs="Arial" w:eastAsia="Arial" w:hAnsi="Arial"/>
            <w:sz w:val="11"/>
            <w:szCs w:val="11"/>
            <w:u w:val="single" w:color="auto"/>
            <w:color w:val="0000FF"/>
          </w:rPr>
          <w:t>1/A filed on September 17, 2018)</w:t>
        </w:r>
      </w:hyperlink>
    </w:p>
    <w:p>
      <w:pPr>
        <w:spacing w:after="0" w:line="12" w:lineRule="exact"/>
        <w:rPr>
          <w:sz w:val="20"/>
          <w:szCs w:val="20"/>
          <w:color w:val="auto"/>
        </w:rPr>
      </w:pPr>
    </w:p>
    <w:p>
      <w:pPr>
        <w:ind w:left="1200" w:right="40" w:hanging="519"/>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10.4</w:t>
      </w:r>
      <w:r>
        <w:rPr>
          <w:sz w:val="20"/>
          <w:szCs w:val="20"/>
          <w:color w:val="auto"/>
        </w:rPr>
        <w:tab/>
      </w:r>
      <w:hyperlink r:id="rId222">
        <w:r>
          <w:rPr>
            <w:rFonts w:ascii="Arial" w:cs="Arial" w:eastAsia="Arial" w:hAnsi="Arial"/>
            <w:sz w:val="11"/>
            <w:szCs w:val="11"/>
            <w:u w:val="single" w:color="auto"/>
            <w:color w:val="0000FF"/>
          </w:rPr>
          <w:t>Form of Incentive Stock Option Award Agreement under the Capital Bancorp, Inc. 2017 Stock and Incentive Compensation Plan (incorporated by reference to Exhibit 10.4 to the Company’s Form S-</w:t>
        </w:r>
      </w:hyperlink>
      <w:hyperlink r:id="rId222">
        <w:r>
          <w:rPr>
            <w:rFonts w:ascii="Arial" w:cs="Arial" w:eastAsia="Arial" w:hAnsi="Arial"/>
            <w:sz w:val="11"/>
            <w:szCs w:val="11"/>
            <w:u w:val="single" w:color="auto"/>
            <w:color w:val="0000FF"/>
          </w:rPr>
          <w:t>1/A filed on September 17, 2018)</w:t>
        </w:r>
      </w:hyperlink>
    </w:p>
    <w:p>
      <w:pPr>
        <w:spacing w:after="0" w:line="12" w:lineRule="exact"/>
        <w:rPr>
          <w:sz w:val="20"/>
          <w:szCs w:val="20"/>
          <w:color w:val="auto"/>
        </w:rPr>
      </w:pPr>
    </w:p>
    <w:p>
      <w:pPr>
        <w:ind w:left="1200" w:right="240" w:hanging="519"/>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10.5</w:t>
      </w:r>
      <w:r>
        <w:rPr>
          <w:sz w:val="20"/>
          <w:szCs w:val="20"/>
          <w:color w:val="auto"/>
        </w:rPr>
        <w:tab/>
      </w:r>
      <w:hyperlink r:id="rId223">
        <w:r>
          <w:rPr>
            <w:rFonts w:ascii="Arial" w:cs="Arial" w:eastAsia="Arial" w:hAnsi="Arial"/>
            <w:sz w:val="11"/>
            <w:szCs w:val="11"/>
            <w:u w:val="single" w:color="auto"/>
            <w:color w:val="0000FF"/>
          </w:rPr>
          <w:t>Form of Non-Qualified Stock Option Award Agreement under the Capital Bancorp, Inc. 2017 Stock and Incentive Compensation Plan (incorporated by reference to Exhibit 10.5 to the Company’s</w:t>
        </w:r>
      </w:hyperlink>
      <w:r>
        <w:rPr>
          <w:rFonts w:ascii="Arial" w:cs="Arial" w:eastAsia="Arial" w:hAnsi="Arial"/>
          <w:sz w:val="11"/>
          <w:szCs w:val="11"/>
          <w:u w:val="single" w:color="auto"/>
          <w:color w:val="0000FF"/>
        </w:rPr>
        <w:t xml:space="preserve"> </w:t>
      </w:r>
      <w:hyperlink r:id="rId223">
        <w:r>
          <w:rPr>
            <w:rFonts w:ascii="Arial" w:cs="Arial" w:eastAsia="Arial" w:hAnsi="Arial"/>
            <w:sz w:val="11"/>
            <w:szCs w:val="11"/>
            <w:u w:val="single" w:color="auto"/>
            <w:color w:val="0000FF"/>
          </w:rPr>
          <w:t>Form S-1/A filed on September 17, 2018)</w:t>
        </w:r>
      </w:hyperlink>
    </w:p>
    <w:p>
      <w:pPr>
        <w:spacing w:after="0" w:line="12" w:lineRule="exact"/>
        <w:rPr>
          <w:sz w:val="20"/>
          <w:szCs w:val="20"/>
          <w:color w:val="auto"/>
        </w:rPr>
      </w:pPr>
    </w:p>
    <w:p>
      <w:pPr>
        <w:ind w:left="1200" w:right="80" w:hanging="519"/>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10.6</w:t>
      </w:r>
      <w:r>
        <w:rPr>
          <w:sz w:val="20"/>
          <w:szCs w:val="20"/>
          <w:color w:val="auto"/>
        </w:rPr>
        <w:tab/>
      </w:r>
      <w:hyperlink r:id="rId224">
        <w:r>
          <w:rPr>
            <w:rFonts w:ascii="Arial" w:cs="Arial" w:eastAsia="Arial" w:hAnsi="Arial"/>
            <w:sz w:val="11"/>
            <w:szCs w:val="11"/>
            <w:u w:val="single" w:color="auto"/>
            <w:color w:val="0000FF"/>
          </w:rPr>
          <w:t>Form of Stock Appreciation Right Award Agreement under the Capital Bancorp, Inc. 2017 Stock and Incentive Compensation Plan (incorporated by reference to Exhibit 10.6 to the Company’s Form</w:t>
        </w:r>
      </w:hyperlink>
      <w:r>
        <w:rPr>
          <w:rFonts w:ascii="Arial" w:cs="Arial" w:eastAsia="Arial" w:hAnsi="Arial"/>
          <w:sz w:val="11"/>
          <w:szCs w:val="11"/>
          <w:u w:val="single" w:color="auto"/>
          <w:color w:val="0000FF"/>
        </w:rPr>
        <w:t xml:space="preserve"> </w:t>
      </w:r>
      <w:hyperlink r:id="rId224">
        <w:r>
          <w:rPr>
            <w:rFonts w:ascii="Arial" w:cs="Arial" w:eastAsia="Arial" w:hAnsi="Arial"/>
            <w:sz w:val="11"/>
            <w:szCs w:val="11"/>
            <w:u w:val="single" w:color="auto"/>
            <w:color w:val="0000FF"/>
          </w:rPr>
          <w:t>S-1/A filed on September 17, 2018)</w:t>
        </w:r>
      </w:hyperlink>
    </w:p>
    <w:p>
      <w:pPr>
        <w:spacing w:after="0" w:line="12" w:lineRule="exact"/>
        <w:rPr>
          <w:sz w:val="20"/>
          <w:szCs w:val="20"/>
          <w:color w:val="auto"/>
        </w:rPr>
      </w:pPr>
    </w:p>
    <w:p>
      <w:pPr>
        <w:ind w:left="680"/>
        <w:spacing w:after="0"/>
        <w:tabs>
          <w:tab w:leader="none" w:pos="1180" w:val="left"/>
        </w:tabs>
        <w:rPr>
          <w:sz w:val="20"/>
          <w:szCs w:val="20"/>
          <w:color w:val="auto"/>
        </w:rPr>
      </w:pPr>
      <w:r>
        <w:rPr>
          <w:rFonts w:ascii="Arial" w:cs="Arial" w:eastAsia="Arial" w:hAnsi="Arial"/>
          <w:sz w:val="11"/>
          <w:szCs w:val="11"/>
          <w:color w:val="auto"/>
        </w:rPr>
        <w:t>10.7</w:t>
      </w:r>
      <w:r>
        <w:rPr>
          <w:sz w:val="20"/>
          <w:szCs w:val="20"/>
          <w:color w:val="auto"/>
        </w:rPr>
        <w:tab/>
      </w:r>
      <w:r>
        <w:rPr>
          <w:rFonts w:ascii="Arial" w:cs="Arial" w:eastAsia="Arial" w:hAnsi="Arial"/>
          <w:sz w:val="11"/>
          <w:szCs w:val="11"/>
          <w:u w:val="single" w:color="auto"/>
          <w:color w:val="0000FF"/>
        </w:rPr>
        <w:t>Form of 2017 Stock and Incentive Plan Incentive Stock Option Award Agreement for Executive Officers</w:t>
      </w:r>
    </w:p>
    <w:p>
      <w:pPr>
        <w:spacing w:after="0" w:line="33" w:lineRule="exact"/>
        <w:rPr>
          <w:sz w:val="20"/>
          <w:szCs w:val="20"/>
          <w:color w:val="auto"/>
        </w:rPr>
      </w:pPr>
    </w:p>
    <w:p>
      <w:pPr>
        <w:ind w:left="680"/>
        <w:spacing w:after="0"/>
        <w:tabs>
          <w:tab w:leader="none" w:pos="1180" w:val="left"/>
        </w:tabs>
        <w:rPr>
          <w:sz w:val="20"/>
          <w:szCs w:val="20"/>
          <w:color w:val="auto"/>
        </w:rPr>
      </w:pPr>
      <w:r>
        <w:rPr>
          <w:rFonts w:ascii="Arial" w:cs="Arial" w:eastAsia="Arial" w:hAnsi="Arial"/>
          <w:sz w:val="11"/>
          <w:szCs w:val="11"/>
          <w:color w:val="auto"/>
        </w:rPr>
        <w:t>10.8</w:t>
      </w:r>
      <w:r>
        <w:rPr>
          <w:sz w:val="20"/>
          <w:szCs w:val="20"/>
          <w:color w:val="auto"/>
        </w:rPr>
        <w:tab/>
      </w:r>
      <w:r>
        <w:rPr>
          <w:rFonts w:ascii="Arial" w:cs="Arial" w:eastAsia="Arial" w:hAnsi="Arial"/>
          <w:sz w:val="11"/>
          <w:szCs w:val="11"/>
          <w:u w:val="single" w:color="auto"/>
          <w:color w:val="0000FF"/>
        </w:rPr>
        <w:t>Form of 2017 Stock and Incentive Compensation Plan Restricted Stock Unit Award Agreement for Executive Officers</w:t>
      </w:r>
    </w:p>
    <w:p>
      <w:pPr>
        <w:spacing w:after="0" w:line="33" w:lineRule="exact"/>
        <w:rPr>
          <w:sz w:val="20"/>
          <w:szCs w:val="20"/>
          <w:color w:val="auto"/>
        </w:rPr>
      </w:pPr>
    </w:p>
    <w:p>
      <w:pPr>
        <w:ind w:left="1200" w:hanging="519"/>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10.9</w:t>
      </w:r>
      <w:r>
        <w:rPr>
          <w:sz w:val="20"/>
          <w:szCs w:val="20"/>
          <w:color w:val="auto"/>
        </w:rPr>
        <w:tab/>
      </w:r>
      <w:hyperlink r:id="rId225">
        <w:r>
          <w:rPr>
            <w:rFonts w:ascii="Arial" w:cs="Arial" w:eastAsia="Arial" w:hAnsi="Arial"/>
            <w:sz w:val="11"/>
            <w:szCs w:val="11"/>
            <w:u w:val="single" w:color="auto"/>
            <w:color w:val="0000FF"/>
          </w:rPr>
          <w:t>Employment Agreement, effective January 1, 2019, by and among Capital Bancorp, Inc., Capital Bank, N.A. and Edward F. Barry (incorporated by reference to Exhibit 10.1 to the Company’s Form 8-</w:t>
        </w:r>
      </w:hyperlink>
      <w:hyperlink r:id="rId225">
        <w:r>
          <w:rPr>
            <w:rFonts w:ascii="Arial" w:cs="Arial" w:eastAsia="Arial" w:hAnsi="Arial"/>
            <w:sz w:val="11"/>
            <w:szCs w:val="11"/>
            <w:u w:val="single" w:color="auto"/>
            <w:color w:val="0000FF"/>
          </w:rPr>
          <w:t>K filed on January 10, 2019)</w:t>
        </w:r>
      </w:hyperlink>
    </w:p>
    <w:p>
      <w:pPr>
        <w:spacing w:after="0" w:line="12" w:lineRule="exact"/>
        <w:rPr>
          <w:sz w:val="20"/>
          <w:szCs w:val="20"/>
          <w:color w:val="auto"/>
        </w:rPr>
      </w:pPr>
    </w:p>
    <w:p>
      <w:pPr>
        <w:ind w:left="1200" w:right="80" w:hanging="582"/>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10.10</w:t>
      </w:r>
      <w:r>
        <w:rPr>
          <w:sz w:val="20"/>
          <w:szCs w:val="20"/>
          <w:color w:val="auto"/>
        </w:rPr>
        <w:tab/>
      </w:r>
      <w:hyperlink r:id="rId226">
        <w:r>
          <w:rPr>
            <w:rFonts w:ascii="Arial" w:cs="Arial" w:eastAsia="Arial" w:hAnsi="Arial"/>
            <w:sz w:val="11"/>
            <w:szCs w:val="11"/>
            <w:u w:val="single" w:color="auto"/>
            <w:color w:val="0000FF"/>
          </w:rPr>
          <w:t>Amendment to Employment Agreement, effective as of June 15, 2021, by and among Capital Bancorp, Inc., Capital Bank, N.A. and Edward F. Barry (incorporated by reference to Exhibit 99.1 to the</w:t>
        </w:r>
      </w:hyperlink>
      <w:r>
        <w:rPr>
          <w:rFonts w:ascii="Arial" w:cs="Arial" w:eastAsia="Arial" w:hAnsi="Arial"/>
          <w:sz w:val="11"/>
          <w:szCs w:val="11"/>
          <w:u w:val="single" w:color="auto"/>
          <w:color w:val="0000FF"/>
        </w:rPr>
        <w:t xml:space="preserve"> </w:t>
      </w:r>
      <w:hyperlink r:id="rId226">
        <w:r>
          <w:rPr>
            <w:rFonts w:ascii="Arial" w:cs="Arial" w:eastAsia="Arial" w:hAnsi="Arial"/>
            <w:sz w:val="11"/>
            <w:szCs w:val="11"/>
            <w:u w:val="single" w:color="auto"/>
            <w:color w:val="0000FF"/>
          </w:rPr>
          <w:t>Company’s Form 8-K filed on June 11, 2021)</w:t>
        </w:r>
      </w:hyperlink>
    </w:p>
    <w:p>
      <w:pPr>
        <w:spacing w:after="0" w:line="12" w:lineRule="exact"/>
        <w:rPr>
          <w:sz w:val="20"/>
          <w:szCs w:val="20"/>
          <w:color w:val="auto"/>
        </w:rPr>
      </w:pPr>
    </w:p>
    <w:p>
      <w:pPr>
        <w:ind w:left="600"/>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10.11</w:t>
      </w:r>
      <w:r>
        <w:rPr>
          <w:sz w:val="20"/>
          <w:szCs w:val="20"/>
          <w:color w:val="auto"/>
        </w:rPr>
        <w:tab/>
      </w:r>
      <w:hyperlink r:id="rId227">
        <w:r>
          <w:rPr>
            <w:rFonts w:ascii="Arial" w:cs="Arial" w:eastAsia="Arial" w:hAnsi="Arial"/>
            <w:sz w:val="11"/>
            <w:szCs w:val="11"/>
            <w:u w:val="single" w:color="auto"/>
            <w:color w:val="0000FF"/>
          </w:rPr>
          <w:t>Employment Agreement dated January 1, 2022 between Capital Bank, N.A. and Scot R. Browning (incorporated by reference to Exhibit 10.1 to the Company’s 8-K filed on January 6. 2022)</w:t>
        </w:r>
      </w:hyperlink>
    </w:p>
    <w:p>
      <w:pPr>
        <w:spacing w:after="0" w:line="33" w:lineRule="exact"/>
        <w:rPr>
          <w:sz w:val="20"/>
          <w:szCs w:val="20"/>
          <w:color w:val="auto"/>
        </w:rPr>
      </w:pPr>
    </w:p>
    <w:p>
      <w:pPr>
        <w:ind w:left="1200" w:right="100" w:hanging="582"/>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10.12</w:t>
      </w:r>
      <w:r>
        <w:rPr>
          <w:sz w:val="20"/>
          <w:szCs w:val="20"/>
          <w:color w:val="auto"/>
        </w:rPr>
        <w:tab/>
      </w:r>
      <w:hyperlink r:id="rId228">
        <w:r>
          <w:rPr>
            <w:rFonts w:ascii="Arial" w:cs="Arial" w:eastAsia="Arial" w:hAnsi="Arial"/>
            <w:sz w:val="11"/>
            <w:szCs w:val="11"/>
            <w:u w:val="single" w:color="auto"/>
            <w:color w:val="0000FF"/>
          </w:rPr>
          <w:t>Employment Contract, dated April 30, 2018, by and among Capital Bank, N.A. and Karl F. Dicker (incorporated by reference to Exhibit 10.1 to the Company’s Quarterly Report on Form 10-Q for the</w:t>
        </w:r>
      </w:hyperlink>
      <w:r>
        <w:rPr>
          <w:rFonts w:ascii="Arial" w:cs="Arial" w:eastAsia="Arial" w:hAnsi="Arial"/>
          <w:sz w:val="11"/>
          <w:szCs w:val="11"/>
          <w:u w:val="single" w:color="auto"/>
          <w:color w:val="0000FF"/>
        </w:rPr>
        <w:t xml:space="preserve"> </w:t>
      </w:r>
      <w:hyperlink r:id="rId228">
        <w:r>
          <w:rPr>
            <w:rFonts w:ascii="Arial" w:cs="Arial" w:eastAsia="Arial" w:hAnsi="Arial"/>
            <w:sz w:val="11"/>
            <w:szCs w:val="11"/>
            <w:u w:val="single" w:color="auto"/>
            <w:color w:val="0000FF"/>
          </w:rPr>
          <w:t>period ended March 31, 2020, filed on May 11, 2020)</w:t>
        </w:r>
      </w:hyperlink>
    </w:p>
    <w:p>
      <w:pPr>
        <w:spacing w:after="0" w:line="12"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1"/>
          <w:szCs w:val="11"/>
          <w:color w:val="auto"/>
        </w:rPr>
        <w:t>10.13</w:t>
      </w:r>
      <w:r>
        <w:rPr>
          <w:sz w:val="20"/>
          <w:szCs w:val="20"/>
          <w:color w:val="auto"/>
        </w:rPr>
        <w:tab/>
      </w:r>
      <w:r>
        <w:rPr>
          <w:rFonts w:ascii="Arial" w:cs="Arial" w:eastAsia="Arial" w:hAnsi="Arial"/>
          <w:sz w:val="11"/>
          <w:szCs w:val="11"/>
          <w:u w:val="single" w:color="auto"/>
          <w:color w:val="0000FF"/>
        </w:rPr>
        <w:t>Nonqualified Deferred Compensation Plan dated January 1, 2021</w:t>
      </w:r>
    </w:p>
    <w:p>
      <w:pPr>
        <w:spacing w:after="0" w:line="33" w:lineRule="exact"/>
        <w:rPr>
          <w:sz w:val="20"/>
          <w:szCs w:val="20"/>
          <w:color w:val="auto"/>
        </w:rPr>
      </w:pPr>
    </w:p>
    <w:p>
      <w:pPr>
        <w:ind w:left="600"/>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10.14</w:t>
      </w:r>
      <w:r>
        <w:rPr>
          <w:sz w:val="20"/>
          <w:szCs w:val="20"/>
          <w:color w:val="auto"/>
        </w:rPr>
        <w:tab/>
      </w:r>
      <w:hyperlink r:id="rId229">
        <w:r>
          <w:rPr>
            <w:rFonts w:ascii="Arial" w:cs="Arial" w:eastAsia="Arial" w:hAnsi="Arial"/>
            <w:sz w:val="11"/>
            <w:szCs w:val="11"/>
            <w:u w:val="single" w:color="auto"/>
            <w:color w:val="0000FF"/>
          </w:rPr>
          <w:t>Employment Agreement, effective June 29, 2022 between Capital Bank, N.A. and Edward F. Barry (incorporated by reference to Exhibit 10.1 to the Company’s Form 8-K filed on July 1, 2022.</w:t>
        </w:r>
      </w:hyperlink>
    </w:p>
    <w:p>
      <w:pPr>
        <w:spacing w:after="0" w:line="33" w:lineRule="exact"/>
        <w:rPr>
          <w:sz w:val="20"/>
          <w:szCs w:val="20"/>
          <w:color w:val="auto"/>
        </w:rPr>
      </w:pPr>
    </w:p>
    <w:p>
      <w:pPr>
        <w:ind w:left="600"/>
        <w:spacing w:after="0"/>
        <w:tabs>
          <w:tab w:leader="none" w:pos="1180" w:val="left"/>
        </w:tabs>
        <w:rPr>
          <w:rFonts w:ascii="Arial" w:cs="Arial" w:eastAsia="Arial" w:hAnsi="Arial"/>
          <w:sz w:val="11"/>
          <w:szCs w:val="11"/>
          <w:u w:val="single" w:color="auto"/>
          <w:color w:val="0000FF"/>
        </w:rPr>
      </w:pPr>
      <w:r>
        <w:rPr>
          <w:rFonts w:ascii="Arial" w:cs="Arial" w:eastAsia="Arial" w:hAnsi="Arial"/>
          <w:sz w:val="11"/>
          <w:szCs w:val="11"/>
          <w:color w:val="auto"/>
        </w:rPr>
        <w:t>10.15</w:t>
      </w:r>
      <w:r>
        <w:rPr>
          <w:sz w:val="20"/>
          <w:szCs w:val="20"/>
          <w:color w:val="auto"/>
        </w:rPr>
        <w:tab/>
      </w:r>
      <w:hyperlink r:id="rId230">
        <w:r>
          <w:rPr>
            <w:rFonts w:ascii="Arial" w:cs="Arial" w:eastAsia="Arial" w:hAnsi="Arial"/>
            <w:sz w:val="11"/>
            <w:szCs w:val="11"/>
            <w:u w:val="single" w:color="auto"/>
            <w:color w:val="0000FF"/>
          </w:rPr>
          <w:t>Employment Agreement, effective October 11, 2022 between Capital Bank, N.A. and Steven Poynot (incorporated by reference to Exhibit 10.1 to the Company’s Form 8-K filed on October 11, 2022.</w:t>
        </w:r>
      </w:hyperlink>
    </w:p>
    <w:p>
      <w:pPr>
        <w:spacing w:after="0" w:line="33" w:lineRule="exact"/>
        <w:rPr>
          <w:sz w:val="20"/>
          <w:szCs w:val="20"/>
          <w:color w:val="auto"/>
        </w:rPr>
      </w:pPr>
    </w:p>
    <w:p>
      <w:pPr>
        <w:ind w:left="680"/>
        <w:spacing w:after="0"/>
        <w:tabs>
          <w:tab w:leader="none" w:pos="1180" w:val="left"/>
        </w:tabs>
        <w:rPr>
          <w:sz w:val="20"/>
          <w:szCs w:val="20"/>
          <w:color w:val="auto"/>
        </w:rPr>
      </w:pPr>
      <w:r>
        <w:rPr>
          <w:rFonts w:ascii="Arial" w:cs="Arial" w:eastAsia="Arial" w:hAnsi="Arial"/>
          <w:sz w:val="11"/>
          <w:szCs w:val="11"/>
          <w:color w:val="auto"/>
        </w:rPr>
        <w:t>21.0</w:t>
      </w:r>
      <w:r>
        <w:rPr>
          <w:sz w:val="20"/>
          <w:szCs w:val="20"/>
          <w:color w:val="auto"/>
        </w:rPr>
        <w:tab/>
      </w:r>
      <w:r>
        <w:rPr>
          <w:rFonts w:ascii="Arial" w:cs="Arial" w:eastAsia="Arial" w:hAnsi="Arial"/>
          <w:sz w:val="11"/>
          <w:szCs w:val="11"/>
          <w:color w:val="auto"/>
        </w:rPr>
        <w:t>Subsidiaries of Capital Bancorp, Inc. (reference is made to “Item 1. Business” for the required information)</w:t>
      </w:r>
    </w:p>
    <w:p>
      <w:pPr>
        <w:spacing w:after="0" w:line="33" w:lineRule="exact"/>
        <w:rPr>
          <w:sz w:val="20"/>
          <w:szCs w:val="20"/>
          <w:color w:val="auto"/>
        </w:rPr>
      </w:pPr>
    </w:p>
    <w:p>
      <w:pPr>
        <w:ind w:left="680"/>
        <w:spacing w:after="0"/>
        <w:tabs>
          <w:tab w:leader="none" w:pos="1180" w:val="left"/>
        </w:tabs>
        <w:rPr>
          <w:sz w:val="20"/>
          <w:szCs w:val="20"/>
          <w:color w:val="auto"/>
        </w:rPr>
      </w:pPr>
      <w:r>
        <w:rPr>
          <w:rFonts w:ascii="Arial" w:cs="Arial" w:eastAsia="Arial" w:hAnsi="Arial"/>
          <w:sz w:val="11"/>
          <w:szCs w:val="11"/>
          <w:color w:val="auto"/>
        </w:rPr>
        <w:t>23.1</w:t>
      </w:r>
      <w:r>
        <w:rPr>
          <w:sz w:val="20"/>
          <w:szCs w:val="20"/>
          <w:color w:val="auto"/>
        </w:rPr>
        <w:tab/>
      </w:r>
      <w:r>
        <w:rPr>
          <w:rFonts w:ascii="Arial" w:cs="Arial" w:eastAsia="Arial" w:hAnsi="Arial"/>
          <w:sz w:val="11"/>
          <w:szCs w:val="11"/>
          <w:u w:val="single" w:color="auto"/>
          <w:color w:val="0000FF"/>
        </w:rPr>
        <w:t>Consent of Elliott Davis, PLLC</w:t>
      </w:r>
    </w:p>
    <w:p>
      <w:pPr>
        <w:spacing w:after="0" w:line="33" w:lineRule="exact"/>
        <w:rPr>
          <w:sz w:val="20"/>
          <w:szCs w:val="20"/>
          <w:color w:val="auto"/>
        </w:rPr>
      </w:pPr>
    </w:p>
    <w:p>
      <w:pPr>
        <w:ind w:left="680"/>
        <w:spacing w:after="0"/>
        <w:tabs>
          <w:tab w:leader="none" w:pos="1180" w:val="left"/>
        </w:tabs>
        <w:rPr>
          <w:sz w:val="20"/>
          <w:szCs w:val="20"/>
          <w:color w:val="auto"/>
        </w:rPr>
      </w:pPr>
      <w:r>
        <w:rPr>
          <w:rFonts w:ascii="Arial" w:cs="Arial" w:eastAsia="Arial" w:hAnsi="Arial"/>
          <w:sz w:val="11"/>
          <w:szCs w:val="11"/>
          <w:color w:val="auto"/>
        </w:rPr>
        <w:t>31.1</w:t>
      </w:r>
      <w:r>
        <w:rPr>
          <w:sz w:val="20"/>
          <w:szCs w:val="20"/>
          <w:color w:val="auto"/>
        </w:rPr>
        <w:tab/>
      </w:r>
      <w:r>
        <w:rPr>
          <w:rFonts w:ascii="Arial" w:cs="Arial" w:eastAsia="Arial" w:hAnsi="Arial"/>
          <w:sz w:val="11"/>
          <w:szCs w:val="11"/>
          <w:u w:val="single" w:color="auto"/>
          <w:color w:val="0000FF"/>
        </w:rPr>
        <w:t>Rule 13a-14(a) Certification of the Principal Executive Officer</w:t>
      </w:r>
    </w:p>
    <w:p>
      <w:pPr>
        <w:spacing w:after="0" w:line="33" w:lineRule="exact"/>
        <w:rPr>
          <w:sz w:val="20"/>
          <w:szCs w:val="20"/>
          <w:color w:val="auto"/>
        </w:rPr>
      </w:pPr>
    </w:p>
    <w:p>
      <w:pPr>
        <w:ind w:left="680"/>
        <w:spacing w:after="0"/>
        <w:tabs>
          <w:tab w:leader="none" w:pos="1180" w:val="left"/>
        </w:tabs>
        <w:rPr>
          <w:sz w:val="20"/>
          <w:szCs w:val="20"/>
          <w:color w:val="auto"/>
        </w:rPr>
      </w:pPr>
      <w:r>
        <w:rPr>
          <w:rFonts w:ascii="Arial" w:cs="Arial" w:eastAsia="Arial" w:hAnsi="Arial"/>
          <w:sz w:val="11"/>
          <w:szCs w:val="11"/>
          <w:color w:val="auto"/>
        </w:rPr>
        <w:t>31.2</w:t>
      </w:r>
      <w:r>
        <w:rPr>
          <w:sz w:val="20"/>
          <w:szCs w:val="20"/>
          <w:color w:val="auto"/>
        </w:rPr>
        <w:tab/>
      </w:r>
      <w:r>
        <w:rPr>
          <w:rFonts w:ascii="Arial" w:cs="Arial" w:eastAsia="Arial" w:hAnsi="Arial"/>
          <w:sz w:val="11"/>
          <w:szCs w:val="11"/>
          <w:u w:val="single" w:color="auto"/>
          <w:color w:val="0000FF"/>
        </w:rPr>
        <w:t>Rule 13a-14(a) Certification of the Principal Financial Officer</w:t>
      </w:r>
    </w:p>
    <w:p>
      <w:pPr>
        <w:spacing w:after="0" w:line="33" w:lineRule="exact"/>
        <w:rPr>
          <w:sz w:val="20"/>
          <w:szCs w:val="20"/>
          <w:color w:val="auto"/>
        </w:rPr>
      </w:pPr>
    </w:p>
    <w:p>
      <w:pPr>
        <w:ind w:left="680"/>
        <w:spacing w:after="0"/>
        <w:tabs>
          <w:tab w:leader="none" w:pos="1180" w:val="left"/>
        </w:tabs>
        <w:rPr>
          <w:sz w:val="20"/>
          <w:szCs w:val="20"/>
          <w:color w:val="auto"/>
        </w:rPr>
      </w:pPr>
      <w:r>
        <w:rPr>
          <w:rFonts w:ascii="Arial" w:cs="Arial" w:eastAsia="Arial" w:hAnsi="Arial"/>
          <w:sz w:val="11"/>
          <w:szCs w:val="11"/>
          <w:color w:val="auto"/>
        </w:rPr>
        <w:t>32.1</w:t>
      </w:r>
      <w:r>
        <w:rPr>
          <w:sz w:val="20"/>
          <w:szCs w:val="20"/>
          <w:color w:val="auto"/>
        </w:rPr>
        <w:tab/>
      </w:r>
      <w:r>
        <w:rPr>
          <w:rFonts w:ascii="Arial" w:cs="Arial" w:eastAsia="Arial" w:hAnsi="Arial"/>
          <w:sz w:val="11"/>
          <w:szCs w:val="11"/>
          <w:u w:val="single" w:color="auto"/>
          <w:color w:val="0000FF"/>
        </w:rPr>
        <w:t>Section 1350 Certification of Principal Executive Officer and Principal Financial Officer</w:t>
      </w:r>
    </w:p>
    <w:p>
      <w:pPr>
        <w:spacing w:after="0" w:line="33" w:lineRule="exact"/>
        <w:rPr>
          <w:sz w:val="20"/>
          <w:szCs w:val="20"/>
          <w:color w:val="auto"/>
        </w:rPr>
      </w:pPr>
    </w:p>
    <w:p>
      <w:pPr>
        <w:ind w:left="1200" w:right="80" w:hanging="497"/>
        <w:spacing w:after="0" w:line="227" w:lineRule="auto"/>
        <w:tabs>
          <w:tab w:leader="none" w:pos="12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following materials from the Annual Report on Form 10-K of Capital Bancorp, Inc. for the year ended December 31, 2022,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23" w:lineRule="exact"/>
        <w:rPr>
          <w:sz w:val="20"/>
          <w:szCs w:val="20"/>
          <w:color w:val="auto"/>
        </w:rPr>
      </w:pPr>
    </w:p>
    <w:p>
      <w:pPr>
        <w:ind w:left="700"/>
        <w:spacing w:after="0"/>
        <w:tabs>
          <w:tab w:leader="none" w:pos="1180" w:val="left"/>
        </w:tabs>
        <w:rPr>
          <w:sz w:val="20"/>
          <w:szCs w:val="20"/>
          <w:color w:val="auto"/>
        </w:rPr>
      </w:pPr>
      <w:r>
        <w:rPr>
          <w:rFonts w:ascii="Arial" w:cs="Arial" w:eastAsia="Arial" w:hAnsi="Arial"/>
          <w:sz w:val="11"/>
          <w:szCs w:val="11"/>
          <w:color w:val="auto"/>
        </w:rPr>
        <w:t>104</w:t>
      </w:r>
      <w:r>
        <w:rPr>
          <w:sz w:val="20"/>
          <w:szCs w:val="20"/>
          <w:color w:val="auto"/>
        </w:rPr>
        <w:tab/>
      </w:r>
      <w:r>
        <w:rPr>
          <w:rFonts w:ascii="Arial" w:cs="Arial" w:eastAsia="Arial" w:hAnsi="Arial"/>
          <w:sz w:val="11"/>
          <w:szCs w:val="11"/>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1083310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560" w:top="1309" w:right="25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u w:val="single" w:color="auto"/>
          <w:color w:val="auto"/>
        </w:rPr>
        <w:t>ITEM 16. FORM 10-K SUMMARY</w:t>
      </w:r>
    </w:p>
    <w:p>
      <w:pPr>
        <w:sectPr>
          <w:pgSz w:w="11900" w:h="16838" w:orient="portrait"/>
          <w:cols w:equalWidth="0" w:num="1">
            <w:col w:w="9899"/>
          </w:cols>
          <w:pgMar w:left="560" w:top="1309" w:right="1440" w:bottom="1440" w:gutter="0" w:footer="0" w:header="0"/>
        </w:sectPr>
      </w:pPr>
    </w:p>
    <w:p>
      <w:pPr>
        <w:spacing w:after="0" w:line="1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1030605</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899"/>
          </w:cols>
          <w:pgMar w:left="560" w:top="1309" w:right="1440" w:bottom="1440" w:gutter="0" w:footer="0" w:header="0"/>
          <w:type w:val="continuous"/>
        </w:sectPr>
      </w:pPr>
    </w:p>
    <w:bookmarkStart w:id="109" w:name="page110"/>
    <w:bookmarkEnd w:id="109"/>
    <w:p>
      <w:pPr>
        <w:jc w:val="center"/>
        <w:ind w:right="-259"/>
        <w:spacing w:after="0"/>
        <w:rPr>
          <w:sz w:val="20"/>
          <w:szCs w:val="20"/>
          <w:color w:val="auto"/>
        </w:rPr>
      </w:pPr>
      <w:r>
        <w:rPr>
          <w:rFonts w:ascii="Arial" w:cs="Arial" w:eastAsia="Arial" w:hAnsi="Arial"/>
          <w:sz w:val="14"/>
          <w:szCs w:val="14"/>
          <w:b w:val="1"/>
          <w:bCs w:val="1"/>
          <w:color w:val="auto"/>
        </w:rPr>
        <w:t>SIGNATURES</w:t>
      </w:r>
    </w:p>
    <w:p>
      <w:pPr>
        <w:spacing w:after="0" w:line="197"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CAPITAL BANCORP, INC.</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By:/s/ Edward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-13335</wp:posOffset>
            </wp:positionV>
            <wp:extent cx="105791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1057910" cy="6985"/>
                    </a:xfrm>
                    <a:prstGeom prst="rect">
                      <a:avLst/>
                    </a:prstGeom>
                    <a:noFill/>
                  </pic:spPr>
                </pic:pic>
              </a:graphicData>
            </a:graphic>
          </wp:anchor>
        </w:drawing>
      </w:r>
    </w:p>
    <w:p>
      <w:pPr>
        <w:ind w:left="2740"/>
        <w:spacing w:after="0"/>
        <w:rPr>
          <w:sz w:val="20"/>
          <w:szCs w:val="20"/>
          <w:color w:val="auto"/>
        </w:rPr>
      </w:pPr>
      <w:r>
        <w:rPr>
          <w:rFonts w:ascii="Arial" w:cs="Arial" w:eastAsia="Arial" w:hAnsi="Arial"/>
          <w:sz w:val="14"/>
          <w:szCs w:val="14"/>
          <w:color w:val="auto"/>
        </w:rPr>
        <w:t>Edward F. Barry</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Chief Executive Officer</w:t>
      </w:r>
    </w:p>
    <w:p>
      <w:pPr>
        <w:spacing w:after="0" w:line="3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Dated: March 15, 2023</w:t>
      </w:r>
    </w:p>
    <w:p>
      <w:pPr>
        <w:spacing w:after="0" w:line="179" w:lineRule="exact"/>
        <w:rPr>
          <w:sz w:val="20"/>
          <w:szCs w:val="20"/>
          <w:color w:val="auto"/>
        </w:rPr>
      </w:pPr>
    </w:p>
    <w:p>
      <w:pPr>
        <w:ind w:firstLine="255"/>
        <w:spacing w:after="0" w:line="266" w:lineRule="auto"/>
        <w:rPr>
          <w:sz w:val="20"/>
          <w:szCs w:val="20"/>
          <w:color w:val="auto"/>
        </w:rPr>
      </w:pPr>
      <w:r>
        <w:rPr>
          <w:rFonts w:ascii="Arial" w:cs="Arial" w:eastAsia="Arial" w:hAnsi="Arial"/>
          <w:sz w:val="14"/>
          <w:szCs w:val="14"/>
          <w:color w:val="auto"/>
        </w:rPr>
        <w:t>Pursuant to the requirements of the Securities Exchange Act of 1934, this report has been signed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784860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8"/>
        </w:trPr>
        <w:tc>
          <w:tcPr>
            <w:tcW w:w="5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Signature</w:t>
            </w:r>
          </w:p>
        </w:tc>
      </w:tr>
      <w:tr>
        <w:trPr>
          <w:trHeight w:val="362"/>
        </w:trPr>
        <w:tc>
          <w:tcPr>
            <w:tcW w:w="500" w:type="dxa"/>
            <w:vAlign w:val="bottom"/>
          </w:tcPr>
          <w:p>
            <w:pPr>
              <w:ind w:left="20"/>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Edward F. Barry</w:t>
            </w:r>
          </w:p>
        </w:tc>
      </w:tr>
      <w:tr>
        <w:trPr>
          <w:trHeight w:val="171"/>
        </w:trPr>
        <w:tc>
          <w:tcPr>
            <w:tcW w:w="5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Edward F. Barry</w:t>
            </w:r>
          </w:p>
        </w:tc>
      </w:tr>
      <w:tr>
        <w:trPr>
          <w:trHeight w:val="690"/>
        </w:trPr>
        <w:tc>
          <w:tcPr>
            <w:tcW w:w="500" w:type="dxa"/>
            <w:vAlign w:val="bottom"/>
          </w:tcPr>
          <w:p>
            <w:pPr>
              <w:ind w:left="20"/>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Connie Egan</w:t>
            </w:r>
          </w:p>
        </w:tc>
      </w:tr>
      <w:tr>
        <w:trPr>
          <w:trHeight w:val="171"/>
        </w:trPr>
        <w:tc>
          <w:tcPr>
            <w:tcW w:w="5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Connie Egan</w:t>
            </w:r>
          </w:p>
        </w:tc>
      </w:tr>
      <w:tr>
        <w:trPr>
          <w:trHeight w:val="647"/>
        </w:trPr>
        <w:tc>
          <w:tcPr>
            <w:tcW w:w="500" w:type="dxa"/>
            <w:vAlign w:val="bottom"/>
          </w:tcPr>
          <w:p>
            <w:pPr>
              <w:ind w:left="20"/>
              <w:spacing w:after="0"/>
              <w:rPr>
                <w:sz w:val="20"/>
                <w:szCs w:val="20"/>
                <w:color w:val="auto"/>
              </w:rPr>
            </w:pPr>
            <w:r>
              <w:rPr>
                <w:rFonts w:ascii="Arial" w:cs="Arial" w:eastAsia="Arial" w:hAnsi="Arial"/>
                <w:sz w:val="14"/>
                <w:szCs w:val="14"/>
                <w:color w:val="auto"/>
              </w:rPr>
              <w:t>By:</w:t>
            </w:r>
          </w:p>
        </w:tc>
        <w:tc>
          <w:tcPr>
            <w:tcW w:w="3240" w:type="dxa"/>
            <w:vAlign w:val="bottom"/>
          </w:tcPr>
          <w:p>
            <w:pPr>
              <w:ind w:left="20"/>
              <w:spacing w:after="0"/>
              <w:rPr>
                <w:sz w:val="20"/>
                <w:szCs w:val="20"/>
                <w:color w:val="auto"/>
              </w:rPr>
            </w:pPr>
            <w:r>
              <w:rPr>
                <w:rFonts w:ascii="Arial" w:cs="Arial" w:eastAsia="Arial" w:hAnsi="Arial"/>
                <w:sz w:val="14"/>
                <w:szCs w:val="14"/>
                <w:color w:val="auto"/>
              </w:rPr>
              <w:t>/s/ Jerome R. Bailey</w:t>
            </w:r>
          </w:p>
        </w:tc>
      </w:tr>
      <w:tr>
        <w:trPr>
          <w:trHeight w:val="22"/>
        </w:trPr>
        <w:tc>
          <w:tcPr>
            <w:tcW w:w="50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r>
        <w:trPr>
          <w:trHeight w:val="171"/>
        </w:trPr>
        <w:tc>
          <w:tcPr>
            <w:tcW w:w="5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Jerome R. Bailey</w:t>
            </w:r>
          </w:p>
        </w:tc>
      </w:tr>
      <w:tr>
        <w:trPr>
          <w:trHeight w:val="446"/>
        </w:trPr>
        <w:tc>
          <w:tcPr>
            <w:tcW w:w="500" w:type="dxa"/>
            <w:vAlign w:val="bottom"/>
          </w:tcPr>
          <w:p>
            <w:pPr>
              <w:ind w:left="20"/>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Joshua Bernstein</w:t>
            </w:r>
          </w:p>
        </w:tc>
      </w:tr>
      <w:tr>
        <w:trPr>
          <w:trHeight w:val="171"/>
        </w:trPr>
        <w:tc>
          <w:tcPr>
            <w:tcW w:w="5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Joshua Bernstein</w:t>
            </w:r>
          </w:p>
        </w:tc>
      </w:tr>
      <w:tr>
        <w:trPr>
          <w:trHeight w:val="424"/>
        </w:trPr>
        <w:tc>
          <w:tcPr>
            <w:tcW w:w="500" w:type="dxa"/>
            <w:vAlign w:val="bottom"/>
          </w:tcPr>
          <w:p>
            <w:pPr>
              <w:ind w:left="20"/>
              <w:spacing w:after="0"/>
              <w:rPr>
                <w:sz w:val="20"/>
                <w:szCs w:val="20"/>
                <w:color w:val="auto"/>
              </w:rPr>
            </w:pPr>
            <w:r>
              <w:rPr>
                <w:rFonts w:ascii="Arial" w:cs="Arial" w:eastAsia="Arial" w:hAnsi="Arial"/>
                <w:sz w:val="14"/>
                <w:szCs w:val="14"/>
                <w:color w:val="auto"/>
              </w:rPr>
              <w:t>By:</w:t>
            </w:r>
          </w:p>
        </w:tc>
        <w:tc>
          <w:tcPr>
            <w:tcW w:w="3240" w:type="dxa"/>
            <w:vAlign w:val="bottom"/>
          </w:tcPr>
          <w:p>
            <w:pPr>
              <w:ind w:left="20"/>
              <w:spacing w:after="0"/>
              <w:rPr>
                <w:sz w:val="20"/>
                <w:szCs w:val="20"/>
                <w:color w:val="auto"/>
              </w:rPr>
            </w:pPr>
            <w:r>
              <w:rPr>
                <w:rFonts w:ascii="Arial" w:cs="Arial" w:eastAsia="Arial" w:hAnsi="Arial"/>
                <w:sz w:val="14"/>
                <w:szCs w:val="14"/>
                <w:color w:val="auto"/>
              </w:rPr>
              <w:t>/s/ C. Scott Brannan</w:t>
            </w:r>
          </w:p>
        </w:tc>
      </w:tr>
      <w:tr>
        <w:trPr>
          <w:trHeight w:val="22"/>
        </w:trPr>
        <w:tc>
          <w:tcPr>
            <w:tcW w:w="50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r>
        <w:trPr>
          <w:trHeight w:val="171"/>
        </w:trPr>
        <w:tc>
          <w:tcPr>
            <w:tcW w:w="5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C. Scott Brannan</w:t>
            </w:r>
          </w:p>
        </w:tc>
      </w:tr>
      <w:tr>
        <w:trPr>
          <w:trHeight w:val="446"/>
        </w:trPr>
        <w:tc>
          <w:tcPr>
            <w:tcW w:w="500" w:type="dxa"/>
            <w:vAlign w:val="bottom"/>
          </w:tcPr>
          <w:p>
            <w:pPr>
              <w:ind w:left="20"/>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Scot. R. Browning</w:t>
            </w:r>
          </w:p>
        </w:tc>
      </w:tr>
      <w:tr>
        <w:trPr>
          <w:trHeight w:val="171"/>
        </w:trPr>
        <w:tc>
          <w:tcPr>
            <w:tcW w:w="5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Scot R. Browning</w:t>
            </w:r>
          </w:p>
        </w:tc>
      </w:tr>
      <w:tr>
        <w:trPr>
          <w:trHeight w:val="425"/>
        </w:trPr>
        <w:tc>
          <w:tcPr>
            <w:tcW w:w="500" w:type="dxa"/>
            <w:vAlign w:val="bottom"/>
          </w:tcPr>
          <w:p>
            <w:pPr>
              <w:ind w:left="20"/>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Fred J. Lewis</w:t>
            </w:r>
          </w:p>
        </w:tc>
      </w:tr>
      <w:tr>
        <w:trPr>
          <w:trHeight w:val="171"/>
        </w:trPr>
        <w:tc>
          <w:tcPr>
            <w:tcW w:w="5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Fred J. Lewis</w:t>
            </w:r>
          </w:p>
        </w:tc>
      </w:tr>
      <w:tr>
        <w:trPr>
          <w:trHeight w:val="446"/>
        </w:trPr>
        <w:tc>
          <w:tcPr>
            <w:tcW w:w="500" w:type="dxa"/>
            <w:vAlign w:val="bottom"/>
          </w:tcPr>
          <w:p>
            <w:pPr>
              <w:ind w:left="20"/>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Randall. J. Levitt</w:t>
            </w:r>
          </w:p>
        </w:tc>
      </w:tr>
      <w:tr>
        <w:trPr>
          <w:trHeight w:val="171"/>
        </w:trPr>
        <w:tc>
          <w:tcPr>
            <w:tcW w:w="5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Randall J. Levitt</w:t>
            </w:r>
          </w:p>
        </w:tc>
      </w:tr>
      <w:tr>
        <w:trPr>
          <w:trHeight w:val="403"/>
        </w:trPr>
        <w:tc>
          <w:tcPr>
            <w:tcW w:w="500" w:type="dxa"/>
            <w:vAlign w:val="bottom"/>
          </w:tcPr>
          <w:p>
            <w:pPr>
              <w:ind w:left="20"/>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Deborah Ratner Salzberg</w:t>
            </w:r>
          </w:p>
        </w:tc>
      </w:tr>
      <w:tr>
        <w:trPr>
          <w:trHeight w:val="171"/>
        </w:trPr>
        <w:tc>
          <w:tcPr>
            <w:tcW w:w="5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Deborah Ratner Salzberg</w:t>
            </w:r>
          </w:p>
        </w:tc>
      </w:tr>
      <w:tr>
        <w:trPr>
          <w:trHeight w:val="446"/>
        </w:trPr>
        <w:tc>
          <w:tcPr>
            <w:tcW w:w="500" w:type="dxa"/>
            <w:vAlign w:val="bottom"/>
          </w:tcPr>
          <w:p>
            <w:pPr>
              <w:ind w:left="20"/>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Steven J. Schwartz</w:t>
            </w:r>
          </w:p>
        </w:tc>
      </w:tr>
      <w:tr>
        <w:trPr>
          <w:trHeight w:val="171"/>
        </w:trPr>
        <w:tc>
          <w:tcPr>
            <w:tcW w:w="5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Steven J. Schwartz</w:t>
            </w:r>
          </w:p>
        </w:tc>
      </w:tr>
      <w:tr>
        <w:trPr>
          <w:trHeight w:val="393"/>
        </w:trPr>
        <w:tc>
          <w:tcPr>
            <w:tcW w:w="500" w:type="dxa"/>
            <w:vAlign w:val="bottom"/>
          </w:tcPr>
          <w:p>
            <w:pPr>
              <w:ind w:left="20"/>
              <w:spacing w:after="0"/>
              <w:rPr>
                <w:sz w:val="20"/>
                <w:szCs w:val="20"/>
                <w:color w:val="auto"/>
              </w:rPr>
            </w:pPr>
            <w:r>
              <w:rPr>
                <w:rFonts w:ascii="Arial" w:cs="Arial" w:eastAsia="Arial" w:hAnsi="Arial"/>
                <w:sz w:val="14"/>
                <w:szCs w:val="14"/>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James F. Whalen</w:t>
            </w:r>
          </w:p>
        </w:tc>
      </w:tr>
      <w:tr>
        <w:trPr>
          <w:trHeight w:val="171"/>
        </w:trPr>
        <w:tc>
          <w:tcPr>
            <w:tcW w:w="5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James F. Whalen</w:t>
            </w:r>
          </w:p>
        </w:tc>
      </w:tr>
    </w:tbl>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17145</wp:posOffset>
            </wp:positionV>
            <wp:extent cx="326072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Chief Executive</w:t>
      </w:r>
    </w:p>
    <w:p>
      <w:pPr>
        <w:jc w:val="center"/>
        <w:ind w:right="1200"/>
        <w:spacing w:after="0" w:line="221" w:lineRule="auto"/>
        <w:rPr>
          <w:sz w:val="20"/>
          <w:szCs w:val="20"/>
          <w:color w:val="auto"/>
        </w:rPr>
      </w:pPr>
      <w:r>
        <w:rPr>
          <w:rFonts w:ascii="Arial" w:cs="Arial" w:eastAsia="Arial" w:hAnsi="Arial"/>
          <w:sz w:val="14"/>
          <w:szCs w:val="14"/>
          <w:color w:val="auto"/>
        </w:rPr>
        <w:t>Officer and Director</w:t>
      </w:r>
    </w:p>
    <w:p>
      <w:pPr>
        <w:ind w:left="480"/>
        <w:spacing w:after="0"/>
        <w:rPr>
          <w:sz w:val="20"/>
          <w:szCs w:val="20"/>
          <w:color w:val="auto"/>
        </w:rPr>
      </w:pPr>
      <w:r>
        <w:rPr>
          <w:rFonts w:ascii="Arial" w:cs="Arial" w:eastAsia="Arial" w:hAnsi="Arial"/>
          <w:sz w:val="14"/>
          <w:szCs w:val="14"/>
          <w:color w:val="auto"/>
        </w:rPr>
        <w:t>(Principal Executive Officer)</w:t>
      </w:r>
    </w:p>
    <w:p>
      <w:pPr>
        <w:spacing w:after="0" w:line="200" w:lineRule="exact"/>
        <w:rPr>
          <w:sz w:val="20"/>
          <w:szCs w:val="20"/>
          <w:color w:val="auto"/>
        </w:rPr>
      </w:pPr>
    </w:p>
    <w:p>
      <w:pPr>
        <w:spacing w:after="0" w:line="348"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Senior Vice President</w:t>
      </w:r>
    </w:p>
    <w:p>
      <w:pPr>
        <w:jc w:val="center"/>
        <w:ind w:right="1200"/>
        <w:spacing w:after="0"/>
        <w:rPr>
          <w:sz w:val="20"/>
          <w:szCs w:val="20"/>
          <w:color w:val="auto"/>
        </w:rPr>
      </w:pPr>
      <w:r>
        <w:rPr>
          <w:rFonts w:ascii="Arial" w:cs="Arial" w:eastAsia="Arial" w:hAnsi="Arial"/>
          <w:sz w:val="14"/>
          <w:szCs w:val="14"/>
          <w:color w:val="auto"/>
        </w:rPr>
        <w:t>Chief Accounting Officer</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(Principal Financial and Accounting Officer)</w:t>
      </w:r>
    </w:p>
    <w:p>
      <w:pPr>
        <w:spacing w:after="0" w:line="263"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54"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Chairman of the Board of Directors</w:t>
      </w:r>
    </w:p>
    <w:p>
      <w:pPr>
        <w:spacing w:after="0" w:line="200" w:lineRule="exact"/>
        <w:rPr>
          <w:sz w:val="20"/>
          <w:szCs w:val="20"/>
          <w:color w:val="auto"/>
        </w:rPr>
      </w:pPr>
    </w:p>
    <w:p>
      <w:pPr>
        <w:spacing w:after="0" w:line="223"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Director</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17145</wp:posOffset>
            </wp:positionV>
            <wp:extent cx="127508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1275080" cy="698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March 15, 2023</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March 15, 2023</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March 15, 2023</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March 15, 2023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color w:val="auto"/>
        </w:rPr>
        <w:t>March 15, 2023</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March 15, 2023</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March 15, 2023</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March 15, 2023</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March 15, 2023</w:t>
      </w:r>
    </w:p>
    <w:p>
      <w:pPr>
        <w:sectPr>
          <w:pgSz w:w="11900" w:h="16838" w:orient="portrait"/>
          <w:cols w:equalWidth="0" w:num="3">
            <w:col w:w="4340" w:space="720"/>
            <w:col w:w="3920" w:space="720"/>
            <w:col w:w="880"/>
          </w:cols>
          <w:pgMar w:left="560" w:top="1341" w:right="7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Option Agreement Number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 BANCORP, INC.</w:t>
      </w:r>
    </w:p>
    <w:p>
      <w:pPr>
        <w:jc w:val="center"/>
        <w:spacing w:after="0" w:line="237" w:lineRule="auto"/>
        <w:rPr>
          <w:sz w:val="20"/>
          <w:szCs w:val="20"/>
          <w:color w:val="auto"/>
        </w:rPr>
      </w:pPr>
      <w:r>
        <w:rPr>
          <w:rFonts w:ascii="Arial" w:cs="Arial" w:eastAsia="Arial" w:hAnsi="Arial"/>
          <w:sz w:val="14"/>
          <w:szCs w:val="14"/>
          <w:b w:val="1"/>
          <w:bCs w:val="1"/>
          <w:color w:val="auto"/>
        </w:rPr>
        <w:t>2017 STOCK AND INCENTIVE COMPENSATION PLAN</w:t>
      </w:r>
    </w:p>
    <w:p>
      <w:pPr>
        <w:jc w:val="center"/>
        <w:spacing w:after="0"/>
        <w:rPr>
          <w:sz w:val="20"/>
          <w:szCs w:val="20"/>
          <w:color w:val="auto"/>
        </w:rPr>
      </w:pPr>
      <w:r>
        <w:rPr>
          <w:rFonts w:ascii="Arial" w:cs="Arial" w:eastAsia="Arial" w:hAnsi="Arial"/>
          <w:sz w:val="14"/>
          <w:szCs w:val="14"/>
          <w:b w:val="1"/>
          <w:bCs w:val="1"/>
          <w:color w:val="auto"/>
        </w:rPr>
        <w:t>INCENTIVE STOCK OPTION AWARD AGREEMENT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This INCENTIVE STOCK OPTION AGREEMENT (“Agreement”) is made and entered into as of this ___ day of ______________, 2018 (the “Grant Date”), between Capital</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Bancorp, Inc., a Maryland corporation (“the Company”) and __________ (“Participant”).</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WHEREAS the Company desires to grant the Participant certain options to purchase shares of the Company’s Common Stock (“Shares”) pursuant to the Capital Bancorp, Inc. 2017 Stock and Incentive Compensation Plan, as approved by the stockholders on August 3, 2017, effective as of August 29, 2017 (the “Plan”) a copy of which has been furnished to the Participant and the terms of which are incorporated herein by reference. Unless otherwise indicated, whenever capitalized terms are used in this Agreement, they shall have the meanings set forth in the Plan.</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WHEREAS the parties enter into this Agreement to evidence the grant of such stock options and set forth the terms and conditions governing their exercise.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NOW, THEREFORE, the parties agree as follows:</w:t>
      </w:r>
    </w:p>
    <w:p>
      <w:pPr>
        <w:spacing w:after="0" w:line="76" w:lineRule="exact"/>
        <w:rPr>
          <w:sz w:val="20"/>
          <w:szCs w:val="20"/>
          <w:color w:val="auto"/>
        </w:rPr>
      </w:pPr>
    </w:p>
    <w:p>
      <w:pPr>
        <w:ind w:left="520" w:right="60" w:hanging="260"/>
        <w:spacing w:after="0" w:line="261" w:lineRule="auto"/>
        <w:tabs>
          <w:tab w:leader="none" w:pos="511"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Grant of Options</w:t>
      </w:r>
      <w:r>
        <w:rPr>
          <w:rFonts w:ascii="Arial" w:cs="Arial" w:eastAsia="Arial" w:hAnsi="Arial"/>
          <w:sz w:val="14"/>
          <w:szCs w:val="14"/>
          <w:color w:val="auto"/>
        </w:rPr>
        <w:t>. The Company grants to Participant an option (“the Stock Options”) to purchase an aggregate of ______ Shares. The Stock Options shall constitute</w:t>
      </w:r>
      <w:r>
        <w:rPr>
          <w:rFonts w:ascii="Arial" w:cs="Arial" w:eastAsia="Arial" w:hAnsi="Arial"/>
          <w:sz w:val="14"/>
          <w:szCs w:val="14"/>
          <w:b w:val="1"/>
          <w:bCs w:val="1"/>
          <w:color w:val="auto"/>
        </w:rPr>
        <w:t xml:space="preserve"> </w:t>
      </w:r>
      <w:r>
        <w:rPr>
          <w:rFonts w:ascii="Arial" w:cs="Arial" w:eastAsia="Arial" w:hAnsi="Arial"/>
          <w:sz w:val="14"/>
          <w:szCs w:val="14"/>
          <w:color w:val="auto"/>
        </w:rPr>
        <w:t>“incentive stock options” within the meaning of Section 422 of the Internal Revenue Code of 1954, as amended, to the extent that the Market Value of Common Stock with respect to which incentive stock options are exercisable for the first time by the Participant during any calendar year (under all plans of the Company) exceeds $100,000, such options shall be treated as Nonqualified Stock Options and (the Company shall designate which Options will be treated as Nonqualified Stock Options). If the Option granted hereunder fails to qualify as an Incentive Stock Option for any reason, then the Option, or portion thereof that does not so qualify, shall be treated as a Nonqualified Stock Option.</w:t>
      </w:r>
    </w:p>
    <w:p>
      <w:pPr>
        <w:spacing w:after="0" w:line="52" w:lineRule="exact"/>
        <w:rPr>
          <w:rFonts w:ascii="Arial" w:cs="Arial" w:eastAsia="Arial" w:hAnsi="Arial"/>
          <w:sz w:val="14"/>
          <w:szCs w:val="14"/>
          <w:color w:val="auto"/>
        </w:rPr>
      </w:pPr>
    </w:p>
    <w:p>
      <w:pPr>
        <w:ind w:left="500" w:hanging="240"/>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Option Price</w:t>
      </w:r>
      <w:r>
        <w:rPr>
          <w:rFonts w:ascii="Arial" w:cs="Arial" w:eastAsia="Arial" w:hAnsi="Arial"/>
          <w:sz w:val="14"/>
          <w:szCs w:val="14"/>
          <w:color w:val="auto"/>
        </w:rPr>
        <w:t>. The exercise price of the Stock Options is _____ dollars and _____ cents (</w:t>
      </w:r>
      <w:r>
        <w:rPr>
          <w:rFonts w:ascii="Arial" w:cs="Arial" w:eastAsia="Arial" w:hAnsi="Arial"/>
          <w:sz w:val="14"/>
          <w:szCs w:val="14"/>
          <w:b w:val="1"/>
          <w:bCs w:val="1"/>
          <w:color w:val="auto"/>
        </w:rPr>
        <w:t xml:space="preserve">$ </w:t>
      </w:r>
      <w:r>
        <w:rPr>
          <w:rFonts w:ascii="Arial" w:cs="Arial" w:eastAsia="Arial" w:hAnsi="Arial"/>
          <w:sz w:val="14"/>
          <w:szCs w:val="14"/>
          <w:color w:val="auto"/>
        </w:rPr>
        <w:t>) per share (“the Option Price”).</w:t>
      </w:r>
    </w:p>
    <w:p>
      <w:pPr>
        <w:spacing w:after="0" w:line="93" w:lineRule="exact"/>
        <w:rPr>
          <w:rFonts w:ascii="Arial" w:cs="Arial" w:eastAsia="Arial" w:hAnsi="Arial"/>
          <w:sz w:val="14"/>
          <w:szCs w:val="14"/>
          <w:color w:val="auto"/>
        </w:rPr>
      </w:pPr>
    </w:p>
    <w:p>
      <w:pPr>
        <w:ind w:left="520" w:right="200" w:hanging="260"/>
        <w:spacing w:after="0" w:line="263" w:lineRule="auto"/>
        <w:tabs>
          <w:tab w:leader="none" w:pos="511"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Term</w:t>
      </w:r>
      <w:r>
        <w:rPr>
          <w:rFonts w:ascii="Arial" w:cs="Arial" w:eastAsia="Arial" w:hAnsi="Arial"/>
          <w:sz w:val="14"/>
          <w:szCs w:val="14"/>
          <w:color w:val="auto"/>
        </w:rPr>
        <w:t>. Subject to each and every one of the conditions and limitations set forth in the Plan, as approved by the stockholders, including but not limited to the termination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stock options in the event that the Participant ceases to be an employee of the Company or its wholly-owned subsidiary, Capital Bank N.A., the Stock Options that have vested may be exercised by the Participant, in whole or in part, at any time period commencing during the period beginning on the Grant Date and terminating on the fifth anniversary of the Grant Date (the “Expiration Date”). Any of the Stock Options that are outstanding and unexercised at the close of business on the Expiration Date shall automatically, and without further action by the Company or the Participant, be canceled or terminated.</w:t>
      </w:r>
    </w:p>
    <w:p>
      <w:pPr>
        <w:spacing w:after="0" w:line="51" w:lineRule="exact"/>
        <w:rPr>
          <w:rFonts w:ascii="Arial" w:cs="Arial" w:eastAsia="Arial" w:hAnsi="Arial"/>
          <w:sz w:val="14"/>
          <w:szCs w:val="14"/>
          <w:color w:val="auto"/>
        </w:rPr>
      </w:pPr>
    </w:p>
    <w:p>
      <w:pPr>
        <w:ind w:left="520" w:right="60" w:hanging="260"/>
        <w:spacing w:after="0" w:line="266" w:lineRule="auto"/>
        <w:tabs>
          <w:tab w:leader="none" w:pos="511"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Exercise</w:t>
      </w:r>
      <w:r>
        <w:rPr>
          <w:rFonts w:ascii="Arial" w:cs="Arial" w:eastAsia="Arial" w:hAnsi="Arial"/>
          <w:sz w:val="14"/>
          <w:szCs w:val="14"/>
          <w:color w:val="auto"/>
        </w:rPr>
        <w:t>. The Stock Options may be exercised, in whole or in part, by delivery of written notice to the Chairman of the Board of the Company or their designee by the</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 indicating the number of the Stock Options that the Participant wishes to exercise. Such notice shall be accompanied by the payment of the Option Price for the total number of Shares being purchased by the Participant pursuant to the exercise of all or any portion of the Stock Options. The Option Price shall be paid in cash or by check (U.S. dollars).</w:t>
      </w:r>
    </w:p>
    <w:p>
      <w:pPr>
        <w:sectPr>
          <w:pgSz w:w="11900" w:h="16838" w:orient="portrait"/>
          <w:cols w:equalWidth="0" w:num="1">
            <w:col w:w="11280"/>
          </w:cols>
          <w:pgMar w:left="300" w:top="121" w:right="319" w:bottom="1440" w:gutter="0" w:footer="0" w:header="0"/>
        </w:sectPr>
      </w:pPr>
    </w:p>
    <w:bookmarkStart w:id="112" w:name="page113"/>
    <w:bookmarkEnd w:id="112"/>
    <w:p>
      <w:pPr>
        <w:ind w:left="260" w:right="400" w:hanging="260"/>
        <w:spacing w:after="0" w:line="293" w:lineRule="auto"/>
        <w:tabs>
          <w:tab w:leader="none" w:pos="251" w:val="left"/>
        </w:tabs>
        <w:numPr>
          <w:ilvl w:val="0"/>
          <w:numId w:val="23"/>
        </w:numPr>
        <w:rPr>
          <w:rFonts w:ascii="Arial" w:cs="Arial" w:eastAsia="Arial" w:hAnsi="Arial"/>
          <w:sz w:val="14"/>
          <w:szCs w:val="14"/>
          <w:color w:val="auto"/>
        </w:rPr>
      </w:pPr>
      <w:r>
        <w:rPr>
          <w:rFonts w:ascii="Arial" w:cs="Arial" w:eastAsia="Arial" w:hAnsi="Arial"/>
          <w:sz w:val="14"/>
          <w:szCs w:val="14"/>
          <w:b w:val="1"/>
          <w:bCs w:val="1"/>
          <w:color w:val="auto"/>
        </w:rPr>
        <w:t>Vesting</w:t>
      </w:r>
      <w:r>
        <w:rPr>
          <w:rFonts w:ascii="Arial" w:cs="Arial" w:eastAsia="Arial" w:hAnsi="Arial"/>
          <w:sz w:val="14"/>
          <w:szCs w:val="14"/>
          <w:color w:val="auto"/>
        </w:rPr>
        <w:t>. Subject to the forfeiture provisions set forth in Articles VI and XV of the Plan, and subject to any accelerated vesting permitted under Article X of the Plan, the</w:t>
      </w:r>
      <w:r>
        <w:rPr>
          <w:rFonts w:ascii="Arial" w:cs="Arial" w:eastAsia="Arial" w:hAnsi="Arial"/>
          <w:sz w:val="14"/>
          <w:szCs w:val="14"/>
          <w:b w:val="1"/>
          <w:bCs w:val="1"/>
          <w:color w:val="auto"/>
        </w:rPr>
        <w:t xml:space="preserve"> </w:t>
      </w:r>
      <w:r>
        <w:rPr>
          <w:rFonts w:ascii="Arial" w:cs="Arial" w:eastAsia="Arial" w:hAnsi="Arial"/>
          <w:sz w:val="14"/>
          <w:szCs w:val="14"/>
          <w:color w:val="auto"/>
        </w:rPr>
        <w:t>Options granted under this Agreement vest as follows:</w:t>
      </w:r>
    </w:p>
    <w:p>
      <w:pPr>
        <w:spacing w:after="0" w:line="51" w:lineRule="exact"/>
        <w:rPr>
          <w:sz w:val="20"/>
          <w:szCs w:val="20"/>
          <w:color w:val="auto"/>
        </w:rPr>
      </w:pPr>
    </w:p>
    <w:tbl>
      <w:tblPr>
        <w:tblLayout w:type="fixed"/>
        <w:tblInd w:w="270" w:type="dxa"/>
        <w:tblCellMar>
          <w:top w:w="0" w:type="dxa"/>
          <w:left w:w="0" w:type="dxa"/>
          <w:bottom w:w="0" w:type="dxa"/>
          <w:right w:w="0" w:type="dxa"/>
        </w:tblCellMar>
      </w:tblPr>
      <w:tr>
        <w:trPr>
          <w:trHeight w:val="191"/>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First anniversary of the Grant Date</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25%</w:t>
            </w:r>
          </w:p>
        </w:tc>
      </w:tr>
      <w:tr>
        <w:trPr>
          <w:trHeight w:val="22"/>
        </w:trPr>
        <w:tc>
          <w:tcPr>
            <w:tcW w:w="4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r>
      <w:tr>
        <w:trPr>
          <w:trHeight w:val="171"/>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Second anniversary of the Grant Date</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50%</w:t>
            </w:r>
          </w:p>
        </w:tc>
      </w:tr>
      <w:tr>
        <w:trPr>
          <w:trHeight w:val="22"/>
        </w:trPr>
        <w:tc>
          <w:tcPr>
            <w:tcW w:w="4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r>
      <w:tr>
        <w:trPr>
          <w:trHeight w:val="171"/>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Third anniversary of the Grant Date</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75%</w:t>
            </w:r>
          </w:p>
        </w:tc>
      </w:tr>
      <w:tr>
        <w:trPr>
          <w:trHeight w:val="22"/>
        </w:trPr>
        <w:tc>
          <w:tcPr>
            <w:tcW w:w="4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r>
      <w:tr>
        <w:trPr>
          <w:trHeight w:val="171"/>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Fourth anniversary of the Grant Date</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2"/>
        </w:trPr>
        <w:tc>
          <w:tcPr>
            <w:tcW w:w="4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240" w:hanging="240"/>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Termination of Continuous Service</w:t>
      </w:r>
    </w:p>
    <w:p>
      <w:pPr>
        <w:spacing w:after="0" w:line="111" w:lineRule="exact"/>
        <w:rPr>
          <w:rFonts w:ascii="Arial" w:cs="Arial" w:eastAsia="Arial" w:hAnsi="Arial"/>
          <w:sz w:val="14"/>
          <w:szCs w:val="14"/>
          <w:color w:val="auto"/>
        </w:rPr>
      </w:pPr>
    </w:p>
    <w:p>
      <w:pPr>
        <w:ind w:left="760" w:right="80" w:hanging="251"/>
        <w:spacing w:after="0" w:line="266" w:lineRule="auto"/>
        <w:tabs>
          <w:tab w:leader="none" w:pos="751" w:val="left"/>
        </w:tabs>
        <w:numPr>
          <w:ilvl w:val="1"/>
          <w:numId w:val="24"/>
        </w:numPr>
        <w:rPr>
          <w:rFonts w:ascii="Arial" w:cs="Arial" w:eastAsia="Arial" w:hAnsi="Arial"/>
          <w:sz w:val="14"/>
          <w:szCs w:val="14"/>
          <w:color w:val="auto"/>
        </w:rPr>
      </w:pPr>
      <w:r>
        <w:rPr>
          <w:rFonts w:ascii="Arial" w:cs="Arial" w:eastAsia="Arial" w:hAnsi="Arial"/>
          <w:sz w:val="14"/>
          <w:szCs w:val="14"/>
          <w:color w:val="auto"/>
        </w:rPr>
        <w:t>For the purposes of the Plan, if the Participant is a party to an employment or service agreement with the Company and such agreement provides for a definition of the following terms, the following terms shall have the definition contained therein. If no such agreement exists or the it does not defined the below terms:</w:t>
      </w:r>
    </w:p>
    <w:p>
      <w:pPr>
        <w:spacing w:after="0" w:line="343" w:lineRule="exact"/>
        <w:rPr>
          <w:rFonts w:ascii="Arial" w:cs="Arial" w:eastAsia="Arial" w:hAnsi="Arial"/>
          <w:sz w:val="14"/>
          <w:szCs w:val="14"/>
          <w:color w:val="auto"/>
        </w:rPr>
      </w:pPr>
    </w:p>
    <w:p>
      <w:pPr>
        <w:ind w:left="1280" w:hanging="332"/>
        <w:spacing w:after="0" w:line="254" w:lineRule="auto"/>
        <w:tabs>
          <w:tab w:leader="none" w:pos="1281" w:val="left"/>
        </w:tabs>
        <w:numPr>
          <w:ilvl w:val="2"/>
          <w:numId w:val="24"/>
        </w:numPr>
        <w:rPr>
          <w:rFonts w:ascii="Arial" w:cs="Arial" w:eastAsia="Arial" w:hAnsi="Arial"/>
          <w:sz w:val="14"/>
          <w:szCs w:val="14"/>
          <w:color w:val="auto"/>
        </w:rPr>
      </w:pPr>
      <w:r>
        <w:rPr>
          <w:rFonts w:ascii="Arial" w:cs="Arial" w:eastAsia="Arial" w:hAnsi="Arial"/>
          <w:sz w:val="14"/>
          <w:szCs w:val="14"/>
          <w:color w:val="1F4D78"/>
        </w:rPr>
        <w:t>“Cause” shall mean (A) the commission of, or plea of guilty or no contest to, a felony or a crime involving moral turpitude or the commission of any other act involving willful malfeasance or material fiduciary breach with respect to the Company; (B) conduct that results in or is reasonably likely to result in harm to the reputation or business of the Company; (C) gross negligence or willful misconduct with respect to the Company or an Affiliate; or (D) material violation of state or federal securities laws. With respect to any Director, a determination by a majority of the disinterested Board members that the Director has engaged in any of the following: malfeasance in office; gross misconduct or neglect; false or fraudulent misrepresentation inducing the director’s appointment; willful conversion of corporate funds; or repeated failure to participate in Board meetings on a regular basis despite having received proper notice of the meetings in advance. The Committee, in its absolute discretion, shall determine the effect of all matters and questions relating to whether a Participant has been discharged for Cause.</w:t>
      </w:r>
    </w:p>
    <w:p>
      <w:pPr>
        <w:spacing w:after="0" w:line="79" w:lineRule="exact"/>
        <w:rPr>
          <w:rFonts w:ascii="Arial" w:cs="Arial" w:eastAsia="Arial" w:hAnsi="Arial"/>
          <w:sz w:val="14"/>
          <w:szCs w:val="14"/>
          <w:color w:val="auto"/>
        </w:rPr>
      </w:pPr>
    </w:p>
    <w:p>
      <w:pPr>
        <w:ind w:left="1280" w:right="40" w:hanging="364"/>
        <w:spacing w:after="0" w:line="256" w:lineRule="auto"/>
        <w:tabs>
          <w:tab w:leader="none" w:pos="1281" w:val="left"/>
        </w:tabs>
        <w:numPr>
          <w:ilvl w:val="2"/>
          <w:numId w:val="24"/>
        </w:numPr>
        <w:rPr>
          <w:rFonts w:ascii="Arial" w:cs="Arial" w:eastAsia="Arial" w:hAnsi="Arial"/>
          <w:sz w:val="14"/>
          <w:szCs w:val="14"/>
          <w:color w:val="auto"/>
        </w:rPr>
      </w:pPr>
      <w:r>
        <w:rPr>
          <w:rFonts w:ascii="Arial" w:cs="Arial" w:eastAsia="Arial" w:hAnsi="Arial"/>
          <w:sz w:val="14"/>
          <w:szCs w:val="14"/>
          <w:color w:val="1F4D78"/>
        </w:rPr>
        <w:t xml:space="preserve">“Disability” shall mean that the Participant is unable to engage in any substantial gainful activity by reason of any medically determinable physical or mental impairment; </w:t>
      </w:r>
      <w:r>
        <w:rPr>
          <w:rFonts w:ascii="Arial" w:cs="Arial" w:eastAsia="Arial" w:hAnsi="Arial"/>
          <w:sz w:val="14"/>
          <w:szCs w:val="14"/>
          <w:i w:val="1"/>
          <w:iCs w:val="1"/>
          <w:color w:val="1F4D78"/>
        </w:rPr>
        <w:t>provided, however,</w:t>
      </w:r>
      <w:r>
        <w:rPr>
          <w:rFonts w:ascii="Arial" w:cs="Arial" w:eastAsia="Arial" w:hAnsi="Arial"/>
          <w:sz w:val="14"/>
          <w:szCs w:val="14"/>
          <w:color w:val="1F4D78"/>
        </w:rPr>
        <w:t xml:space="preserve"> for purposes of determining the term of an Incentive Stock Option pursuant to 3 hereof, the term Disability shall have the meaning ascribed to it under Section 22(e)(3) of the Code. Except in situations where the Committee is determining Disability for purposes of the term of an Incentive Stock Option pursuant to Section 6 hereof within the meaning of Section 22(e)(3) of the Code, the Committee may rely on any determination that a Participant is disabled for purposes of benefits under any long-term disability plan maintained by the Company in which a Participant participates.</w:t>
      </w:r>
    </w:p>
    <w:p>
      <w:pPr>
        <w:spacing w:after="0" w:line="75" w:lineRule="exact"/>
        <w:rPr>
          <w:rFonts w:ascii="Arial" w:cs="Arial" w:eastAsia="Arial" w:hAnsi="Arial"/>
          <w:sz w:val="14"/>
          <w:szCs w:val="14"/>
          <w:color w:val="auto"/>
        </w:rPr>
      </w:pPr>
    </w:p>
    <w:p>
      <w:pPr>
        <w:ind w:left="760" w:right="260" w:hanging="251"/>
        <w:spacing w:after="0" w:line="257" w:lineRule="auto"/>
        <w:tabs>
          <w:tab w:leader="none" w:pos="751" w:val="left"/>
        </w:tabs>
        <w:numPr>
          <w:ilvl w:val="1"/>
          <w:numId w:val="24"/>
        </w:numPr>
        <w:rPr>
          <w:rFonts w:ascii="Arial" w:cs="Arial" w:eastAsia="Arial" w:hAnsi="Arial"/>
          <w:sz w:val="14"/>
          <w:szCs w:val="14"/>
          <w:color w:val="auto"/>
        </w:rPr>
      </w:pPr>
      <w:r>
        <w:rPr>
          <w:rFonts w:ascii="Arial" w:cs="Arial" w:eastAsia="Arial" w:hAnsi="Arial"/>
          <w:sz w:val="14"/>
          <w:szCs w:val="14"/>
          <w:color w:val="auto"/>
        </w:rPr>
        <w:t>Termination for reasons other than Cause, death, Disability. If the Participant’s service with the Company, whether as an employee, consultant, or director (“Continuous Service”) is terminated for any reason other than Cause, death, or Disability, the Participant may exercise the vested portion of the Option, but only within such period of time ending on the earlier of (i) the date three months following the termination of the Participant’s Continuous Service or (ii) the Expiration Date.</w:t>
      </w:r>
    </w:p>
    <w:p>
      <w:pPr>
        <w:sectPr>
          <w:pgSz w:w="11900" w:h="16838" w:orient="portrait"/>
          <w:cols w:equalWidth="0" w:num="1">
            <w:col w:w="11020"/>
          </w:cols>
          <w:pgMar w:left="560" w:top="1139" w:right="319" w:bottom="1440" w:gutter="0" w:footer="0" w:header="0"/>
        </w:sectPr>
      </w:pPr>
    </w:p>
    <w:bookmarkStart w:id="113" w:name="page114"/>
    <w:bookmarkEnd w:id="113"/>
    <w:p>
      <w:pPr>
        <w:ind w:left="760" w:right="260" w:hanging="251"/>
        <w:spacing w:after="0" w:line="266" w:lineRule="auto"/>
        <w:tabs>
          <w:tab w:leader="none" w:pos="754" w:val="left"/>
        </w:tabs>
        <w:numPr>
          <w:ilvl w:val="1"/>
          <w:numId w:val="25"/>
        </w:numPr>
        <w:rPr>
          <w:rFonts w:ascii="Arial" w:cs="Arial" w:eastAsia="Arial" w:hAnsi="Arial"/>
          <w:sz w:val="14"/>
          <w:szCs w:val="14"/>
          <w:color w:val="auto"/>
        </w:rPr>
      </w:pPr>
      <w:r>
        <w:rPr>
          <w:rFonts w:ascii="Arial" w:cs="Arial" w:eastAsia="Arial" w:hAnsi="Arial"/>
          <w:sz w:val="14"/>
          <w:szCs w:val="14"/>
          <w:color w:val="auto"/>
        </w:rPr>
        <w:t>Termination for Cause. If the Participant’s Continuous Service is terminated for Cause, the Option (whether vested or unvested) shall immediately terminate and cease to be exercisable.</w:t>
      </w:r>
    </w:p>
    <w:p>
      <w:pPr>
        <w:spacing w:after="0" w:line="343" w:lineRule="exact"/>
        <w:rPr>
          <w:rFonts w:ascii="Arial" w:cs="Arial" w:eastAsia="Arial" w:hAnsi="Arial"/>
          <w:sz w:val="14"/>
          <w:szCs w:val="14"/>
          <w:color w:val="auto"/>
        </w:rPr>
      </w:pPr>
    </w:p>
    <w:p>
      <w:pPr>
        <w:ind w:left="760" w:right="60" w:hanging="251"/>
        <w:spacing w:after="0" w:line="259" w:lineRule="auto"/>
        <w:tabs>
          <w:tab w:leader="none" w:pos="751" w:val="left"/>
        </w:tabs>
        <w:numPr>
          <w:ilvl w:val="1"/>
          <w:numId w:val="25"/>
        </w:numPr>
        <w:rPr>
          <w:rFonts w:ascii="Arial" w:cs="Arial" w:eastAsia="Arial" w:hAnsi="Arial"/>
          <w:sz w:val="14"/>
          <w:szCs w:val="14"/>
          <w:color w:val="auto"/>
        </w:rPr>
      </w:pPr>
      <w:r>
        <w:rPr>
          <w:rFonts w:ascii="Arial" w:cs="Arial" w:eastAsia="Arial" w:hAnsi="Arial"/>
          <w:sz w:val="14"/>
          <w:szCs w:val="14"/>
          <w:color w:val="auto"/>
        </w:rPr>
        <w:t>Termination due to death or Disability. If the Participant’s Continuous Service terminates as a result of the Participant’s Disability, the Participant may exercise the vested portion of the Option, but only within such period of time ending on the earlier of: (i) the date 12 months following the Participant’s termination of Continuous Service or (ii) the Expiration Date.</w:t>
      </w:r>
    </w:p>
    <w:p>
      <w:pPr>
        <w:spacing w:after="0" w:line="330" w:lineRule="exact"/>
        <w:rPr>
          <w:rFonts w:ascii="Arial" w:cs="Arial" w:eastAsia="Arial" w:hAnsi="Arial"/>
          <w:sz w:val="14"/>
          <w:szCs w:val="14"/>
          <w:color w:val="auto"/>
        </w:rPr>
      </w:pPr>
    </w:p>
    <w:p>
      <w:pPr>
        <w:ind w:left="260" w:right="320" w:hanging="260"/>
        <w:spacing w:after="0" w:line="293" w:lineRule="auto"/>
        <w:tabs>
          <w:tab w:leader="none" w:pos="251"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Delivery of Certificate</w:t>
      </w:r>
      <w:r>
        <w:rPr>
          <w:rFonts w:ascii="Arial" w:cs="Arial" w:eastAsia="Arial" w:hAnsi="Arial"/>
          <w:sz w:val="14"/>
          <w:szCs w:val="14"/>
          <w:color w:val="auto"/>
        </w:rPr>
        <w:t>. As soon as practicable following the exercise of the Stock Options by the Participant, the Company shall deliver or cause to be delivered to the</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 a certificate representing the Shares acquired pursuant to any such exercise.</w:t>
      </w:r>
    </w:p>
    <w:p>
      <w:pPr>
        <w:spacing w:after="0" w:line="31" w:lineRule="exact"/>
        <w:rPr>
          <w:rFonts w:ascii="Arial" w:cs="Arial" w:eastAsia="Arial" w:hAnsi="Arial"/>
          <w:sz w:val="14"/>
          <w:szCs w:val="14"/>
          <w:color w:val="auto"/>
        </w:rPr>
      </w:pPr>
    </w:p>
    <w:p>
      <w:pPr>
        <w:ind w:left="260" w:right="40" w:hanging="260"/>
        <w:spacing w:after="0" w:line="293" w:lineRule="auto"/>
        <w:tabs>
          <w:tab w:leader="none" w:pos="251"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Investment</w:t>
      </w:r>
      <w:r>
        <w:rPr>
          <w:rFonts w:ascii="Arial" w:cs="Arial" w:eastAsia="Arial" w:hAnsi="Arial"/>
          <w:sz w:val="14"/>
          <w:szCs w:val="14"/>
          <w:color w:val="auto"/>
        </w:rPr>
        <w:t>. The Participant hereby represents and warrants to the Company that any and all Shares which shall be acquired pursuant to the exercise of the Stock Options</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acquired for the Participant’s own account, for investment, and not with a view toward resale.</w:t>
      </w:r>
    </w:p>
    <w:p>
      <w:pPr>
        <w:spacing w:after="0" w:line="31" w:lineRule="exact"/>
        <w:rPr>
          <w:rFonts w:ascii="Arial" w:cs="Arial" w:eastAsia="Arial" w:hAnsi="Arial"/>
          <w:sz w:val="14"/>
          <w:szCs w:val="14"/>
          <w:color w:val="auto"/>
        </w:rPr>
      </w:pPr>
    </w:p>
    <w:p>
      <w:pPr>
        <w:ind w:left="260" w:hanging="260"/>
        <w:spacing w:after="0" w:line="263" w:lineRule="auto"/>
        <w:tabs>
          <w:tab w:leader="none" w:pos="251"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Withholding of Taxes</w:t>
      </w:r>
      <w:r>
        <w:rPr>
          <w:rFonts w:ascii="Arial" w:cs="Arial" w:eastAsia="Arial" w:hAnsi="Arial"/>
          <w:sz w:val="14"/>
          <w:szCs w:val="14"/>
          <w:color w:val="auto"/>
        </w:rPr>
        <w:t>. The Company shall withhold from any amounts due and payable by the Company to the Participant (or secure payment from the Participant in lieu</w:t>
      </w:r>
      <w:r>
        <w:rPr>
          <w:rFonts w:ascii="Arial" w:cs="Arial" w:eastAsia="Arial" w:hAnsi="Arial"/>
          <w:sz w:val="14"/>
          <w:szCs w:val="14"/>
          <w:b w:val="1"/>
          <w:bCs w:val="1"/>
          <w:color w:val="auto"/>
        </w:rPr>
        <w:t xml:space="preserve"> </w:t>
      </w:r>
      <w:r>
        <w:rPr>
          <w:rFonts w:ascii="Arial" w:cs="Arial" w:eastAsia="Arial" w:hAnsi="Arial"/>
          <w:sz w:val="14"/>
          <w:szCs w:val="14"/>
          <w:color w:val="auto"/>
        </w:rPr>
        <w:t>of withholding) the amount of any federal or state withholding or other taxes, if any, due from the Company with respect to the exercise of the Option, and the Company may defer such issuance until such withholding or payment is made unless otherwise indemnified to its satisfaction with respect thereto. The Company shall have the right to: (i) make deductions from any settlement of this Option, including the delivery of Shares, or require Shares or cash, or both, be withheld from any settlement of this Option, in each case in an amount sufficient to satisfy the withholding obligation; or (ii) take such other action as may be necessary or appropriate to satisfy the withholding obligation.</w:t>
      </w:r>
    </w:p>
    <w:p>
      <w:pPr>
        <w:spacing w:after="0" w:line="51" w:lineRule="exact"/>
        <w:rPr>
          <w:rFonts w:ascii="Arial" w:cs="Arial" w:eastAsia="Arial" w:hAnsi="Arial"/>
          <w:sz w:val="14"/>
          <w:szCs w:val="14"/>
          <w:color w:val="auto"/>
        </w:rPr>
      </w:pPr>
    </w:p>
    <w:p>
      <w:pPr>
        <w:ind w:left="260" w:right="80" w:hanging="260"/>
        <w:spacing w:after="0" w:line="273" w:lineRule="auto"/>
        <w:tabs>
          <w:tab w:leader="none" w:pos="255"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Adjustments</w:t>
      </w:r>
      <w:r>
        <w:rPr>
          <w:rFonts w:ascii="Arial" w:cs="Arial" w:eastAsia="Arial" w:hAnsi="Arial"/>
          <w:sz w:val="14"/>
          <w:szCs w:val="14"/>
          <w:color w:val="auto"/>
        </w:rPr>
        <w:t>. If at any time while the Option is outstanding, the number of outstanding Shares is changed by reason of a reorganization, recapitalization, stock split or any</w:t>
      </w:r>
      <w:r>
        <w:rPr>
          <w:rFonts w:ascii="Arial" w:cs="Arial" w:eastAsia="Arial" w:hAnsi="Arial"/>
          <w:sz w:val="14"/>
          <w:szCs w:val="14"/>
          <w:b w:val="1"/>
          <w:bCs w:val="1"/>
          <w:color w:val="auto"/>
        </w:rPr>
        <w:t xml:space="preserve"> </w:t>
      </w:r>
      <w:r>
        <w:rPr>
          <w:rFonts w:ascii="Arial" w:cs="Arial" w:eastAsia="Arial" w:hAnsi="Arial"/>
          <w:sz w:val="14"/>
          <w:szCs w:val="14"/>
          <w:color w:val="auto"/>
        </w:rPr>
        <w:t>other event described in Section 4.4 of the Plan, the number and/or kind of Shares subject to the Option and/or the Option Price of such Shares shall be adjusted in accordance with the provisions of the Plan.</w:t>
      </w:r>
    </w:p>
    <w:p>
      <w:pPr>
        <w:spacing w:after="0" w:line="44" w:lineRule="exact"/>
        <w:rPr>
          <w:rFonts w:ascii="Arial" w:cs="Arial" w:eastAsia="Arial" w:hAnsi="Arial"/>
          <w:sz w:val="14"/>
          <w:szCs w:val="14"/>
          <w:color w:val="auto"/>
        </w:rPr>
      </w:pPr>
    </w:p>
    <w:p>
      <w:pPr>
        <w:ind w:left="260" w:right="40" w:hanging="260"/>
        <w:spacing w:after="0" w:line="263" w:lineRule="auto"/>
        <w:tabs>
          <w:tab w:leader="none" w:pos="255"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Non-assignability</w:t>
      </w:r>
      <w:r>
        <w:rPr>
          <w:rFonts w:ascii="Arial" w:cs="Arial" w:eastAsia="Arial" w:hAnsi="Arial"/>
          <w:sz w:val="14"/>
          <w:szCs w:val="14"/>
          <w:color w:val="auto"/>
        </w:rPr>
        <w:t>. The Stock Options granted may not be transferred, pledged, assigned, hypothecated or otherwise disposed of in any way by the Participant except by</w:t>
      </w:r>
      <w:r>
        <w:rPr>
          <w:rFonts w:ascii="Arial" w:cs="Arial" w:eastAsia="Arial" w:hAnsi="Arial"/>
          <w:sz w:val="14"/>
          <w:szCs w:val="14"/>
          <w:b w:val="1"/>
          <w:bCs w:val="1"/>
          <w:color w:val="auto"/>
        </w:rPr>
        <w:t xml:space="preserve"> </w:t>
      </w:r>
      <w:r>
        <w:rPr>
          <w:rFonts w:ascii="Arial" w:cs="Arial" w:eastAsia="Arial" w:hAnsi="Arial"/>
          <w:sz w:val="14"/>
          <w:szCs w:val="14"/>
          <w:color w:val="auto"/>
        </w:rPr>
        <w:t>will or the laws of descent or distribution and are exercisable during the Participant’s lifetime only by the Participant. Any attempt to effect a transfer of this Option that is not otherwise permitted by the Board of Directors, the Plan, or this Agreement shall be null and void. During the period commencing on the date the Stock Options are exercised and terminating two (2) years thereafter, the Participant may not sell, assign, transfer, pledge or otherwise encumber the Shares purchased in settlement of the Stock Option.</w:t>
      </w:r>
    </w:p>
    <w:p>
      <w:pPr>
        <w:spacing w:after="0" w:line="51" w:lineRule="exact"/>
        <w:rPr>
          <w:rFonts w:ascii="Arial" w:cs="Arial" w:eastAsia="Arial" w:hAnsi="Arial"/>
          <w:sz w:val="14"/>
          <w:szCs w:val="14"/>
          <w:color w:val="auto"/>
        </w:rPr>
      </w:pPr>
    </w:p>
    <w:p>
      <w:pPr>
        <w:ind w:left="240" w:hanging="240"/>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No Rights as a Shareholder or to Continued Employment</w:t>
      </w:r>
      <w:r>
        <w:rPr>
          <w:rFonts w:ascii="Arial" w:cs="Arial" w:eastAsia="Arial" w:hAnsi="Arial"/>
          <w:sz w:val="14"/>
          <w:szCs w:val="14"/>
          <w:color w:val="auto"/>
        </w:rPr>
        <w:t>.</w:t>
      </w:r>
    </w:p>
    <w:p>
      <w:pPr>
        <w:spacing w:after="0" w:line="111" w:lineRule="exact"/>
        <w:rPr>
          <w:rFonts w:ascii="Arial" w:cs="Arial" w:eastAsia="Arial" w:hAnsi="Arial"/>
          <w:sz w:val="14"/>
          <w:szCs w:val="14"/>
          <w:color w:val="auto"/>
        </w:rPr>
      </w:pPr>
    </w:p>
    <w:p>
      <w:pPr>
        <w:jc w:val="both"/>
        <w:ind w:left="760" w:right="120" w:hanging="251"/>
        <w:spacing w:after="0" w:line="259" w:lineRule="auto"/>
        <w:tabs>
          <w:tab w:leader="none" w:pos="751" w:val="left"/>
        </w:tabs>
        <w:numPr>
          <w:ilvl w:val="1"/>
          <w:numId w:val="26"/>
        </w:numPr>
        <w:rPr>
          <w:rFonts w:ascii="Arial" w:cs="Arial" w:eastAsia="Arial" w:hAnsi="Arial"/>
          <w:sz w:val="14"/>
          <w:szCs w:val="14"/>
          <w:color w:val="auto"/>
        </w:rPr>
      </w:pPr>
      <w:r>
        <w:rPr>
          <w:rFonts w:ascii="Arial" w:cs="Arial" w:eastAsia="Arial" w:hAnsi="Arial"/>
          <w:sz w:val="14"/>
          <w:szCs w:val="14"/>
          <w:u w:val="single" w:color="auto"/>
          <w:color w:val="auto"/>
        </w:rPr>
        <w:t>No Rights as a Shareholder</w:t>
      </w:r>
      <w:r>
        <w:rPr>
          <w:rFonts w:ascii="Arial" w:cs="Arial" w:eastAsia="Arial" w:hAnsi="Arial"/>
          <w:sz w:val="14"/>
          <w:szCs w:val="14"/>
          <w:color w:val="auto"/>
        </w:rPr>
        <w:t>. The Participant shall not have any privileges of a shareholder of the Company with respect to any Shares subject to (but not acquired upon valid exercise of) the Option, nor shall the Company have any obligation to pay any dividends or otherwise afford any rights to which Shares are entitled with respect to such Shares, until the date of the issuance to the Participant of a stock certificate evidencing such Shares.</w:t>
      </w:r>
    </w:p>
    <w:p>
      <w:pPr>
        <w:spacing w:after="0" w:line="349" w:lineRule="exact"/>
        <w:rPr>
          <w:sz w:val="20"/>
          <w:szCs w:val="20"/>
          <w:color w:val="auto"/>
        </w:rPr>
      </w:pPr>
    </w:p>
    <w:p>
      <w:pPr>
        <w:ind w:left="760" w:right="360" w:hanging="251"/>
        <w:spacing w:after="0" w:line="266" w:lineRule="auto"/>
        <w:tabs>
          <w:tab w:leader="none" w:pos="751"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No Right to Continued Employment</w:t>
      </w:r>
      <w:r>
        <w:rPr>
          <w:rFonts w:ascii="Arial" w:cs="Arial" w:eastAsia="Arial" w:hAnsi="Arial"/>
          <w:sz w:val="14"/>
          <w:szCs w:val="14"/>
          <w:color w:val="auto"/>
        </w:rPr>
        <w:t>. Nothing in this Agreement shall confer upon a Participant who is an employee of the Company any right to continue in the employ of the</w:t>
      </w:r>
    </w:p>
    <w:p>
      <w:pPr>
        <w:sectPr>
          <w:pgSz w:w="11900" w:h="16838" w:orient="portrait"/>
          <w:cols w:equalWidth="0" w:num="1">
            <w:col w:w="11000"/>
          </w:cols>
          <w:pgMar w:left="560" w:top="1157" w:right="339" w:bottom="1440" w:gutter="0" w:footer="0" w:header="0"/>
        </w:sectPr>
      </w:pPr>
    </w:p>
    <w:bookmarkStart w:id="114" w:name="page115"/>
    <w:bookmarkEnd w:id="114"/>
    <w:p>
      <w:pPr>
        <w:ind w:left="860"/>
        <w:spacing w:after="0"/>
        <w:rPr>
          <w:sz w:val="20"/>
          <w:szCs w:val="20"/>
          <w:color w:val="auto"/>
        </w:rPr>
      </w:pPr>
      <w:r>
        <w:rPr>
          <w:rFonts w:ascii="Arial" w:cs="Arial" w:eastAsia="Arial" w:hAnsi="Arial"/>
          <w:sz w:val="14"/>
          <w:szCs w:val="14"/>
          <w:color w:val="auto"/>
        </w:rPr>
        <w:t>Company or to interfere in any way with the right of the Company to terminate the Participant’s employment at any time.</w:t>
      </w:r>
    </w:p>
    <w:p>
      <w:pPr>
        <w:spacing w:after="0" w:line="351" w:lineRule="exact"/>
        <w:rPr>
          <w:sz w:val="20"/>
          <w:szCs w:val="20"/>
          <w:color w:val="auto"/>
        </w:rPr>
      </w:pPr>
    </w:p>
    <w:p>
      <w:pPr>
        <w:ind w:left="360" w:right="20" w:hanging="260"/>
        <w:spacing w:after="0" w:line="273" w:lineRule="auto"/>
        <w:tabs>
          <w:tab w:leader="none" w:pos="355"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 xml:space="preserve">Disqualifying Disposition. </w:t>
      </w:r>
      <w:r>
        <w:rPr>
          <w:rFonts w:ascii="Arial" w:cs="Arial" w:eastAsia="Arial" w:hAnsi="Arial"/>
          <w:sz w:val="14"/>
          <w:szCs w:val="14"/>
          <w:color w:val="auto"/>
        </w:rPr>
        <w:t>If Shares acquired by exercise of the Option are disposed of within two years following the Grant Date or one year following the transfer of such</w:t>
      </w:r>
      <w:r>
        <w:rPr>
          <w:rFonts w:ascii="Arial" w:cs="Arial" w:eastAsia="Arial" w:hAnsi="Arial"/>
          <w:sz w:val="14"/>
          <w:szCs w:val="14"/>
          <w:b w:val="1"/>
          <w:bCs w:val="1"/>
          <w:color w:val="auto"/>
        </w:rPr>
        <w:t xml:space="preserve"> </w:t>
      </w:r>
      <w:r>
        <w:rPr>
          <w:rFonts w:ascii="Arial" w:cs="Arial" w:eastAsia="Arial" w:hAnsi="Arial"/>
          <w:sz w:val="14"/>
          <w:szCs w:val="14"/>
          <w:color w:val="auto"/>
        </w:rPr>
        <w:t>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44" w:lineRule="exact"/>
        <w:rPr>
          <w:rFonts w:ascii="Arial" w:cs="Arial" w:eastAsia="Arial" w:hAnsi="Arial"/>
          <w:sz w:val="14"/>
          <w:szCs w:val="14"/>
          <w:color w:val="auto"/>
        </w:rPr>
      </w:pPr>
    </w:p>
    <w:p>
      <w:pPr>
        <w:jc w:val="both"/>
        <w:ind w:left="360" w:hanging="260"/>
        <w:spacing w:after="0" w:line="273" w:lineRule="auto"/>
        <w:tabs>
          <w:tab w:leader="none" w:pos="355"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Notices</w:t>
      </w:r>
      <w:r>
        <w:rPr>
          <w:rFonts w:ascii="Arial" w:cs="Arial" w:eastAsia="Arial" w:hAnsi="Arial"/>
          <w:sz w:val="14"/>
          <w:szCs w:val="14"/>
          <w:color w:val="auto"/>
        </w:rPr>
        <w:t>. All notices, requests and demands to or upon a party hereto shall be in writing and shall be deemed to have been duly given when delivered by hand or three days</w:t>
      </w:r>
      <w:r>
        <w:rPr>
          <w:rFonts w:ascii="Arial" w:cs="Arial" w:eastAsia="Arial" w:hAnsi="Arial"/>
          <w:sz w:val="14"/>
          <w:szCs w:val="14"/>
          <w:b w:val="1"/>
          <w:bCs w:val="1"/>
          <w:color w:val="auto"/>
        </w:rPr>
        <w:t xml:space="preserve"> </w:t>
      </w:r>
      <w:r>
        <w:rPr>
          <w:rFonts w:ascii="Arial" w:cs="Arial" w:eastAsia="Arial" w:hAnsi="Arial"/>
          <w:sz w:val="14"/>
          <w:szCs w:val="14"/>
          <w:color w:val="auto"/>
        </w:rPr>
        <w:t>after being deposited in the mail, postage prepaid or, in the case of facsimile notice, when received, addressed as follows or to such other address as either party may have furnished to the other in writing in accordance herewith, except that notices of change of address shall be effective only upon receipt.</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If to the Company, to the following address:</w:t>
      </w:r>
    </w:p>
    <w:p>
      <w:pPr>
        <w:spacing w:after="0" w:line="9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Attn: Secretary</w:t>
      </w:r>
    </w:p>
    <w:p>
      <w:pPr>
        <w:spacing w:after="0" w:line="9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Capital Bancorp, Inc.</w:t>
      </w:r>
    </w:p>
    <w:p>
      <w:pPr>
        <w:spacing w:after="0" w:line="9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One Church Street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 20850</w:t>
      </w:r>
    </w:p>
    <w:p>
      <w:pPr>
        <w:spacing w:after="0" w:line="3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If to the Participant, to the address or facsimile number as shown on the signature page hereto.</w:t>
      </w:r>
    </w:p>
    <w:p>
      <w:pPr>
        <w:spacing w:after="0" w:line="76" w:lineRule="exact"/>
        <w:rPr>
          <w:sz w:val="20"/>
          <w:szCs w:val="20"/>
          <w:color w:val="auto"/>
        </w:rPr>
      </w:pPr>
    </w:p>
    <w:p>
      <w:pPr>
        <w:ind w:left="360" w:right="80" w:hanging="260"/>
        <w:spacing w:after="0" w:line="293" w:lineRule="auto"/>
        <w:tabs>
          <w:tab w:leader="none" w:pos="355"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Governing Law</w:t>
      </w:r>
      <w:r>
        <w:rPr>
          <w:rFonts w:ascii="Arial" w:cs="Arial" w:eastAsia="Arial" w:hAnsi="Arial"/>
          <w:sz w:val="14"/>
          <w:szCs w:val="14"/>
          <w:color w:val="auto"/>
        </w:rPr>
        <w:t>. This Agreement shall be construed and interpreted in accordance with and governed by the laws of the State of Maryland (without regard to choice of law</w:t>
      </w:r>
      <w:r>
        <w:rPr>
          <w:rFonts w:ascii="Arial" w:cs="Arial" w:eastAsia="Arial" w:hAnsi="Arial"/>
          <w:sz w:val="14"/>
          <w:szCs w:val="14"/>
          <w:b w:val="1"/>
          <w:bCs w:val="1"/>
          <w:color w:val="auto"/>
        </w:rPr>
        <w:t xml:space="preserve"> </w:t>
      </w:r>
      <w:r>
        <w:rPr>
          <w:rFonts w:ascii="Arial" w:cs="Arial" w:eastAsia="Arial" w:hAnsi="Arial"/>
          <w:sz w:val="14"/>
          <w:szCs w:val="14"/>
          <w:color w:val="auto"/>
        </w:rPr>
        <w:t>provisions).</w:t>
      </w:r>
    </w:p>
    <w:p>
      <w:pPr>
        <w:spacing w:after="0" w:line="31" w:lineRule="exact"/>
        <w:rPr>
          <w:rFonts w:ascii="Arial" w:cs="Arial" w:eastAsia="Arial" w:hAnsi="Arial"/>
          <w:sz w:val="14"/>
          <w:szCs w:val="14"/>
          <w:color w:val="auto"/>
        </w:rPr>
      </w:pPr>
    </w:p>
    <w:p>
      <w:pPr>
        <w:ind w:left="360" w:right="280" w:hanging="260"/>
        <w:spacing w:after="0" w:line="293" w:lineRule="auto"/>
        <w:tabs>
          <w:tab w:leader="none" w:pos="355"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and the Plan constitute the entire agreement among the parties hereto with respect to the subject matter hereof and supersedes all</w:t>
      </w:r>
      <w:r>
        <w:rPr>
          <w:rFonts w:ascii="Arial" w:cs="Arial" w:eastAsia="Arial" w:hAnsi="Arial"/>
          <w:sz w:val="14"/>
          <w:szCs w:val="14"/>
          <w:b w:val="1"/>
          <w:bCs w:val="1"/>
          <w:color w:val="auto"/>
        </w:rPr>
        <w:t xml:space="preserve"> </w:t>
      </w:r>
      <w:r>
        <w:rPr>
          <w:rFonts w:ascii="Arial" w:cs="Arial" w:eastAsia="Arial" w:hAnsi="Arial"/>
          <w:sz w:val="14"/>
          <w:szCs w:val="14"/>
          <w:color w:val="auto"/>
        </w:rPr>
        <w:t>prior agreements, understandings and arrangements, both oral and written, between the parties hereto with respect to such subject matter.</w:t>
      </w:r>
    </w:p>
    <w:p>
      <w:pPr>
        <w:spacing w:after="0" w:line="31" w:lineRule="exact"/>
        <w:rPr>
          <w:rFonts w:ascii="Arial" w:cs="Arial" w:eastAsia="Arial" w:hAnsi="Arial"/>
          <w:sz w:val="14"/>
          <w:szCs w:val="14"/>
          <w:color w:val="auto"/>
        </w:rPr>
      </w:pPr>
    </w:p>
    <w:p>
      <w:pPr>
        <w:ind w:left="360" w:hanging="260"/>
        <w:spacing w:after="0" w:line="293" w:lineRule="auto"/>
        <w:tabs>
          <w:tab w:leader="none" w:pos="355"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Amendment</w:t>
      </w:r>
      <w:r>
        <w:rPr>
          <w:rFonts w:ascii="Arial" w:cs="Arial" w:eastAsia="Arial" w:hAnsi="Arial"/>
          <w:sz w:val="14"/>
          <w:szCs w:val="14"/>
          <w:color w:val="auto"/>
        </w:rPr>
        <w:t>. In accordance with Article III of the Plan, this Agreement may not be amended or modified in any way that adversely affects the Participant unless by a written</w:t>
      </w:r>
      <w:r>
        <w:rPr>
          <w:rFonts w:ascii="Arial" w:cs="Arial" w:eastAsia="Arial" w:hAnsi="Arial"/>
          <w:sz w:val="14"/>
          <w:szCs w:val="14"/>
          <w:b w:val="1"/>
          <w:bCs w:val="1"/>
          <w:color w:val="auto"/>
        </w:rPr>
        <w:t xml:space="preserve"> </w:t>
      </w:r>
      <w:r>
        <w:rPr>
          <w:rFonts w:ascii="Arial" w:cs="Arial" w:eastAsia="Arial" w:hAnsi="Arial"/>
          <w:sz w:val="14"/>
          <w:szCs w:val="14"/>
          <w:color w:val="auto"/>
        </w:rPr>
        <w:t>instrument that specifically states that it is amending this Agreement, executed by each of the parties hereto.</w:t>
      </w:r>
    </w:p>
    <w:p>
      <w:pPr>
        <w:spacing w:after="0" w:line="31" w:lineRule="exact"/>
        <w:rPr>
          <w:rFonts w:ascii="Arial" w:cs="Arial" w:eastAsia="Arial" w:hAnsi="Arial"/>
          <w:sz w:val="14"/>
          <w:szCs w:val="14"/>
          <w:color w:val="auto"/>
        </w:rPr>
      </w:pPr>
    </w:p>
    <w:p>
      <w:pPr>
        <w:ind w:left="360" w:right="20" w:hanging="260"/>
        <w:spacing w:after="0" w:line="293" w:lineRule="auto"/>
        <w:tabs>
          <w:tab w:leader="none" w:pos="355"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Benefits; Binding Effect</w:t>
      </w:r>
      <w:r>
        <w:rPr>
          <w:rFonts w:ascii="Arial" w:cs="Arial" w:eastAsia="Arial" w:hAnsi="Arial"/>
          <w:sz w:val="14"/>
          <w:szCs w:val="14"/>
          <w:color w:val="auto"/>
        </w:rPr>
        <w:t>. This Agreement shall ensure to the benefit of and shall be binding upon the parties hereto and their respective heirs, representatives, successors</w:t>
      </w:r>
      <w:r>
        <w:rPr>
          <w:rFonts w:ascii="Arial" w:cs="Arial" w:eastAsia="Arial" w:hAnsi="Arial"/>
          <w:sz w:val="14"/>
          <w:szCs w:val="14"/>
          <w:b w:val="1"/>
          <w:bCs w:val="1"/>
          <w:color w:val="auto"/>
        </w:rPr>
        <w:t xml:space="preserve"> </w:t>
      </w:r>
      <w:r>
        <w:rPr>
          <w:rFonts w:ascii="Arial" w:cs="Arial" w:eastAsia="Arial" w:hAnsi="Arial"/>
          <w:sz w:val="14"/>
          <w:szCs w:val="14"/>
          <w:color w:val="auto"/>
        </w:rPr>
        <w:t>and assigns.</w:t>
      </w:r>
    </w:p>
    <w:p>
      <w:pPr>
        <w:spacing w:after="0" w:line="31" w:lineRule="exact"/>
        <w:rPr>
          <w:rFonts w:ascii="Arial" w:cs="Arial" w:eastAsia="Arial" w:hAnsi="Arial"/>
          <w:sz w:val="14"/>
          <w:szCs w:val="14"/>
          <w:color w:val="auto"/>
        </w:rPr>
      </w:pPr>
    </w:p>
    <w:p>
      <w:pPr>
        <w:ind w:left="340" w:hanging="240"/>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Section Headings</w:t>
      </w:r>
      <w:r>
        <w:rPr>
          <w:rFonts w:ascii="Arial" w:cs="Arial" w:eastAsia="Arial" w:hAnsi="Arial"/>
          <w:sz w:val="14"/>
          <w:szCs w:val="14"/>
          <w:color w:val="auto"/>
        </w:rPr>
        <w:t>. The section headings contained in this Agreement are for reference purposes only and shall not in any way affect the meaning or interpretation hereof.</w:t>
      </w:r>
    </w:p>
    <w:p>
      <w:pPr>
        <w:spacing w:after="0" w:line="93" w:lineRule="exact"/>
        <w:rPr>
          <w:rFonts w:ascii="Arial" w:cs="Arial" w:eastAsia="Arial" w:hAnsi="Arial"/>
          <w:sz w:val="14"/>
          <w:szCs w:val="14"/>
          <w:color w:val="auto"/>
        </w:rPr>
      </w:pPr>
    </w:p>
    <w:p>
      <w:pPr>
        <w:ind w:left="360" w:right="20" w:hanging="260"/>
        <w:spacing w:after="0" w:line="293" w:lineRule="auto"/>
        <w:tabs>
          <w:tab w:leader="none" w:pos="355"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Counterparts</w:t>
      </w:r>
      <w:r>
        <w:rPr>
          <w:rFonts w:ascii="Arial" w:cs="Arial" w:eastAsia="Arial" w:hAnsi="Arial"/>
          <w:sz w:val="14"/>
          <w:szCs w:val="14"/>
          <w:color w:val="auto"/>
        </w:rPr>
        <w:t>. This Agreement may be executed in any number of counterparts and by the parties hereto in separate counterparts, each of which shall be deemed to be an</w:t>
      </w:r>
      <w:r>
        <w:rPr>
          <w:rFonts w:ascii="Arial" w:cs="Arial" w:eastAsia="Arial" w:hAnsi="Arial"/>
          <w:sz w:val="14"/>
          <w:szCs w:val="14"/>
          <w:b w:val="1"/>
          <w:bCs w:val="1"/>
          <w:color w:val="auto"/>
        </w:rPr>
        <w:t xml:space="preserve"> </w:t>
      </w:r>
      <w:r>
        <w:rPr>
          <w:rFonts w:ascii="Arial" w:cs="Arial" w:eastAsia="Arial" w:hAnsi="Arial"/>
          <w:sz w:val="14"/>
          <w:szCs w:val="14"/>
          <w:color w:val="auto"/>
        </w:rPr>
        <w:t>original and all of which shall be deemed to be one and the same instrument.</w:t>
      </w:r>
    </w:p>
    <w:p>
      <w:pPr>
        <w:spacing w:after="0" w:line="31" w:lineRule="exact"/>
        <w:rPr>
          <w:rFonts w:ascii="Arial" w:cs="Arial" w:eastAsia="Arial" w:hAnsi="Arial"/>
          <w:sz w:val="14"/>
          <w:szCs w:val="14"/>
          <w:color w:val="auto"/>
        </w:rPr>
      </w:pPr>
    </w:p>
    <w:p>
      <w:pPr>
        <w:ind w:left="360" w:right="480" w:hanging="260"/>
        <w:spacing w:after="0" w:line="273" w:lineRule="auto"/>
        <w:tabs>
          <w:tab w:leader="none" w:pos="355"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Clawback</w:t>
      </w:r>
      <w:r>
        <w:rPr>
          <w:rFonts w:ascii="Arial" w:cs="Arial" w:eastAsia="Arial" w:hAnsi="Arial"/>
          <w:sz w:val="14"/>
          <w:szCs w:val="14"/>
          <w:color w:val="auto"/>
        </w:rPr>
        <w:t>. By accepting this Option, the Participant agrees to be bound by the clawback provisions as set forth in Section 15.3 of the Plan, as in effect or as may be</w:t>
      </w:r>
      <w:r>
        <w:rPr>
          <w:rFonts w:ascii="Arial" w:cs="Arial" w:eastAsia="Arial" w:hAnsi="Arial"/>
          <w:sz w:val="14"/>
          <w:szCs w:val="14"/>
          <w:b w:val="1"/>
          <w:bCs w:val="1"/>
          <w:color w:val="auto"/>
        </w:rPr>
        <w:t xml:space="preserve"> </w:t>
      </w:r>
      <w:r>
        <w:rPr>
          <w:rFonts w:ascii="Arial" w:cs="Arial" w:eastAsia="Arial" w:hAnsi="Arial"/>
          <w:sz w:val="14"/>
          <w:szCs w:val="14"/>
          <w:color w:val="auto"/>
        </w:rPr>
        <w:t>adopted and/or modified from time to time by the Company in its discretion (including, without limitation, to comply with applicable law or stock exchange listing requirements).</w:t>
      </w:r>
    </w:p>
    <w:p>
      <w:pPr>
        <w:spacing w:after="0" w:line="325" w:lineRule="exact"/>
        <w:rPr>
          <w:sz w:val="20"/>
          <w:szCs w:val="20"/>
          <w:color w:val="auto"/>
        </w:rPr>
      </w:pPr>
    </w:p>
    <w:p>
      <w:pPr>
        <w:jc w:val="center"/>
        <w:ind w:right="140"/>
        <w:spacing w:after="0"/>
        <w:rPr>
          <w:sz w:val="20"/>
          <w:szCs w:val="20"/>
          <w:color w:val="auto"/>
        </w:rPr>
      </w:pPr>
      <w:r>
        <w:rPr>
          <w:rFonts w:ascii="Arial" w:cs="Arial" w:eastAsia="Arial" w:hAnsi="Arial"/>
          <w:sz w:val="14"/>
          <w:szCs w:val="14"/>
          <w:i w:val="1"/>
          <w:iCs w:val="1"/>
          <w:color w:val="auto"/>
        </w:rPr>
        <w:t>Signature page follows.</w:t>
      </w:r>
    </w:p>
    <w:p>
      <w:pPr>
        <w:sectPr>
          <w:pgSz w:w="11900" w:h="16838" w:orient="portrait"/>
          <w:cols w:equalWidth="0" w:num="1">
            <w:col w:w="11100"/>
          </w:cols>
          <w:pgMar w:left="460" w:top="1157"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color w:val="auto"/>
        </w:rPr>
        <w:t>IN WITNESS HEREOF, the parties have executed and delivered this Agreement as of the date first above written.</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Capital Bancorp, Inc.</w:t>
      </w:r>
    </w:p>
    <w:p>
      <w:pPr>
        <w:spacing w:after="0" w:line="36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By:</w:t>
      </w:r>
    </w:p>
    <w:p>
      <w:pPr>
        <w:spacing w:after="0" w:line="94" w:lineRule="exact"/>
        <w:rPr>
          <w:sz w:val="20"/>
          <w:szCs w:val="20"/>
          <w:color w:val="auto"/>
        </w:rPr>
      </w:pPr>
    </w:p>
    <w:p>
      <w:pPr>
        <w:ind w:left="3560"/>
        <w:spacing w:after="0"/>
        <w:rPr>
          <w:sz w:val="20"/>
          <w:szCs w:val="20"/>
          <w:color w:val="auto"/>
        </w:rPr>
      </w:pPr>
      <w:r>
        <w:rPr>
          <w:rFonts w:ascii="Arial" w:cs="Arial" w:eastAsia="Arial" w:hAnsi="Arial"/>
          <w:sz w:val="14"/>
          <w:szCs w:val="14"/>
          <w:color w:val="auto"/>
        </w:rPr>
        <w:t>Edward Barry, CEO</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Attested by:</w:t>
      </w:r>
    </w:p>
    <w:p>
      <w:pPr>
        <w:spacing w:after="0" w:line="36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PARTICIPANT</w:t>
      </w:r>
    </w:p>
    <w:p>
      <w:pPr>
        <w:spacing w:after="0" w:line="36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By:</w:t>
      </w:r>
    </w:p>
    <w:p>
      <w:pPr>
        <w:spacing w:after="0" w:line="94" w:lineRule="exact"/>
        <w:rPr>
          <w:sz w:val="20"/>
          <w:szCs w:val="20"/>
          <w:color w:val="auto"/>
        </w:rPr>
      </w:pPr>
    </w:p>
    <w:p>
      <w:pPr>
        <w:ind w:left="3560"/>
        <w:spacing w:after="0"/>
        <w:rPr>
          <w:sz w:val="20"/>
          <w:szCs w:val="20"/>
          <w:color w:val="auto"/>
        </w:rPr>
      </w:pPr>
      <w:r>
        <w:rPr>
          <w:rFonts w:ascii="Arial" w:cs="Arial" w:eastAsia="Arial" w:hAnsi="Arial"/>
          <w:sz w:val="14"/>
          <w:szCs w:val="14"/>
          <w:color w:val="auto"/>
        </w:rPr>
        <w:t>[INSERT PARTICIPANT NAME]</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Address:</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___________________________________</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___________________________________</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Phone Number:</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Facsimile:</w:t>
      </w:r>
    </w:p>
    <w:p>
      <w:pPr>
        <w:sectPr>
          <w:pgSz w:w="11900" w:h="16838" w:orient="portrait"/>
          <w:cols w:equalWidth="0" w:num="1">
            <w:col w:w="10159"/>
          </w:cols>
          <w:pgMar w:left="300" w:top="1433"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 BANCORP, INC.</w:t>
      </w:r>
    </w:p>
    <w:p>
      <w:pPr>
        <w:jc w:val="center"/>
        <w:spacing w:after="0"/>
        <w:rPr>
          <w:sz w:val="20"/>
          <w:szCs w:val="20"/>
          <w:color w:val="auto"/>
        </w:rPr>
      </w:pPr>
      <w:r>
        <w:rPr>
          <w:rFonts w:ascii="Arial" w:cs="Arial" w:eastAsia="Arial" w:hAnsi="Arial"/>
          <w:sz w:val="14"/>
          <w:szCs w:val="14"/>
          <w:b w:val="1"/>
          <w:bCs w:val="1"/>
          <w:color w:val="auto"/>
        </w:rPr>
        <w:t>2017 STOCK AND INCENTIVE COMPENSATION PLAN RESTRICTED STOCK UNIT AWARD AGREEMENT</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This RESTRICTED STOCK UNIT AWARD AGREEMENT (“Agreement”) is made and entered into as of this ___ day of ______________, 2018 (the “Grant Date”), between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Capital Bancorp, Inc., a Maryland corporation (“the Company”) and __________ (“Participant”).</w:t>
      </w:r>
    </w:p>
    <w:p>
      <w:pPr>
        <w:spacing w:after="0" w:line="94"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WHEREAS the Company desires to grant the Participant certain Restricted Stock Units pursuant to the Capital Bancorp, Inc. 2017 Stock and Incentive Compensation Plan, as approved by the stockholders on August 3, 2017, effective as of August 29, 2017 (the “Plan”) a copy of which has been furnished to the Participant and the terms of which are incorporated herein by reference. Unless otherwise indicated, whenever capitalized terms are used in this Agreement, they shall have the meanings set forth in the Plan.</w:t>
      </w:r>
    </w:p>
    <w:p>
      <w:pPr>
        <w:spacing w:after="0" w:line="7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WHEREAS the parties enter into this Agreement to evidence the grant of such Restricted Stock Units (also referred to as “RSUs”) and set forth the terms and conditions governing their exercise.</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NOW, THEREFORE, the parties agree as follows:</w:t>
      </w:r>
    </w:p>
    <w:p>
      <w:pPr>
        <w:spacing w:after="0" w:line="76" w:lineRule="exact"/>
        <w:rPr>
          <w:sz w:val="20"/>
          <w:szCs w:val="20"/>
          <w:color w:val="auto"/>
        </w:rPr>
      </w:pPr>
    </w:p>
    <w:p>
      <w:pPr>
        <w:jc w:val="both"/>
        <w:ind w:left="520" w:hanging="260"/>
        <w:spacing w:after="0" w:line="266" w:lineRule="auto"/>
        <w:tabs>
          <w:tab w:leader="none" w:pos="511" w:val="left"/>
        </w:tabs>
        <w:numPr>
          <w:ilvl w:val="0"/>
          <w:numId w:val="30"/>
        </w:numPr>
        <w:rPr>
          <w:rFonts w:ascii="Arial" w:cs="Arial" w:eastAsia="Arial" w:hAnsi="Arial"/>
          <w:sz w:val="14"/>
          <w:szCs w:val="14"/>
          <w:color w:val="auto"/>
        </w:rPr>
      </w:pPr>
      <w:r>
        <w:rPr>
          <w:rFonts w:ascii="Arial" w:cs="Arial" w:eastAsia="Arial" w:hAnsi="Arial"/>
          <w:sz w:val="14"/>
          <w:szCs w:val="14"/>
          <w:b w:val="1"/>
          <w:bCs w:val="1"/>
          <w:u w:val="single" w:color="auto"/>
          <w:color w:val="auto"/>
        </w:rPr>
        <w:t>Incorporation By Reference; Plan Document Receipt</w:t>
      </w:r>
      <w:r>
        <w:rPr>
          <w:rFonts w:ascii="Arial" w:cs="Arial" w:eastAsia="Arial" w:hAnsi="Arial"/>
          <w:sz w:val="14"/>
          <w:szCs w:val="14"/>
          <w:color w:val="auto"/>
        </w:rPr>
        <w:t>. This Agreement is subject in all respects to the terms and provisions of the Plan (including, without limitation, any</w:t>
      </w:r>
      <w:r>
        <w:rPr>
          <w:rFonts w:ascii="Arial" w:cs="Arial" w:eastAsia="Arial" w:hAnsi="Arial"/>
          <w:sz w:val="14"/>
          <w:szCs w:val="14"/>
          <w:b w:val="1"/>
          <w:bCs w:val="1"/>
          <w:color w:val="auto"/>
        </w:rPr>
        <w:t xml:space="preserve"> </w:t>
      </w:r>
      <w:r>
        <w:rPr>
          <w:rFonts w:ascii="Arial" w:cs="Arial" w:eastAsia="Arial" w:hAnsi="Arial"/>
          <w:sz w:val="14"/>
          <w:szCs w:val="14"/>
          <w:color w:val="auto"/>
        </w:rPr>
        <w:t>amendments thereto adopted at any time and from time to time unless such amendments are expressly intended not to apply to the grant of the RSUs hereunder), all of which terms and provisions are made a part of and incorporated in this Agreement as if they were each expressly set forth herein, subject to applicable securities laws. In the event of any conflict between the terms of this Agreement and the terms of the Plan, the terms of the Plan shall control.</w:t>
      </w:r>
    </w:p>
    <w:p>
      <w:pPr>
        <w:spacing w:after="0" w:line="50" w:lineRule="exact"/>
        <w:rPr>
          <w:rFonts w:ascii="Arial" w:cs="Arial" w:eastAsia="Arial" w:hAnsi="Arial"/>
          <w:sz w:val="14"/>
          <w:szCs w:val="14"/>
          <w:color w:val="auto"/>
        </w:rPr>
      </w:pPr>
    </w:p>
    <w:p>
      <w:pPr>
        <w:jc w:val="both"/>
        <w:ind w:left="520" w:hanging="260"/>
        <w:spacing w:after="0" w:line="266" w:lineRule="auto"/>
        <w:tabs>
          <w:tab w:leader="none" w:pos="511" w:val="left"/>
        </w:tabs>
        <w:numPr>
          <w:ilvl w:val="0"/>
          <w:numId w:val="30"/>
        </w:numPr>
        <w:rPr>
          <w:rFonts w:ascii="Arial" w:cs="Arial" w:eastAsia="Arial" w:hAnsi="Arial"/>
          <w:sz w:val="14"/>
          <w:szCs w:val="14"/>
          <w:color w:val="auto"/>
        </w:rPr>
      </w:pPr>
      <w:r>
        <w:rPr>
          <w:rFonts w:ascii="Arial" w:cs="Arial" w:eastAsia="Arial" w:hAnsi="Arial"/>
          <w:sz w:val="14"/>
          <w:szCs w:val="14"/>
          <w:b w:val="1"/>
          <w:bCs w:val="1"/>
          <w:u w:val="single" w:color="auto"/>
          <w:color w:val="auto"/>
        </w:rPr>
        <w:t>Grant of Restricted Stock Unit Award</w:t>
      </w:r>
      <w:r>
        <w:rPr>
          <w:rFonts w:ascii="Arial" w:cs="Arial" w:eastAsia="Arial" w:hAnsi="Arial"/>
          <w:sz w:val="14"/>
          <w:szCs w:val="14"/>
          <w:color w:val="auto"/>
        </w:rPr>
        <w:t>. The Company hereby grants to the Participant, as of the Grant Date specified above, the number of RSUs specified above. Except</w:t>
      </w:r>
      <w:r>
        <w:rPr>
          <w:rFonts w:ascii="Arial" w:cs="Arial" w:eastAsia="Arial" w:hAnsi="Arial"/>
          <w:sz w:val="14"/>
          <w:szCs w:val="14"/>
          <w:b w:val="1"/>
          <w:bCs w:val="1"/>
          <w:color w:val="auto"/>
        </w:rPr>
        <w:t xml:space="preserve"> </w:t>
      </w:r>
      <w:r>
        <w:rPr>
          <w:rFonts w:ascii="Arial" w:cs="Arial" w:eastAsia="Arial" w:hAnsi="Arial"/>
          <w:sz w:val="14"/>
          <w:szCs w:val="14"/>
          <w:color w:val="auto"/>
        </w:rPr>
        <w:t>as otherwise provided by the Plan, the Participant agrees and understands that nothing contained in this Agreement provides, or is intended to provide, the Participant with any protection against potential future dilution of the Participant’s interest in the Company for any reason. The Participant shall not have the rights of a stockholder in respect of the Shares underlying this Award until such Shares, if any, are delivered to the Participant in accordance with Section 4.</w:t>
      </w:r>
    </w:p>
    <w:p>
      <w:pPr>
        <w:spacing w:after="0" w:line="50" w:lineRule="exact"/>
        <w:rPr>
          <w:rFonts w:ascii="Arial" w:cs="Arial" w:eastAsia="Arial" w:hAnsi="Arial"/>
          <w:sz w:val="14"/>
          <w:szCs w:val="14"/>
          <w:color w:val="auto"/>
        </w:rPr>
      </w:pPr>
    </w:p>
    <w:p>
      <w:pPr>
        <w:jc w:val="both"/>
        <w:ind w:left="520" w:hanging="260"/>
        <w:spacing w:after="0" w:line="263" w:lineRule="auto"/>
        <w:tabs>
          <w:tab w:leader="none" w:pos="511" w:val="left"/>
        </w:tabs>
        <w:numPr>
          <w:ilvl w:val="0"/>
          <w:numId w:val="30"/>
        </w:numPr>
        <w:rPr>
          <w:rFonts w:ascii="Arial" w:cs="Arial" w:eastAsia="Arial" w:hAnsi="Arial"/>
          <w:sz w:val="14"/>
          <w:szCs w:val="14"/>
          <w:color w:val="auto"/>
        </w:rPr>
      </w:pPr>
      <w:r>
        <w:rPr>
          <w:rFonts w:ascii="Arial" w:cs="Arial" w:eastAsia="Arial" w:hAnsi="Arial"/>
          <w:sz w:val="14"/>
          <w:szCs w:val="14"/>
          <w:b w:val="1"/>
          <w:bCs w:val="1"/>
          <w:u w:val="single" w:color="auto"/>
          <w:color w:val="auto"/>
        </w:rPr>
        <w:t>Vesting</w:t>
      </w:r>
      <w:r>
        <w:rPr>
          <w:rFonts w:ascii="Arial" w:cs="Arial" w:eastAsia="Arial" w:hAnsi="Arial"/>
          <w:sz w:val="14"/>
          <w:szCs w:val="14"/>
          <w:color w:val="auto"/>
        </w:rPr>
        <w:t>. Except as otherwise provided in this Section 3 and subject to any accelerated vesting permitted under Article X of the Plan, RSUs subject to this grant shall vest as</w:t>
      </w:r>
      <w:r>
        <w:rPr>
          <w:rFonts w:ascii="Arial" w:cs="Arial" w:eastAsia="Arial" w:hAnsi="Arial"/>
          <w:sz w:val="14"/>
          <w:szCs w:val="14"/>
          <w:b w:val="1"/>
          <w:bCs w:val="1"/>
          <w:color w:val="auto"/>
        </w:rPr>
        <w:t xml:space="preserve"> </w:t>
      </w:r>
      <w:r>
        <w:rPr>
          <w:rFonts w:ascii="Arial" w:cs="Arial" w:eastAsia="Arial" w:hAnsi="Arial"/>
          <w:sz w:val="14"/>
          <w:szCs w:val="14"/>
          <w:color w:val="auto"/>
        </w:rPr>
        <w:t>set forth below, provided that the Participant is then actively employed by the Company and/or one of its Subsidiaries or Affiliates on each such vesting date. All unvested RSUs that are held by a Participant shall immediately be forfeited upon the last day on which the Participant is actively employed, not including any period during which the Participant is in receipt of non-working notice, pay in lieu of notice, severance pay or any other monies in relation to the cessation of the Participant’s employment (the “Termination”).</w:t>
      </w:r>
    </w:p>
    <w:p>
      <w:pPr>
        <w:spacing w:after="0" w:line="347" w:lineRule="exact"/>
        <w:rPr>
          <w:sz w:val="20"/>
          <w:szCs w:val="20"/>
          <w:color w:val="auto"/>
        </w:rPr>
      </w:pPr>
    </w:p>
    <w:tbl>
      <w:tblPr>
        <w:tblLayout w:type="fixed"/>
        <w:tblInd w:w="530" w:type="dxa"/>
        <w:tblCellMar>
          <w:top w:w="0" w:type="dxa"/>
          <w:left w:w="0" w:type="dxa"/>
          <w:bottom w:w="0" w:type="dxa"/>
          <w:right w:w="0" w:type="dxa"/>
        </w:tblCellMar>
      </w:tblPr>
      <w:tr>
        <w:trPr>
          <w:trHeight w:val="191"/>
        </w:trPr>
        <w:tc>
          <w:tcPr>
            <w:tcW w:w="50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First anniversary of the Grant Date</w:t>
            </w:r>
          </w:p>
        </w:tc>
        <w:tc>
          <w:tcPr>
            <w:tcW w:w="26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25%</w:t>
            </w:r>
          </w:p>
        </w:tc>
      </w:tr>
      <w:tr>
        <w:trPr>
          <w:trHeight w:val="171"/>
        </w:trPr>
        <w:tc>
          <w:tcPr>
            <w:tcW w:w="5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Second anniversary of the Grant Date</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50%</w:t>
            </w:r>
          </w:p>
        </w:tc>
      </w:tr>
      <w:tr>
        <w:trPr>
          <w:trHeight w:val="171"/>
        </w:trPr>
        <w:tc>
          <w:tcPr>
            <w:tcW w:w="5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Third anniversary of the Grant Date</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75%</w:t>
            </w:r>
          </w:p>
        </w:tc>
      </w:tr>
      <w:tr>
        <w:trPr>
          <w:trHeight w:val="171"/>
        </w:trPr>
        <w:tc>
          <w:tcPr>
            <w:tcW w:w="5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Fourth anniversary of the Grant Date</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100%</w:t>
            </w:r>
          </w:p>
        </w:tc>
      </w:tr>
    </w:tbl>
    <w:p>
      <w:pPr>
        <w:sectPr>
          <w:pgSz w:w="11900" w:h="16838" w:orient="portrait"/>
          <w:cols w:equalWidth="0" w:num="1">
            <w:col w:w="11280"/>
          </w:cols>
          <w:pgMar w:left="300" w:top="121" w:right="319" w:bottom="1440" w:gutter="0" w:footer="0" w:header="0"/>
        </w:sectPr>
      </w:pPr>
    </w:p>
    <w:bookmarkStart w:id="117" w:name="page118"/>
    <w:bookmarkEnd w:id="117"/>
    <w:p>
      <w:pPr>
        <w:ind w:left="240" w:hanging="240"/>
        <w:spacing w:after="0"/>
        <w:tabs>
          <w:tab w:leader="none" w:pos="240" w:val="left"/>
        </w:tabs>
        <w:numPr>
          <w:ilvl w:val="0"/>
          <w:numId w:val="31"/>
        </w:numPr>
        <w:rPr>
          <w:rFonts w:ascii="Arial" w:cs="Arial" w:eastAsia="Arial" w:hAnsi="Arial"/>
          <w:sz w:val="14"/>
          <w:szCs w:val="14"/>
          <w:color w:val="auto"/>
        </w:rPr>
      </w:pPr>
      <w:r>
        <w:rPr>
          <w:rFonts w:ascii="Arial" w:cs="Arial" w:eastAsia="Arial" w:hAnsi="Arial"/>
          <w:sz w:val="14"/>
          <w:szCs w:val="14"/>
          <w:b w:val="1"/>
          <w:bCs w:val="1"/>
          <w:u w:val="single" w:color="auto"/>
          <w:color w:val="auto"/>
        </w:rPr>
        <w:t>Settlement of RSUs</w:t>
      </w:r>
      <w:r>
        <w:rPr>
          <w:rFonts w:ascii="Arial" w:cs="Arial" w:eastAsia="Arial" w:hAnsi="Arial"/>
          <w:sz w:val="14"/>
          <w:szCs w:val="14"/>
          <w:color w:val="auto"/>
        </w:rPr>
        <w:t>.</w:t>
      </w:r>
    </w:p>
    <w:p>
      <w:pPr>
        <w:spacing w:after="0" w:line="111" w:lineRule="exact"/>
        <w:rPr>
          <w:rFonts w:ascii="Arial" w:cs="Arial" w:eastAsia="Arial" w:hAnsi="Arial"/>
          <w:sz w:val="14"/>
          <w:szCs w:val="14"/>
          <w:color w:val="auto"/>
        </w:rPr>
      </w:pPr>
    </w:p>
    <w:p>
      <w:pPr>
        <w:jc w:val="both"/>
        <w:ind w:left="760" w:hanging="251"/>
        <w:spacing w:after="0" w:line="255" w:lineRule="auto"/>
        <w:tabs>
          <w:tab w:leader="none" w:pos="751" w:val="left"/>
        </w:tabs>
        <w:numPr>
          <w:ilvl w:val="1"/>
          <w:numId w:val="31"/>
        </w:numPr>
        <w:rPr>
          <w:rFonts w:ascii="Arial" w:cs="Arial" w:eastAsia="Arial" w:hAnsi="Arial"/>
          <w:sz w:val="14"/>
          <w:szCs w:val="14"/>
          <w:color w:val="auto"/>
        </w:rPr>
      </w:pPr>
      <w:r>
        <w:rPr>
          <w:rFonts w:ascii="Arial" w:cs="Arial" w:eastAsia="Arial" w:hAnsi="Arial"/>
          <w:sz w:val="14"/>
          <w:szCs w:val="14"/>
          <w:color w:val="auto"/>
        </w:rPr>
        <w:t>At the time of Grant, the Committee may permit the Participant to defer the settlement of the RSUs by offering such Participant a deferral election form. Unless the Participant timely and properly elects to defer the settlement of his or her RSUs and designates a deferred settlement date in compliance with Section 409A of the Code and such other rules and procedures as the Board deems advisable, the Company shall fully settle a Participant’s vested RSUs within thirty (30) days following the date any portion of the Award of RSUs become vested. If a Participant timely and properly elects to defer the settlement of his or her RSUs, the Company shall settle the RSUS within thirty (30) days of the earliest of: (i) the deferred settlement date designated by the Participant; (ii) the date of the Participant’s death; or (iii) the date of a Change in Control.</w:t>
      </w:r>
    </w:p>
    <w:p>
      <w:pPr>
        <w:spacing w:after="0" w:line="77" w:lineRule="exact"/>
        <w:rPr>
          <w:rFonts w:ascii="Arial" w:cs="Arial" w:eastAsia="Arial" w:hAnsi="Arial"/>
          <w:sz w:val="14"/>
          <w:szCs w:val="14"/>
          <w:color w:val="auto"/>
        </w:rPr>
      </w:pPr>
    </w:p>
    <w:p>
      <w:pPr>
        <w:ind w:left="760" w:hanging="251"/>
        <w:spacing w:after="0" w:line="266" w:lineRule="auto"/>
        <w:tabs>
          <w:tab w:leader="none" w:pos="751" w:val="left"/>
        </w:tabs>
        <w:numPr>
          <w:ilvl w:val="1"/>
          <w:numId w:val="31"/>
        </w:numPr>
        <w:rPr>
          <w:rFonts w:ascii="Arial" w:cs="Arial" w:eastAsia="Arial" w:hAnsi="Arial"/>
          <w:sz w:val="14"/>
          <w:szCs w:val="14"/>
          <w:color w:val="auto"/>
        </w:rPr>
      </w:pPr>
      <w:r>
        <w:rPr>
          <w:rFonts w:ascii="Arial" w:cs="Arial" w:eastAsia="Arial" w:hAnsi="Arial"/>
          <w:sz w:val="14"/>
          <w:szCs w:val="14"/>
          <w:color w:val="auto"/>
        </w:rPr>
        <w:t>On such settlement date, the Company shall deliver either (i) a certificate evidencing a number of shares of Common Stock equal to the same number of vested RSUs; (ii) cash equal to the Fair Market Value of one Share, as of the settlement date, for each vested RSU; or (iii) a combination of both.</w:t>
      </w:r>
    </w:p>
    <w:p>
      <w:pPr>
        <w:spacing w:after="0" w:line="49" w:lineRule="exact"/>
        <w:rPr>
          <w:rFonts w:ascii="Arial" w:cs="Arial" w:eastAsia="Arial" w:hAnsi="Arial"/>
          <w:sz w:val="14"/>
          <w:szCs w:val="14"/>
          <w:color w:val="auto"/>
        </w:rPr>
      </w:pPr>
    </w:p>
    <w:p>
      <w:pPr>
        <w:ind w:left="260" w:hanging="260"/>
        <w:spacing w:after="0" w:line="293" w:lineRule="auto"/>
        <w:tabs>
          <w:tab w:leader="none" w:pos="251" w:val="left"/>
        </w:tabs>
        <w:numPr>
          <w:ilvl w:val="0"/>
          <w:numId w:val="31"/>
        </w:numPr>
        <w:rPr>
          <w:rFonts w:ascii="Arial" w:cs="Arial" w:eastAsia="Arial" w:hAnsi="Arial"/>
          <w:sz w:val="14"/>
          <w:szCs w:val="14"/>
          <w:color w:val="auto"/>
        </w:rPr>
      </w:pPr>
      <w:r>
        <w:rPr>
          <w:rFonts w:ascii="Arial" w:cs="Arial" w:eastAsia="Arial" w:hAnsi="Arial"/>
          <w:sz w:val="14"/>
          <w:szCs w:val="14"/>
          <w:b w:val="1"/>
          <w:bCs w:val="1"/>
          <w:u w:val="single" w:color="auto"/>
          <w:color w:val="auto"/>
        </w:rPr>
        <w:t>Conditions</w:t>
      </w:r>
      <w:r>
        <w:rPr>
          <w:rFonts w:ascii="Arial" w:cs="Arial" w:eastAsia="Arial" w:hAnsi="Arial"/>
          <w:sz w:val="14"/>
          <w:szCs w:val="14"/>
          <w:color w:val="auto"/>
        </w:rPr>
        <w:t>. By acceptance of this RSU award, the Participant hereby releases any rights and/or claims the Participant may have associated with, or in any way related to,</w:t>
      </w:r>
      <w:r>
        <w:rPr>
          <w:rFonts w:ascii="Arial" w:cs="Arial" w:eastAsia="Arial" w:hAnsi="Arial"/>
          <w:sz w:val="14"/>
          <w:szCs w:val="14"/>
          <w:b w:val="1"/>
          <w:bCs w:val="1"/>
          <w:color w:val="auto"/>
        </w:rPr>
        <w:t xml:space="preserve"> </w:t>
      </w:r>
      <w:r>
        <w:rPr>
          <w:rFonts w:ascii="Arial" w:cs="Arial" w:eastAsia="Arial" w:hAnsi="Arial"/>
          <w:sz w:val="14"/>
          <w:szCs w:val="14"/>
          <w:color w:val="auto"/>
        </w:rPr>
        <w:t>any equity awards granted by the Company or any of its Affiliates prior to the Effective Date of the Plan.</w:t>
      </w:r>
    </w:p>
    <w:p>
      <w:pPr>
        <w:spacing w:after="0" w:line="31" w:lineRule="exact"/>
        <w:rPr>
          <w:rFonts w:ascii="Arial" w:cs="Arial" w:eastAsia="Arial" w:hAnsi="Arial"/>
          <w:sz w:val="14"/>
          <w:szCs w:val="14"/>
          <w:color w:val="auto"/>
        </w:rPr>
      </w:pPr>
    </w:p>
    <w:p>
      <w:pPr>
        <w:jc w:val="both"/>
        <w:ind w:left="260" w:hanging="260"/>
        <w:spacing w:after="0" w:line="259" w:lineRule="auto"/>
        <w:tabs>
          <w:tab w:leader="none" w:pos="251" w:val="left"/>
        </w:tabs>
        <w:numPr>
          <w:ilvl w:val="0"/>
          <w:numId w:val="31"/>
        </w:numPr>
        <w:rPr>
          <w:rFonts w:ascii="Arial" w:cs="Arial" w:eastAsia="Arial" w:hAnsi="Arial"/>
          <w:sz w:val="14"/>
          <w:szCs w:val="14"/>
          <w:color w:val="auto"/>
        </w:rPr>
      </w:pPr>
      <w:r>
        <w:rPr>
          <w:rFonts w:ascii="Arial" w:cs="Arial" w:eastAsia="Arial" w:hAnsi="Arial"/>
          <w:sz w:val="14"/>
          <w:szCs w:val="14"/>
          <w:b w:val="1"/>
          <w:bCs w:val="1"/>
          <w:u w:val="single" w:color="auto"/>
          <w:color w:val="auto"/>
        </w:rPr>
        <w:t>Non-transferability</w:t>
      </w:r>
      <w:r>
        <w:rPr>
          <w:rFonts w:ascii="Arial" w:cs="Arial" w:eastAsia="Arial" w:hAnsi="Arial"/>
          <w:sz w:val="14"/>
          <w:szCs w:val="14"/>
          <w:color w:val="auto"/>
        </w:rPr>
        <w:t>. All RSUs, and any rights or interests therein, (a) shall not be sold, exchanged, transferred, assigned or otherwise disposed of in any way at any time by</w:t>
      </w:r>
      <w:r>
        <w:rPr>
          <w:rFonts w:ascii="Arial" w:cs="Arial" w:eastAsia="Arial" w:hAnsi="Arial"/>
          <w:sz w:val="14"/>
          <w:szCs w:val="14"/>
          <w:b w:val="1"/>
          <w:bCs w:val="1"/>
          <w:color w:val="auto"/>
        </w:rPr>
        <w:t xml:space="preserve"> </w:t>
      </w:r>
      <w:r>
        <w:rPr>
          <w:rFonts w:ascii="Arial" w:cs="Arial" w:eastAsia="Arial" w:hAnsi="Arial"/>
          <w:sz w:val="14"/>
          <w:szCs w:val="14"/>
          <w:color w:val="auto"/>
        </w:rPr>
        <w:t>the Participant (or any beneficiary(ies) of the Participant), other than by testamentary disposition by the Participant or by the laws of descent and distribution, (b) shall not be pledged or encumbered in any way at any time by the Participant (or any beneficiary(ies) of the Participant) and (c) shall not be subject to execution, attachment or similar legal process. Any attempt to sell, exchange, pledge, transfer, assign, encumber or otherwise dispose of this RSU, or the levy of any execution, attachment or similar legal process upon this RSU, contrary to the terms of this Agreement and/or the Plan, shall be null and void and without legal force or effect. For RSUs settled in Common Stock, during the period commencing on the date the RSUs become vested and terminating two (2) years thereafter, the Participant may not sell, assign, transfer, pledge or otherwise encumber such Common Stock.</w:t>
      </w:r>
    </w:p>
    <w:p>
      <w:pPr>
        <w:spacing w:after="0" w:line="57" w:lineRule="exact"/>
        <w:rPr>
          <w:rFonts w:ascii="Arial" w:cs="Arial" w:eastAsia="Arial" w:hAnsi="Arial"/>
          <w:sz w:val="14"/>
          <w:szCs w:val="14"/>
          <w:color w:val="auto"/>
        </w:rPr>
      </w:pPr>
    </w:p>
    <w:p>
      <w:pPr>
        <w:jc w:val="both"/>
        <w:ind w:left="260" w:hanging="260"/>
        <w:spacing w:after="0" w:line="266" w:lineRule="auto"/>
        <w:tabs>
          <w:tab w:leader="none" w:pos="251" w:val="left"/>
        </w:tabs>
        <w:numPr>
          <w:ilvl w:val="0"/>
          <w:numId w:val="31"/>
        </w:numPr>
        <w:rPr>
          <w:rFonts w:ascii="Arial" w:cs="Arial" w:eastAsia="Arial" w:hAnsi="Arial"/>
          <w:sz w:val="14"/>
          <w:szCs w:val="14"/>
          <w:color w:val="auto"/>
        </w:rPr>
      </w:pPr>
      <w:r>
        <w:rPr>
          <w:rFonts w:ascii="Arial" w:cs="Arial" w:eastAsia="Arial" w:hAnsi="Arial"/>
          <w:sz w:val="14"/>
          <w:szCs w:val="14"/>
          <w:b w:val="1"/>
          <w:bCs w:val="1"/>
          <w:u w:val="single" w:color="auto"/>
          <w:color w:val="auto"/>
        </w:rPr>
        <w:t>Entire Agreement; Amendment</w:t>
      </w:r>
      <w:r>
        <w:rPr>
          <w:rFonts w:ascii="Arial" w:cs="Arial" w:eastAsia="Arial" w:hAnsi="Arial"/>
          <w:sz w:val="14"/>
          <w:szCs w:val="14"/>
          <w:color w:val="auto"/>
        </w:rPr>
        <w:t>. This Agreement, together with the Plan, contains the entire agreement between the parties hereto with respect to the subject matter</w:t>
      </w:r>
      <w:r>
        <w:rPr>
          <w:rFonts w:ascii="Arial" w:cs="Arial" w:eastAsia="Arial" w:hAnsi="Arial"/>
          <w:sz w:val="14"/>
          <w:szCs w:val="14"/>
          <w:b w:val="1"/>
          <w:bCs w:val="1"/>
          <w:color w:val="auto"/>
        </w:rPr>
        <w:t xml:space="preserve"> </w:t>
      </w:r>
      <w:r>
        <w:rPr>
          <w:rFonts w:ascii="Arial" w:cs="Arial" w:eastAsia="Arial" w:hAnsi="Arial"/>
          <w:sz w:val="14"/>
          <w:szCs w:val="14"/>
          <w:color w:val="auto"/>
        </w:rPr>
        <w:t>contained herein, and supersedes all prior agreements or prior understandings, whether written or oral, between the parties relating to such subject matter. The Committee shall have the right, in its sole discretion, to modify or amend this Agreement from time to time in accordance with and as provided in the Plan. This Agreement may also be modified or amended by a writing signed by both the Company and the Participant.</w:t>
      </w:r>
    </w:p>
    <w:p>
      <w:pPr>
        <w:spacing w:after="0" w:line="50" w:lineRule="exact"/>
        <w:rPr>
          <w:rFonts w:ascii="Arial" w:cs="Arial" w:eastAsia="Arial" w:hAnsi="Arial"/>
          <w:sz w:val="14"/>
          <w:szCs w:val="14"/>
          <w:color w:val="auto"/>
        </w:rPr>
      </w:pPr>
    </w:p>
    <w:p>
      <w:pPr>
        <w:jc w:val="both"/>
        <w:ind w:left="260" w:hanging="260"/>
        <w:spacing w:after="0" w:line="258" w:lineRule="auto"/>
        <w:tabs>
          <w:tab w:leader="none" w:pos="251" w:val="left"/>
        </w:tabs>
        <w:numPr>
          <w:ilvl w:val="0"/>
          <w:numId w:val="31"/>
        </w:numPr>
        <w:rPr>
          <w:rFonts w:ascii="Arial" w:cs="Arial" w:eastAsia="Arial" w:hAnsi="Arial"/>
          <w:sz w:val="14"/>
          <w:szCs w:val="14"/>
          <w:color w:val="auto"/>
        </w:rPr>
      </w:pPr>
      <w:r>
        <w:rPr>
          <w:rFonts w:ascii="Arial" w:cs="Arial" w:eastAsia="Arial" w:hAnsi="Arial"/>
          <w:sz w:val="14"/>
          <w:szCs w:val="14"/>
          <w:b w:val="1"/>
          <w:bCs w:val="1"/>
          <w:u w:val="single" w:color="auto"/>
          <w:color w:val="auto"/>
        </w:rPr>
        <w:t>Acknowledgment of Employee</w:t>
      </w:r>
      <w:r>
        <w:rPr>
          <w:rFonts w:ascii="Arial" w:cs="Arial" w:eastAsia="Arial" w:hAnsi="Arial"/>
          <w:sz w:val="14"/>
          <w:szCs w:val="14"/>
          <w:color w:val="auto"/>
        </w:rPr>
        <w:t>. This award of RSUs does not entitle the Participant to any benefit other than that granted under this Agreement. Any benefits granted</w:t>
      </w:r>
      <w:r>
        <w:rPr>
          <w:rFonts w:ascii="Arial" w:cs="Arial" w:eastAsia="Arial" w:hAnsi="Arial"/>
          <w:sz w:val="14"/>
          <w:szCs w:val="14"/>
          <w:b w:val="1"/>
          <w:bCs w:val="1"/>
          <w:color w:val="auto"/>
        </w:rPr>
        <w:t xml:space="preserve"> </w:t>
      </w:r>
      <w:r>
        <w:rPr>
          <w:rFonts w:ascii="Arial" w:cs="Arial" w:eastAsia="Arial" w:hAnsi="Arial"/>
          <w:sz w:val="14"/>
          <w:szCs w:val="14"/>
          <w:color w:val="auto"/>
        </w:rPr>
        <w:t>under this Agreement are not part of the Participant’s ordinary salary, and shall not be considered as part of such salary in the event of severance, redundancy or resignation. The Participant understands and accepts that the benefits granted under this Agreement are entirely at the discretion of the Company and that the Company retains the right to amend or terminate this Agreement and the Plan at any time, at its sole discretion and without notice. By signing this Agreement, the Participant agrees to execute, upon request, any further documents or instruments necessary or desirable in the sole determination of the Company to carry out the purposes or intent of the Award of Restricted Stock Units. The Participant acknowledges and agrees that he or she has reviewed this Agreement and the Plan in its entirety, had an opportunity to obtain the advice of counsel prior to executing and accepting this Agreement, and fully understand all provisions of the Award. The Participant acknowledge that the Plan is intended to conform to the extent necessary with all provisions of the Securities Act of 1933, as amended, and the Securities Exchange Act of 1934,</w:t>
      </w:r>
    </w:p>
    <w:p>
      <w:pPr>
        <w:sectPr>
          <w:pgSz w:w="11900" w:h="16838" w:orient="portrait"/>
          <w:cols w:equalWidth="0" w:num="1">
            <w:col w:w="11020"/>
          </w:cols>
          <w:pgMar w:left="560" w:top="1139" w:right="319" w:bottom="1440" w:gutter="0" w:footer="0" w:header="0"/>
        </w:sectPr>
      </w:pPr>
    </w:p>
    <w:bookmarkStart w:id="118" w:name="page119"/>
    <w:bookmarkEnd w:id="118"/>
    <w:p>
      <w:pPr>
        <w:jc w:val="both"/>
        <w:ind w:left="260"/>
        <w:spacing w:after="0" w:line="254" w:lineRule="auto"/>
        <w:rPr>
          <w:sz w:val="20"/>
          <w:szCs w:val="20"/>
          <w:color w:val="auto"/>
        </w:rPr>
      </w:pPr>
      <w:r>
        <w:rPr>
          <w:rFonts w:ascii="Arial" w:cs="Arial" w:eastAsia="Arial" w:hAnsi="Arial"/>
          <w:sz w:val="14"/>
          <w:szCs w:val="14"/>
          <w:color w:val="auto"/>
        </w:rPr>
        <w:t>as amended, and any and all regulations and rules promulgated by the Securities and Exchange Commission thereunder, including, without limitation, the applicable exemptive conditions of Rule 16b-3. Notwithstanding anything herein to the contrary, the Plan shall be administered, and the Restricted Stock Units are granted and may be settled, only in such a manner as to conform to such laws, rules and regulations. To the extent permitted by applicable law, the Plan and this Agreement shall be deemed amended to the extent necessary to conform to such laws, rules and regulations. The Participant hereby acknowledges receipt or the right to receive a document providing the information required by Rule 428(b)(1) promulgated under the Securities Act, which includes the Plan prospectus. In addition, the Participant acknowledge receipt of the Company’s policy permitting officers and directors to sell shares only during certain “window” periods and the Company’s insider trading policy, in effect from time to time. The Participant further agrees not to sell any Shares acquired pursuant to this Award at a time when applicable laws, regulations or the Company’s or any applicable underwriter’s trading policies prohibit such sale.</w:t>
      </w:r>
    </w:p>
    <w:p>
      <w:pPr>
        <w:spacing w:after="0" w:line="62" w:lineRule="exact"/>
        <w:rPr>
          <w:sz w:val="20"/>
          <w:szCs w:val="20"/>
          <w:color w:val="auto"/>
        </w:rPr>
      </w:pPr>
    </w:p>
    <w:p>
      <w:pPr>
        <w:ind w:left="260" w:hanging="260"/>
        <w:spacing w:after="0" w:line="293" w:lineRule="auto"/>
        <w:tabs>
          <w:tab w:leader="none" w:pos="251" w:val="left"/>
        </w:tabs>
        <w:numPr>
          <w:ilvl w:val="0"/>
          <w:numId w:val="32"/>
        </w:numPr>
        <w:rPr>
          <w:rFonts w:ascii="Arial" w:cs="Arial" w:eastAsia="Arial" w:hAnsi="Arial"/>
          <w:sz w:val="14"/>
          <w:szCs w:val="14"/>
          <w:color w:val="auto"/>
        </w:rPr>
      </w:pPr>
      <w:r>
        <w:rPr>
          <w:rFonts w:ascii="Arial" w:cs="Arial" w:eastAsia="Arial" w:hAnsi="Arial"/>
          <w:sz w:val="14"/>
          <w:szCs w:val="14"/>
          <w:b w:val="1"/>
          <w:bCs w:val="1"/>
          <w:u w:val="single" w:color="auto"/>
          <w:color w:val="auto"/>
        </w:rPr>
        <w:t>Governing Law</w:t>
      </w:r>
      <w:r>
        <w:rPr>
          <w:rFonts w:ascii="Arial" w:cs="Arial" w:eastAsia="Arial" w:hAnsi="Arial"/>
          <w:sz w:val="14"/>
          <w:szCs w:val="14"/>
          <w:color w:val="auto"/>
        </w:rPr>
        <w:t>. This Agreement shall be governed by and construed in accordance with the laws of the State of Maryland, without reference to the principles of conflict of</w:t>
      </w:r>
      <w:r>
        <w:rPr>
          <w:rFonts w:ascii="Arial" w:cs="Arial" w:eastAsia="Arial" w:hAnsi="Arial"/>
          <w:sz w:val="14"/>
          <w:szCs w:val="14"/>
          <w:b w:val="1"/>
          <w:bCs w:val="1"/>
          <w:color w:val="auto"/>
        </w:rPr>
        <w:t xml:space="preserve"> </w:t>
      </w:r>
      <w:r>
        <w:rPr>
          <w:rFonts w:ascii="Arial" w:cs="Arial" w:eastAsia="Arial" w:hAnsi="Arial"/>
          <w:sz w:val="14"/>
          <w:szCs w:val="14"/>
          <w:color w:val="auto"/>
        </w:rPr>
        <w:t>laws thereof.</w:t>
      </w:r>
    </w:p>
    <w:p>
      <w:pPr>
        <w:spacing w:after="0" w:line="31" w:lineRule="exact"/>
        <w:rPr>
          <w:rFonts w:ascii="Arial" w:cs="Arial" w:eastAsia="Arial" w:hAnsi="Arial"/>
          <w:sz w:val="14"/>
          <w:szCs w:val="14"/>
          <w:color w:val="auto"/>
        </w:rPr>
      </w:pPr>
    </w:p>
    <w:p>
      <w:pPr>
        <w:jc w:val="both"/>
        <w:ind w:left="260" w:hanging="260"/>
        <w:spacing w:after="0" w:line="263" w:lineRule="auto"/>
        <w:tabs>
          <w:tab w:leader="none" w:pos="255" w:val="left"/>
        </w:tabs>
        <w:numPr>
          <w:ilvl w:val="0"/>
          <w:numId w:val="32"/>
        </w:numPr>
        <w:rPr>
          <w:rFonts w:ascii="Arial" w:cs="Arial" w:eastAsia="Arial" w:hAnsi="Arial"/>
          <w:sz w:val="14"/>
          <w:szCs w:val="14"/>
          <w:color w:val="auto"/>
        </w:rPr>
      </w:pPr>
      <w:r>
        <w:rPr>
          <w:rFonts w:ascii="Arial" w:cs="Arial" w:eastAsia="Arial" w:hAnsi="Arial"/>
          <w:sz w:val="14"/>
          <w:szCs w:val="14"/>
          <w:b w:val="1"/>
          <w:bCs w:val="1"/>
          <w:u w:val="single" w:color="auto"/>
          <w:color w:val="auto"/>
        </w:rPr>
        <w:t>Withholding of Tax</w:t>
      </w:r>
      <w:r>
        <w:rPr>
          <w:rFonts w:ascii="Arial" w:cs="Arial" w:eastAsia="Arial" w:hAnsi="Arial"/>
          <w:sz w:val="14"/>
          <w:szCs w:val="14"/>
          <w:color w:val="auto"/>
        </w:rPr>
        <w:t>. The Company shall withhold from any amounts due and payable by the Company to the Participant (or secure payment from the Participant in lieu of</w:t>
      </w:r>
      <w:r>
        <w:rPr>
          <w:rFonts w:ascii="Arial" w:cs="Arial" w:eastAsia="Arial" w:hAnsi="Arial"/>
          <w:sz w:val="14"/>
          <w:szCs w:val="14"/>
          <w:b w:val="1"/>
          <w:bCs w:val="1"/>
          <w:color w:val="auto"/>
        </w:rPr>
        <w:t xml:space="preserve"> </w:t>
      </w:r>
      <w:r>
        <w:rPr>
          <w:rFonts w:ascii="Arial" w:cs="Arial" w:eastAsia="Arial" w:hAnsi="Arial"/>
          <w:sz w:val="14"/>
          <w:szCs w:val="14"/>
          <w:color w:val="auto"/>
        </w:rPr>
        <w:t>withholding) the amount of any federal or state withholding or other taxes, if any, due from the Company with respect to the exercise of the Option, and the Company may defer such issuance until such withholding or payment is made unless otherwise indemnified to its satisfaction with respect thereto. The Company shall have the right to: (a) make deductions from any settlement of this Option, including the delivery of Shares, or require Shares or cash, or both, be withheld from any settlement of this Option, in each case in an amount sufficient to satisfy the withholding obligation; or (b) take such other action as may be necessary or appropriate to satisfy the withholding obligation.</w:t>
      </w:r>
    </w:p>
    <w:p>
      <w:pPr>
        <w:spacing w:after="0" w:line="51" w:lineRule="exact"/>
        <w:rPr>
          <w:rFonts w:ascii="Arial" w:cs="Arial" w:eastAsia="Arial" w:hAnsi="Arial"/>
          <w:sz w:val="14"/>
          <w:szCs w:val="14"/>
          <w:color w:val="auto"/>
        </w:rPr>
      </w:pPr>
    </w:p>
    <w:p>
      <w:pPr>
        <w:jc w:val="both"/>
        <w:ind w:left="260" w:hanging="260"/>
        <w:spacing w:after="0" w:line="273" w:lineRule="auto"/>
        <w:tabs>
          <w:tab w:leader="none" w:pos="255" w:val="left"/>
        </w:tabs>
        <w:numPr>
          <w:ilvl w:val="0"/>
          <w:numId w:val="32"/>
        </w:numPr>
        <w:rPr>
          <w:rFonts w:ascii="Arial" w:cs="Arial" w:eastAsia="Arial" w:hAnsi="Arial"/>
          <w:sz w:val="14"/>
          <w:szCs w:val="14"/>
          <w:color w:val="auto"/>
        </w:rPr>
      </w:pPr>
      <w:r>
        <w:rPr>
          <w:rFonts w:ascii="Arial" w:cs="Arial" w:eastAsia="Arial" w:hAnsi="Arial"/>
          <w:sz w:val="14"/>
          <w:szCs w:val="14"/>
          <w:b w:val="1"/>
          <w:bCs w:val="1"/>
          <w:u w:val="single" w:color="auto"/>
          <w:color w:val="auto"/>
        </w:rPr>
        <w:t>No Right to Employment</w:t>
      </w:r>
      <w:r>
        <w:rPr>
          <w:rFonts w:ascii="Arial" w:cs="Arial" w:eastAsia="Arial" w:hAnsi="Arial"/>
          <w:sz w:val="14"/>
          <w:szCs w:val="14"/>
          <w:color w:val="auto"/>
        </w:rPr>
        <w:t>. Nothing in this Agreement shall interfere with or limit in any way the right of the Company to terminate the Participant’s employment or service at</w:t>
      </w:r>
      <w:r>
        <w:rPr>
          <w:rFonts w:ascii="Arial" w:cs="Arial" w:eastAsia="Arial" w:hAnsi="Arial"/>
          <w:sz w:val="14"/>
          <w:szCs w:val="14"/>
          <w:b w:val="1"/>
          <w:bCs w:val="1"/>
          <w:color w:val="auto"/>
        </w:rPr>
        <w:t xml:space="preserve"> </w:t>
      </w:r>
      <w:r>
        <w:rPr>
          <w:rFonts w:ascii="Arial" w:cs="Arial" w:eastAsia="Arial" w:hAnsi="Arial"/>
          <w:sz w:val="14"/>
          <w:szCs w:val="14"/>
          <w:color w:val="auto"/>
        </w:rPr>
        <w:t>any time, for any reason and with or without Cause. Any questions as to whether and when there has been a termination of such employment and the cause of such termination shall be determined in the sole discretion of the Committee.</w:t>
      </w:r>
    </w:p>
    <w:p>
      <w:pPr>
        <w:spacing w:after="0" w:line="44" w:lineRule="exact"/>
        <w:rPr>
          <w:rFonts w:ascii="Arial" w:cs="Arial" w:eastAsia="Arial" w:hAnsi="Arial"/>
          <w:sz w:val="14"/>
          <w:szCs w:val="14"/>
          <w:color w:val="auto"/>
        </w:rPr>
      </w:pPr>
    </w:p>
    <w:p>
      <w:pPr>
        <w:jc w:val="both"/>
        <w:ind w:left="260" w:hanging="260"/>
        <w:spacing w:after="0" w:line="273" w:lineRule="auto"/>
        <w:tabs>
          <w:tab w:leader="none" w:pos="255" w:val="left"/>
        </w:tabs>
        <w:numPr>
          <w:ilvl w:val="0"/>
          <w:numId w:val="32"/>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color w:val="auto"/>
        </w:rPr>
        <w:t>. All notices, requests and demands to or upon a party hereto shall be in writing and shall be deemed to have been duly given when delivered by hand or three days</w:t>
      </w:r>
      <w:r>
        <w:rPr>
          <w:rFonts w:ascii="Arial" w:cs="Arial" w:eastAsia="Arial" w:hAnsi="Arial"/>
          <w:sz w:val="14"/>
          <w:szCs w:val="14"/>
          <w:b w:val="1"/>
          <w:bCs w:val="1"/>
          <w:color w:val="auto"/>
        </w:rPr>
        <w:t xml:space="preserve"> </w:t>
      </w:r>
      <w:r>
        <w:rPr>
          <w:rFonts w:ascii="Arial" w:cs="Arial" w:eastAsia="Arial" w:hAnsi="Arial"/>
          <w:sz w:val="14"/>
          <w:szCs w:val="14"/>
          <w:color w:val="auto"/>
        </w:rPr>
        <w:t>after being deposited in the mail, postage prepaid or, in the case of facsimile notice, when received, addressed as follows or to such other address as either party may have furnished to the other in writing in accordance herewith, except that notices of change of address shall be effective only upon receipt.</w:t>
      </w:r>
    </w:p>
    <w:p>
      <w:pPr>
        <w:spacing w:after="0" w:line="62"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If to the Company, to the following address:</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Attn: Secretary</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Capital Bancorp, Inc.</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One Church Street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Rockville, Maryland 20850</w:t>
      </w:r>
    </w:p>
    <w:p>
      <w:pPr>
        <w:spacing w:after="0" w:line="3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If to the Participant, to the address or facsimile number as shown on the signature page hereto.</w:t>
      </w:r>
    </w:p>
    <w:p>
      <w:pPr>
        <w:spacing w:after="0" w:line="76" w:lineRule="exact"/>
        <w:rPr>
          <w:sz w:val="20"/>
          <w:szCs w:val="20"/>
          <w:color w:val="auto"/>
        </w:rPr>
      </w:pPr>
    </w:p>
    <w:p>
      <w:pPr>
        <w:jc w:val="both"/>
        <w:ind w:left="260" w:hanging="260"/>
        <w:spacing w:after="0" w:line="273" w:lineRule="auto"/>
        <w:tabs>
          <w:tab w:leader="none" w:pos="251" w:val="left"/>
        </w:tabs>
        <w:numPr>
          <w:ilvl w:val="0"/>
          <w:numId w:val="33"/>
        </w:numPr>
        <w:rPr>
          <w:rFonts w:ascii="Arial" w:cs="Arial" w:eastAsia="Arial" w:hAnsi="Arial"/>
          <w:sz w:val="14"/>
          <w:szCs w:val="14"/>
          <w:color w:val="auto"/>
        </w:rPr>
      </w:pPr>
      <w:r>
        <w:rPr>
          <w:rFonts w:ascii="Arial" w:cs="Arial" w:eastAsia="Arial" w:hAnsi="Arial"/>
          <w:sz w:val="14"/>
          <w:szCs w:val="14"/>
          <w:b w:val="1"/>
          <w:bCs w:val="1"/>
          <w:u w:val="single" w:color="auto"/>
          <w:color w:val="auto"/>
        </w:rPr>
        <w:t>Compliance with Laws</w:t>
      </w:r>
      <w:r>
        <w:rPr>
          <w:rFonts w:ascii="Arial" w:cs="Arial" w:eastAsia="Arial" w:hAnsi="Arial"/>
          <w:sz w:val="14"/>
          <w:szCs w:val="14"/>
          <w:color w:val="auto"/>
        </w:rPr>
        <w:t>. This issuance of RSUs (and the Shares underlying the RSUs) pursuant to this Agreement shall be subject to, and shall comply with, any applicable</w:t>
      </w:r>
      <w:r>
        <w:rPr>
          <w:rFonts w:ascii="Arial" w:cs="Arial" w:eastAsia="Arial" w:hAnsi="Arial"/>
          <w:sz w:val="14"/>
          <w:szCs w:val="14"/>
          <w:b w:val="1"/>
          <w:bCs w:val="1"/>
          <w:color w:val="auto"/>
        </w:rPr>
        <w:t xml:space="preserve"> </w:t>
      </w:r>
      <w:r>
        <w:rPr>
          <w:rFonts w:ascii="Arial" w:cs="Arial" w:eastAsia="Arial" w:hAnsi="Arial"/>
          <w:sz w:val="14"/>
          <w:szCs w:val="14"/>
          <w:color w:val="auto"/>
        </w:rPr>
        <w:t>requirements of any securities laws, rules and regulations (including, without limitation, the provisions of the Securities Act of 1933, as amended, the 1934 Act and in each case any respective rules and regulations promulgated thereunder) and any other law or regulation applicable thereto. The Company shall</w:t>
      </w:r>
    </w:p>
    <w:p>
      <w:pPr>
        <w:sectPr>
          <w:pgSz w:w="11900" w:h="16838" w:orient="portrait"/>
          <w:cols w:equalWidth="0" w:num="1">
            <w:col w:w="11020"/>
          </w:cols>
          <w:pgMar w:left="560" w:top="1157" w:right="319" w:bottom="1440" w:gutter="0" w:footer="0" w:header="0"/>
        </w:sectPr>
      </w:pPr>
    </w:p>
    <w:bookmarkStart w:id="119" w:name="page120"/>
    <w:bookmarkEnd w:id="119"/>
    <w:p>
      <w:pPr>
        <w:ind w:left="515"/>
        <w:spacing w:after="0"/>
        <w:rPr>
          <w:sz w:val="20"/>
          <w:szCs w:val="20"/>
          <w:color w:val="auto"/>
        </w:rPr>
      </w:pPr>
      <w:r>
        <w:rPr>
          <w:rFonts w:ascii="Arial" w:cs="Arial" w:eastAsia="Arial" w:hAnsi="Arial"/>
          <w:sz w:val="14"/>
          <w:szCs w:val="14"/>
          <w:color w:val="auto"/>
        </w:rPr>
        <w:t>not be obligated to issue this RSU or any of the Shares pursuant to this Agreement if any such issuance would violate any such requirements.</w:t>
      </w:r>
    </w:p>
    <w:p>
      <w:pPr>
        <w:spacing w:after="0" w:line="76" w:lineRule="exact"/>
        <w:rPr>
          <w:sz w:val="20"/>
          <w:szCs w:val="20"/>
          <w:color w:val="auto"/>
        </w:rPr>
      </w:pPr>
    </w:p>
    <w:p>
      <w:pPr>
        <w:ind w:left="515" w:hanging="260"/>
        <w:spacing w:after="0" w:line="293" w:lineRule="auto"/>
        <w:tabs>
          <w:tab w:leader="none" w:pos="506" w:val="left"/>
        </w:tabs>
        <w:numPr>
          <w:ilvl w:val="1"/>
          <w:numId w:val="34"/>
        </w:numPr>
        <w:rPr>
          <w:rFonts w:ascii="Arial" w:cs="Arial" w:eastAsia="Arial" w:hAnsi="Arial"/>
          <w:sz w:val="14"/>
          <w:szCs w:val="14"/>
          <w:color w:val="auto"/>
        </w:rPr>
      </w:pPr>
      <w:r>
        <w:rPr>
          <w:rFonts w:ascii="Arial" w:cs="Arial" w:eastAsia="Arial" w:hAnsi="Arial"/>
          <w:sz w:val="14"/>
          <w:szCs w:val="14"/>
          <w:b w:val="1"/>
          <w:bCs w:val="1"/>
          <w:u w:val="single" w:color="auto"/>
          <w:color w:val="auto"/>
        </w:rPr>
        <w:t>Binding Agreement; Assignment</w:t>
      </w:r>
      <w:r>
        <w:rPr>
          <w:rFonts w:ascii="Arial" w:cs="Arial" w:eastAsia="Arial" w:hAnsi="Arial"/>
          <w:sz w:val="14"/>
          <w:szCs w:val="14"/>
          <w:color w:val="auto"/>
        </w:rPr>
        <w:t>. This Agreement shall inure to the benefit of, be binding upon, and be enforceable by the Company and its successors and assigns. The</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 shall not assign any part of this Agreement without the prior express written consent of the Company.</w:t>
      </w:r>
    </w:p>
    <w:p>
      <w:pPr>
        <w:spacing w:after="0" w:line="31" w:lineRule="exact"/>
        <w:rPr>
          <w:rFonts w:ascii="Arial" w:cs="Arial" w:eastAsia="Arial" w:hAnsi="Arial"/>
          <w:sz w:val="14"/>
          <w:szCs w:val="14"/>
          <w:color w:val="auto"/>
        </w:rPr>
      </w:pPr>
    </w:p>
    <w:p>
      <w:pPr>
        <w:ind w:left="515" w:hanging="260"/>
        <w:spacing w:after="0" w:line="293" w:lineRule="auto"/>
        <w:tabs>
          <w:tab w:leader="none" w:pos="506" w:val="left"/>
        </w:tabs>
        <w:numPr>
          <w:ilvl w:val="1"/>
          <w:numId w:val="34"/>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 This Agreement may be executed in one or more counterparts, each of which shall be deemed to be an original, but all of which shall constitute one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same instrument.</w:t>
      </w:r>
    </w:p>
    <w:p>
      <w:pPr>
        <w:spacing w:after="0" w:line="31" w:lineRule="exact"/>
        <w:rPr>
          <w:rFonts w:ascii="Arial" w:cs="Arial" w:eastAsia="Arial" w:hAnsi="Arial"/>
          <w:sz w:val="14"/>
          <w:szCs w:val="14"/>
          <w:color w:val="auto"/>
        </w:rPr>
      </w:pPr>
    </w:p>
    <w:p>
      <w:pPr>
        <w:ind w:left="515" w:hanging="260"/>
        <w:spacing w:after="0" w:line="293" w:lineRule="auto"/>
        <w:tabs>
          <w:tab w:leader="none" w:pos="506" w:val="left"/>
        </w:tabs>
        <w:numPr>
          <w:ilvl w:val="1"/>
          <w:numId w:val="34"/>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 The titles and headings of the various sections of this Agreement have been inserted for convenience of reference only and shall not be deemed to be a part of</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w:t>
      </w:r>
    </w:p>
    <w:p>
      <w:pPr>
        <w:spacing w:after="0" w:line="31" w:lineRule="exact"/>
        <w:rPr>
          <w:rFonts w:ascii="Arial" w:cs="Arial" w:eastAsia="Arial" w:hAnsi="Arial"/>
          <w:sz w:val="14"/>
          <w:szCs w:val="14"/>
          <w:color w:val="auto"/>
        </w:rPr>
      </w:pPr>
    </w:p>
    <w:p>
      <w:pPr>
        <w:jc w:val="both"/>
        <w:ind w:left="515" w:hanging="260"/>
        <w:spacing w:after="0" w:line="273" w:lineRule="auto"/>
        <w:tabs>
          <w:tab w:leader="none" w:pos="506" w:val="left"/>
        </w:tabs>
        <w:numPr>
          <w:ilvl w:val="1"/>
          <w:numId w:val="34"/>
        </w:numPr>
        <w:rPr>
          <w:rFonts w:ascii="Arial" w:cs="Arial" w:eastAsia="Arial" w:hAnsi="Arial"/>
          <w:sz w:val="14"/>
          <w:szCs w:val="14"/>
          <w:color w:val="auto"/>
        </w:rPr>
      </w:pPr>
      <w:r>
        <w:rPr>
          <w:rFonts w:ascii="Arial" w:cs="Arial" w:eastAsia="Arial" w:hAnsi="Arial"/>
          <w:sz w:val="14"/>
          <w:szCs w:val="14"/>
          <w:b w:val="1"/>
          <w:bCs w:val="1"/>
          <w:u w:val="single" w:color="auto"/>
          <w:color w:val="auto"/>
        </w:rPr>
        <w:t>Further Assurances</w:t>
      </w:r>
      <w:r>
        <w:rPr>
          <w:rFonts w:ascii="Arial" w:cs="Arial" w:eastAsia="Arial" w:hAnsi="Arial"/>
          <w:sz w:val="14"/>
          <w:szCs w:val="14"/>
          <w:color w:val="auto"/>
        </w:rPr>
        <w:t>. Each party hereto shall do and perform (or shall cause to be done and performed) all such further acts and shall execute and deliver all such other</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44" w:lineRule="exact"/>
        <w:rPr>
          <w:rFonts w:ascii="Arial" w:cs="Arial" w:eastAsia="Arial" w:hAnsi="Arial"/>
          <w:sz w:val="14"/>
          <w:szCs w:val="14"/>
          <w:color w:val="auto"/>
        </w:rPr>
      </w:pPr>
    </w:p>
    <w:p>
      <w:pPr>
        <w:jc w:val="both"/>
        <w:ind w:left="515" w:hanging="260"/>
        <w:spacing w:after="0" w:line="273" w:lineRule="auto"/>
        <w:tabs>
          <w:tab w:leader="none" w:pos="506" w:val="left"/>
        </w:tabs>
        <w:numPr>
          <w:ilvl w:val="1"/>
          <w:numId w:val="34"/>
        </w:numPr>
        <w:rPr>
          <w:rFonts w:ascii="Arial" w:cs="Arial" w:eastAsia="Arial" w:hAnsi="Arial"/>
          <w:sz w:val="14"/>
          <w:szCs w:val="14"/>
          <w:color w:val="auto"/>
        </w:rPr>
      </w:pPr>
      <w:r>
        <w:rPr>
          <w:rFonts w:ascii="Arial" w:cs="Arial" w:eastAsia="Arial" w:hAnsi="Arial"/>
          <w:sz w:val="14"/>
          <w:szCs w:val="14"/>
          <w:b w:val="1"/>
          <w:bCs w:val="1"/>
          <w:u w:val="single" w:color="auto"/>
          <w:color w:val="auto"/>
        </w:rPr>
        <w:t>Severability</w:t>
      </w:r>
      <w:r>
        <w:rPr>
          <w:rFonts w:ascii="Arial" w:cs="Arial" w:eastAsia="Arial" w:hAnsi="Arial"/>
          <w:sz w:val="14"/>
          <w:szCs w:val="14"/>
          <w:color w:val="auto"/>
        </w:rPr>
        <w:t>. The invalidity or unenforceability of any provisions of this Agreement in any jurisdiction shall not affect the validity, legality or enforceability of the remainder of</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in such jurisdiction or the validity, legality or enforceability of any provision of this Agreement in any other jurisdiction, it being intended that all rights and obligations of the parties hereunder shall be enforceable to the fullest extent permitted by law.</w:t>
      </w:r>
    </w:p>
    <w:p>
      <w:pPr>
        <w:spacing w:after="0" w:line="44" w:lineRule="exact"/>
        <w:rPr>
          <w:rFonts w:ascii="Arial" w:cs="Arial" w:eastAsia="Arial" w:hAnsi="Arial"/>
          <w:sz w:val="14"/>
          <w:szCs w:val="14"/>
          <w:color w:val="auto"/>
        </w:rPr>
      </w:pPr>
    </w:p>
    <w:p>
      <w:pPr>
        <w:jc w:val="both"/>
        <w:ind w:left="515" w:hanging="260"/>
        <w:spacing w:after="0" w:line="284" w:lineRule="auto"/>
        <w:tabs>
          <w:tab w:leader="none" w:pos="506" w:val="left"/>
        </w:tabs>
        <w:numPr>
          <w:ilvl w:val="1"/>
          <w:numId w:val="34"/>
        </w:numPr>
        <w:rPr>
          <w:rFonts w:ascii="Arial" w:cs="Arial" w:eastAsia="Arial" w:hAnsi="Arial"/>
          <w:sz w:val="14"/>
          <w:szCs w:val="14"/>
          <w:color w:val="auto"/>
        </w:rPr>
      </w:pPr>
      <w:r>
        <w:rPr>
          <w:rFonts w:ascii="Arial" w:cs="Arial" w:eastAsia="Arial" w:hAnsi="Arial"/>
          <w:sz w:val="14"/>
          <w:szCs w:val="14"/>
          <w:b w:val="1"/>
          <w:bCs w:val="1"/>
          <w:u w:val="single" w:color="auto"/>
          <w:color w:val="auto"/>
        </w:rPr>
        <w:t>Clawback</w:t>
      </w:r>
      <w:r>
        <w:rPr>
          <w:rFonts w:ascii="Arial" w:cs="Arial" w:eastAsia="Arial" w:hAnsi="Arial"/>
          <w:sz w:val="14"/>
          <w:szCs w:val="14"/>
          <w:color w:val="auto"/>
        </w:rPr>
        <w:t>. By accepting this Award, the Participant agrees to be bound by the clawback provisions as set forth in Section 15.3 of the Plan, as in effect or as may be</w:t>
      </w:r>
      <w:r>
        <w:rPr>
          <w:rFonts w:ascii="Arial" w:cs="Arial" w:eastAsia="Arial" w:hAnsi="Arial"/>
          <w:sz w:val="14"/>
          <w:szCs w:val="14"/>
          <w:b w:val="1"/>
          <w:bCs w:val="1"/>
          <w:color w:val="auto"/>
        </w:rPr>
        <w:t xml:space="preserve"> </w:t>
      </w:r>
      <w:r>
        <w:rPr>
          <w:rFonts w:ascii="Arial" w:cs="Arial" w:eastAsia="Arial" w:hAnsi="Arial"/>
          <w:sz w:val="14"/>
          <w:szCs w:val="14"/>
          <w:color w:val="auto"/>
        </w:rPr>
        <w:t>adopted and/or modified from time to time by the Company in its discretion (including, without limitation, to comply with applicable law or stock exchange listing requirements).</w:t>
      </w:r>
    </w:p>
    <w:p>
      <w:pPr>
        <w:spacing w:after="0" w:line="200" w:lineRule="exact"/>
        <w:rPr>
          <w:rFonts w:ascii="Arial" w:cs="Arial" w:eastAsia="Arial" w:hAnsi="Arial"/>
          <w:sz w:val="14"/>
          <w:szCs w:val="14"/>
          <w:color w:val="auto"/>
        </w:rPr>
      </w:pPr>
    </w:p>
    <w:p>
      <w:pPr>
        <w:spacing w:after="0" w:line="288" w:lineRule="exact"/>
        <w:rPr>
          <w:rFonts w:ascii="Arial" w:cs="Arial" w:eastAsia="Arial" w:hAnsi="Arial"/>
          <w:sz w:val="14"/>
          <w:szCs w:val="14"/>
          <w:color w:val="auto"/>
        </w:rPr>
      </w:pPr>
    </w:p>
    <w:p>
      <w:pPr>
        <w:jc w:val="both"/>
        <w:ind w:left="-5" w:firstLine="5"/>
        <w:spacing w:after="0" w:line="257" w:lineRule="auto"/>
        <w:tabs>
          <w:tab w:leader="none" w:pos="231" w:val="left"/>
        </w:tabs>
        <w:numPr>
          <w:ilvl w:val="0"/>
          <w:numId w:val="35"/>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 This Agreement is intended to comply with the requirements of Section 409A of the Code (“Section 409A”), to the extent applicable, and shall be construed and</w:t>
      </w:r>
      <w:r>
        <w:rPr>
          <w:rFonts w:ascii="Arial" w:cs="Arial" w:eastAsia="Arial" w:hAnsi="Arial"/>
          <w:sz w:val="14"/>
          <w:szCs w:val="14"/>
          <w:b w:val="1"/>
          <w:bCs w:val="1"/>
          <w:color w:val="auto"/>
        </w:rPr>
        <w:t xml:space="preserve"> </w:t>
      </w:r>
      <w:r>
        <w:rPr>
          <w:rFonts w:ascii="Arial" w:cs="Arial" w:eastAsia="Arial" w:hAnsi="Arial"/>
          <w:sz w:val="14"/>
          <w:szCs w:val="14"/>
          <w:color w:val="auto"/>
        </w:rPr>
        <w:t>administered such that your Award either (i) qualifies for an exemption from the requirements of Section 409A or (ii) satisfies the requirements of Section 409A. If an Award is subject to Section 409A, (i) distributions shall only be made in a manner and upon an event permitted under Section 409A, (ii) payments to be made upon a termination of employment shall only be made upon a “separation from service” under Section 409A, (iii) and in no event shall a Participant, directly or indirectly, designate the calendar year in which a distribution is made except in accordance with Section 409A. Any Award that is subject to Section 409A and that is to be distributed to a “specified employee,” as defined in Code Section 409A(a)(2)(B)(i) upon separation from service shall be administered so that any distribution with respect to such Award shall be postponed for six (6) months following the date of the Participant’s separation from service, if required by Section 409A. If a distribution is delayed pursuant to Section 409A, the distribution shall be paid within fifteen (15) days after the end of the six (6)-month period. If the Participant dies during such six (6)-month period, any postponed amounts shall be paid within ninety (90) days of the Participant's death. The determination of a specified employee, including the number and identity of persons considered specified employees and the identification date, shall be made by the Board or its delegate each year in accordance with Section 416(i) of the Code and the “specified employee” requirements of Section 409A.</w:t>
      </w:r>
    </w:p>
    <w:p>
      <w:pPr>
        <w:sectPr>
          <w:pgSz w:w="11900" w:h="16838" w:orient="portrait"/>
          <w:cols w:equalWidth="0" w:num="1">
            <w:col w:w="11275"/>
          </w:cols>
          <w:pgMar w:left="305" w:top="1157" w:right="319" w:bottom="1440" w:gutter="0" w:footer="0" w:header="0"/>
        </w:sectPr>
      </w:pPr>
    </w:p>
    <w:bookmarkStart w:id="120" w:name="page121"/>
    <w:bookmarkEnd w:id="120"/>
    <w:p>
      <w:pPr>
        <w:jc w:val="center"/>
        <w:ind w:right="2799"/>
        <w:spacing w:after="0"/>
        <w:rPr>
          <w:sz w:val="20"/>
          <w:szCs w:val="20"/>
          <w:color w:val="auto"/>
        </w:rPr>
      </w:pPr>
      <w:r>
        <w:rPr>
          <w:rFonts w:ascii="Arial" w:cs="Arial" w:eastAsia="Arial" w:hAnsi="Arial"/>
          <w:sz w:val="14"/>
          <w:szCs w:val="14"/>
          <w:color w:val="auto"/>
        </w:rPr>
        <w:t>IN WITNESS HEREOF, the parties have executed and delivered this Agreement as of the date first above written.</w:t>
      </w:r>
    </w:p>
    <w:p>
      <w:pPr>
        <w:spacing w:after="0" w:line="94" w:lineRule="exact"/>
        <w:rPr>
          <w:sz w:val="20"/>
          <w:szCs w:val="20"/>
          <w:color w:val="auto"/>
        </w:rPr>
      </w:pPr>
    </w:p>
    <w:p>
      <w:pPr>
        <w:jc w:val="center"/>
        <w:ind w:right="2979"/>
        <w:spacing w:after="0"/>
        <w:rPr>
          <w:sz w:val="20"/>
          <w:szCs w:val="20"/>
          <w:color w:val="auto"/>
        </w:rPr>
      </w:pPr>
      <w:r>
        <w:rPr>
          <w:rFonts w:ascii="Arial" w:cs="Arial" w:eastAsia="Arial" w:hAnsi="Arial"/>
          <w:sz w:val="14"/>
          <w:szCs w:val="14"/>
          <w:color w:val="auto"/>
        </w:rPr>
        <w:t>Capital Bancorp, Inc.</w:t>
      </w:r>
    </w:p>
    <w:p>
      <w:pPr>
        <w:spacing w:after="0" w:line="369"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By: Edward Barry, CEO</w:t>
      </w:r>
    </w:p>
    <w:p>
      <w:pPr>
        <w:spacing w:after="0" w:line="94"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Attested by:</w:t>
      </w:r>
    </w:p>
    <w:p>
      <w:pPr>
        <w:spacing w:after="0" w:line="369"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PARTICIPANT</w:t>
      </w:r>
    </w:p>
    <w:p>
      <w:pPr>
        <w:spacing w:after="0" w:line="369"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By: [INSERT PARTICIPANT NAME]</w:t>
      </w:r>
    </w:p>
    <w:p>
      <w:pPr>
        <w:spacing w:after="0" w:line="94"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Address:</w:t>
      </w:r>
    </w:p>
    <w:p>
      <w:pPr>
        <w:spacing w:after="0" w:line="94"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___________________________________</w:t>
      </w:r>
    </w:p>
    <w:p>
      <w:pPr>
        <w:spacing w:after="0" w:line="94"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___________________________________</w:t>
      </w:r>
    </w:p>
    <w:p>
      <w:pPr>
        <w:spacing w:after="0" w:line="94"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Phone Number:</w:t>
      </w:r>
    </w:p>
    <w:p>
      <w:pPr>
        <w:spacing w:after="0" w:line="94" w:lineRule="exact"/>
        <w:rPr>
          <w:sz w:val="20"/>
          <w:szCs w:val="20"/>
          <w:color w:val="auto"/>
        </w:rPr>
      </w:pPr>
    </w:p>
    <w:p>
      <w:pPr>
        <w:ind w:left="2800"/>
        <w:spacing w:after="0"/>
        <w:rPr>
          <w:sz w:val="20"/>
          <w:szCs w:val="20"/>
          <w:color w:val="auto"/>
        </w:rPr>
      </w:pPr>
      <w:r>
        <w:rPr>
          <w:rFonts w:ascii="Arial" w:cs="Arial" w:eastAsia="Arial" w:hAnsi="Arial"/>
          <w:sz w:val="14"/>
          <w:szCs w:val="14"/>
          <w:color w:val="auto"/>
        </w:rPr>
        <w:t>Facsimile:</w:t>
      </w:r>
    </w:p>
    <w:p>
      <w:pPr>
        <w:sectPr>
          <w:pgSz w:w="11900" w:h="16838" w:orient="portrait"/>
          <w:cols w:equalWidth="0" w:num="1">
            <w:col w:w="9899"/>
          </w:cols>
          <w:pgMar w:left="560" w:top="1157" w:right="1440" w:bottom="1440"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rFonts w:ascii="Arial" w:cs="Arial" w:eastAsia="Arial" w:hAnsi="Arial"/>
          <w:sz w:val="14"/>
          <w:szCs w:val="14"/>
          <w:color w:val="auto"/>
        </w:rPr>
        <w:t>Exhibit 23.1</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7" w:lineRule="exact"/>
        <w:rPr>
          <w:sz w:val="20"/>
          <w:szCs w:val="20"/>
          <w:color w:val="auto"/>
        </w:rPr>
      </w:pPr>
    </w:p>
    <w:p>
      <w:pPr>
        <w:spacing w:after="0" w:line="221" w:lineRule="auto"/>
        <w:rPr>
          <w:sz w:val="20"/>
          <w:szCs w:val="20"/>
          <w:color w:val="auto"/>
        </w:rPr>
      </w:pPr>
      <w:r>
        <w:rPr>
          <w:rFonts w:ascii="Arial" w:cs="Arial" w:eastAsia="Arial" w:hAnsi="Arial"/>
          <w:sz w:val="14"/>
          <w:szCs w:val="14"/>
          <w:color w:val="auto"/>
        </w:rPr>
        <w:t>We consent to the incorporation by reference in the Registration Statement (No. 333-228524) on Form S-8 of Capital Bancorp, Inc. of our report dated March 15, 2023 relating to the consolidated financial statements of Capital Bancorp, Inc. and Subsidiaries, appearing in this Annual Report on Form 10-K for the year ended December 31, 2022.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 Elliott Davis, PLLC</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Raleigh, North Carolina</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March 15, 2023</w:t>
      </w:r>
    </w:p>
    <w:p>
      <w:pPr>
        <w:sectPr>
          <w:pgSz w:w="11900" w:h="16838" w:orient="portrait"/>
          <w:cols w:equalWidth="0" w:num="1">
            <w:col w:w="11280"/>
          </w:cols>
          <w:pgMar w:left="300" w:top="1157" w:right="31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b w:val="1"/>
          <w:bCs w:val="1"/>
          <w:color w:val="auto"/>
        </w:rPr>
        <w:t>Section 2: EX-31.1 (RULE 13A-14(A) CERTIFICATION OF THE PRINCIPAL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31.1</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133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31.1</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the Principal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 Ed Barry, certify that:</w:t>
      </w:r>
    </w:p>
    <w:p>
      <w:pPr>
        <w:spacing w:after="0" w:line="179" w:lineRule="exact"/>
        <w:rPr>
          <w:sz w:val="20"/>
          <w:szCs w:val="20"/>
          <w:color w:val="auto"/>
        </w:rPr>
      </w:pPr>
    </w:p>
    <w:p>
      <w:pPr>
        <w:ind w:left="160" w:hanging="155"/>
        <w:spacing w:after="0"/>
        <w:tabs>
          <w:tab w:leader="none" w:pos="1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 have reviewed this quarterly report on Form 10-K of Capital Bancorp, Inc.;</w:t>
      </w:r>
    </w:p>
    <w:p>
      <w:pPr>
        <w:spacing w:after="0" w:line="178" w:lineRule="exact"/>
        <w:rPr>
          <w:rFonts w:ascii="Arial" w:cs="Arial" w:eastAsia="Arial" w:hAnsi="Arial"/>
          <w:sz w:val="14"/>
          <w:szCs w:val="14"/>
          <w:color w:val="auto"/>
        </w:rPr>
      </w:pPr>
    </w:p>
    <w:p>
      <w:pPr>
        <w:ind w:firstLine="5"/>
        <w:spacing w:after="0" w:line="266" w:lineRule="auto"/>
        <w:tabs>
          <w:tab w:leader="none" w:pos="1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ind w:firstLine="5"/>
        <w:spacing w:after="0" w:line="266" w:lineRule="auto"/>
        <w:tabs>
          <w:tab w:leader="none" w:pos="168"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4"/>
          <w:szCs w:val="14"/>
          <w:color w:val="auto"/>
        </w:rPr>
      </w:pPr>
    </w:p>
    <w:p>
      <w:pPr>
        <w:ind w:left="160" w:hanging="155"/>
        <w:spacing w:after="0"/>
        <w:tabs>
          <w:tab w:leader="none" w:pos="1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78" w:lineRule="exact"/>
        <w:rPr>
          <w:rFonts w:ascii="Arial" w:cs="Arial" w:eastAsia="Arial" w:hAnsi="Arial"/>
          <w:sz w:val="14"/>
          <w:szCs w:val="14"/>
          <w:color w:val="auto"/>
        </w:rPr>
      </w:pPr>
    </w:p>
    <w:p>
      <w:pPr>
        <w:jc w:val="both"/>
        <w:ind w:left="520" w:hanging="6"/>
        <w:spacing w:after="0" w:line="259" w:lineRule="auto"/>
        <w:tabs>
          <w:tab w:leader="none" w:pos="698" w:val="left"/>
        </w:tabs>
        <w:numPr>
          <w:ilvl w:val="1"/>
          <w:numId w:val="3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4"/>
          <w:szCs w:val="14"/>
          <w:color w:val="auto"/>
        </w:rPr>
      </w:pPr>
    </w:p>
    <w:p>
      <w:pPr>
        <w:jc w:val="both"/>
        <w:ind w:left="520" w:hanging="6"/>
        <w:spacing w:after="0" w:line="259" w:lineRule="auto"/>
        <w:tabs>
          <w:tab w:leader="none" w:pos="715" w:val="left"/>
        </w:tabs>
        <w:numPr>
          <w:ilvl w:val="1"/>
          <w:numId w:val="3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4"/>
          <w:szCs w:val="14"/>
          <w:color w:val="auto"/>
        </w:rPr>
      </w:pPr>
    </w:p>
    <w:p>
      <w:pPr>
        <w:ind w:left="520" w:hanging="6"/>
        <w:spacing w:after="0" w:line="266" w:lineRule="auto"/>
        <w:tabs>
          <w:tab w:leader="none" w:pos="685" w:val="left"/>
        </w:tabs>
        <w:numPr>
          <w:ilvl w:val="1"/>
          <w:numId w:val="3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520" w:hanging="6"/>
        <w:spacing w:after="0" w:line="266" w:lineRule="auto"/>
        <w:tabs>
          <w:tab w:leader="none" w:pos="702" w:val="left"/>
        </w:tabs>
        <w:numPr>
          <w:ilvl w:val="1"/>
          <w:numId w:val="3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2" w:lineRule="exact"/>
        <w:rPr>
          <w:rFonts w:ascii="Arial" w:cs="Arial" w:eastAsia="Arial" w:hAnsi="Arial"/>
          <w:sz w:val="14"/>
          <w:szCs w:val="14"/>
          <w:color w:val="auto"/>
        </w:rPr>
      </w:pPr>
    </w:p>
    <w:p>
      <w:pPr>
        <w:ind w:firstLine="5"/>
        <w:spacing w:after="0" w:line="266" w:lineRule="auto"/>
        <w:tabs>
          <w:tab w:leader="none" w:pos="16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4"/>
          <w:szCs w:val="14"/>
          <w:color w:val="auto"/>
        </w:rPr>
      </w:pPr>
    </w:p>
    <w:p>
      <w:pPr>
        <w:ind w:left="520" w:hanging="6"/>
        <w:spacing w:after="0" w:line="266" w:lineRule="auto"/>
        <w:tabs>
          <w:tab w:leader="none" w:pos="694" w:val="left"/>
        </w:tabs>
        <w:numPr>
          <w:ilvl w:val="1"/>
          <w:numId w:val="3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680" w:hanging="166"/>
        <w:spacing w:after="0"/>
        <w:tabs>
          <w:tab w:leader="none" w:pos="6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tabs>
          <w:tab w:leader="none" w:pos="480" w:val="left"/>
          <w:tab w:leader="none" w:pos="1940" w:val="left"/>
        </w:tabs>
        <w:rPr>
          <w:sz w:val="20"/>
          <w:szCs w:val="20"/>
          <w:color w:val="auto"/>
        </w:rPr>
      </w:pPr>
      <w:r>
        <w:rPr>
          <w:rFonts w:ascii="Arial" w:cs="Arial" w:eastAsia="Arial" w:hAnsi="Arial"/>
          <w:sz w:val="14"/>
          <w:szCs w:val="14"/>
          <w:color w:val="auto"/>
        </w:rPr>
        <w:t>Date:</w:t>
        <w:tab/>
        <w:t>March 15, 2023</w:t>
      </w:r>
      <w:r>
        <w:rPr>
          <w:sz w:val="20"/>
          <w:szCs w:val="20"/>
          <w:color w:val="auto"/>
        </w:rPr>
        <w:tab/>
      </w:r>
      <w:r>
        <w:rPr>
          <w:rFonts w:ascii="Arial" w:cs="Arial" w:eastAsia="Arial" w:hAnsi="Arial"/>
          <w:sz w:val="14"/>
          <w:szCs w:val="14"/>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-13335</wp:posOffset>
            </wp:positionV>
            <wp:extent cx="66865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668655" cy="698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4"/>
          <w:szCs w:val="14"/>
          <w:color w:val="auto"/>
        </w:rPr>
        <w:t>Ed Barry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280"/>
          </w:cols>
          <w:pgMar w:left="300" w:top="725" w:right="3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b w:val="1"/>
          <w:bCs w:val="1"/>
          <w:color w:val="auto"/>
        </w:rPr>
        <w:t>Section 2: EX-31.2 (RULE 13A-14(A) CERTIFICATION OF THE PRINCIPAL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31.2</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133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31.2</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Rule 13a-14(a) Certification of the Principal Financial Officer.</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 Connie Egan, certify that:</w:t>
      </w:r>
    </w:p>
    <w:p>
      <w:pPr>
        <w:spacing w:after="0" w:line="179" w:lineRule="exact"/>
        <w:rPr>
          <w:sz w:val="20"/>
          <w:szCs w:val="20"/>
          <w:color w:val="auto"/>
        </w:rPr>
      </w:pPr>
    </w:p>
    <w:p>
      <w:pPr>
        <w:ind w:left="160" w:hanging="155"/>
        <w:spacing w:after="0"/>
        <w:tabs>
          <w:tab w:leader="none" w:pos="1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 have reviewed this quarterly report on Form 10-K of Capital Bancorp, Inc.;</w:t>
      </w:r>
    </w:p>
    <w:p>
      <w:pPr>
        <w:spacing w:after="0" w:line="178" w:lineRule="exact"/>
        <w:rPr>
          <w:rFonts w:ascii="Arial" w:cs="Arial" w:eastAsia="Arial" w:hAnsi="Arial"/>
          <w:sz w:val="14"/>
          <w:szCs w:val="14"/>
          <w:color w:val="auto"/>
        </w:rPr>
      </w:pPr>
    </w:p>
    <w:p>
      <w:pPr>
        <w:ind w:firstLine="5"/>
        <w:spacing w:after="0" w:line="266" w:lineRule="auto"/>
        <w:tabs>
          <w:tab w:leader="none" w:pos="1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4"/>
          <w:szCs w:val="14"/>
          <w:color w:val="auto"/>
        </w:rPr>
      </w:pPr>
    </w:p>
    <w:p>
      <w:pPr>
        <w:ind w:firstLine="5"/>
        <w:spacing w:after="0" w:line="266" w:lineRule="auto"/>
        <w:tabs>
          <w:tab w:leader="none" w:pos="168"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4"/>
          <w:szCs w:val="14"/>
          <w:color w:val="auto"/>
        </w:rPr>
      </w:pPr>
    </w:p>
    <w:p>
      <w:pPr>
        <w:ind w:left="160" w:hanging="155"/>
        <w:spacing w:after="0"/>
        <w:tabs>
          <w:tab w:leader="none" w:pos="1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78" w:lineRule="exact"/>
        <w:rPr>
          <w:rFonts w:ascii="Arial" w:cs="Arial" w:eastAsia="Arial" w:hAnsi="Arial"/>
          <w:sz w:val="14"/>
          <w:szCs w:val="14"/>
          <w:color w:val="auto"/>
        </w:rPr>
      </w:pPr>
    </w:p>
    <w:p>
      <w:pPr>
        <w:jc w:val="both"/>
        <w:ind w:left="520" w:hanging="6"/>
        <w:spacing w:after="0" w:line="259" w:lineRule="auto"/>
        <w:tabs>
          <w:tab w:leader="none" w:pos="698" w:val="left"/>
        </w:tabs>
        <w:numPr>
          <w:ilvl w:val="1"/>
          <w:numId w:val="3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4"/>
          <w:szCs w:val="14"/>
          <w:color w:val="auto"/>
        </w:rPr>
      </w:pPr>
    </w:p>
    <w:p>
      <w:pPr>
        <w:jc w:val="both"/>
        <w:ind w:left="520" w:hanging="6"/>
        <w:spacing w:after="0" w:line="259" w:lineRule="auto"/>
        <w:tabs>
          <w:tab w:leader="none" w:pos="715" w:val="left"/>
        </w:tabs>
        <w:numPr>
          <w:ilvl w:val="1"/>
          <w:numId w:val="3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4"/>
          <w:szCs w:val="14"/>
          <w:color w:val="auto"/>
        </w:rPr>
      </w:pPr>
    </w:p>
    <w:p>
      <w:pPr>
        <w:ind w:left="520" w:hanging="6"/>
        <w:spacing w:after="0" w:line="266" w:lineRule="auto"/>
        <w:tabs>
          <w:tab w:leader="none" w:pos="685" w:val="left"/>
        </w:tabs>
        <w:numPr>
          <w:ilvl w:val="1"/>
          <w:numId w:val="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520" w:hanging="6"/>
        <w:spacing w:after="0" w:line="266" w:lineRule="auto"/>
        <w:tabs>
          <w:tab w:leader="none" w:pos="702" w:val="left"/>
        </w:tabs>
        <w:numPr>
          <w:ilvl w:val="1"/>
          <w:numId w:val="3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2" w:lineRule="exact"/>
        <w:rPr>
          <w:rFonts w:ascii="Arial" w:cs="Arial" w:eastAsia="Arial" w:hAnsi="Arial"/>
          <w:sz w:val="14"/>
          <w:szCs w:val="14"/>
          <w:color w:val="auto"/>
        </w:rPr>
      </w:pPr>
    </w:p>
    <w:p>
      <w:pPr>
        <w:ind w:firstLine="5"/>
        <w:spacing w:after="0" w:line="266" w:lineRule="auto"/>
        <w:tabs>
          <w:tab w:leader="none" w:pos="16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4"/>
          <w:szCs w:val="14"/>
          <w:color w:val="auto"/>
        </w:rPr>
      </w:pPr>
    </w:p>
    <w:p>
      <w:pPr>
        <w:ind w:left="520" w:hanging="6"/>
        <w:spacing w:after="0" w:line="266" w:lineRule="auto"/>
        <w:tabs>
          <w:tab w:leader="none" w:pos="694" w:val="left"/>
        </w:tabs>
        <w:numPr>
          <w:ilvl w:val="1"/>
          <w:numId w:val="3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680" w:hanging="166"/>
        <w:spacing w:after="0"/>
        <w:tabs>
          <w:tab w:leader="none" w:pos="680" w:val="left"/>
        </w:tabs>
        <w:numPr>
          <w:ilvl w:val="1"/>
          <w:numId w:val="3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Date: March 15, 2023</w:t>
      </w:r>
      <w:r>
        <w:rPr>
          <w:sz w:val="20"/>
          <w:szCs w:val="20"/>
          <w:color w:val="auto"/>
        </w:rPr>
        <w:tab/>
      </w:r>
      <w:r>
        <w:rPr>
          <w:rFonts w:ascii="Arial" w:cs="Arial" w:eastAsia="Arial" w:hAnsi="Arial"/>
          <w:sz w:val="14"/>
          <w:szCs w:val="14"/>
          <w:color w:val="auto"/>
        </w:rPr>
        <w:t>By: /s/ Connie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-13335</wp:posOffset>
            </wp:positionV>
            <wp:extent cx="73850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738505" cy="698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4"/>
          <w:szCs w:val="14"/>
          <w:color w:val="auto"/>
        </w:rPr>
        <w:t>Connie Egan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80"/>
          </w:cols>
          <w:pgMar w:left="300" w:top="725" w:right="3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b w:val="1"/>
          <w:bCs w:val="1"/>
          <w:color w:val="auto"/>
        </w:rPr>
        <w:t>Section 2: EX-32 (Certification Pursuant to 18 U.S.C. Section 1350, As Adopted Pursuant to Section 906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32</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133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the Quarterly Report of Capital Bancorp, Inc. (the “Company”) on Form 10-K for the period ended December 31, 2022,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62" w:lineRule="exact"/>
        <w:rPr>
          <w:sz w:val="20"/>
          <w:szCs w:val="20"/>
          <w:color w:val="auto"/>
        </w:rPr>
      </w:pPr>
    </w:p>
    <w:p>
      <w:pPr>
        <w:ind w:left="500" w:hanging="240"/>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78" w:lineRule="exact"/>
        <w:rPr>
          <w:rFonts w:ascii="Arial" w:cs="Arial" w:eastAsia="Arial" w:hAnsi="Arial"/>
          <w:sz w:val="14"/>
          <w:szCs w:val="14"/>
          <w:color w:val="auto"/>
        </w:rPr>
      </w:pPr>
    </w:p>
    <w:p>
      <w:pPr>
        <w:ind w:left="500" w:hanging="240"/>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39" w:lineRule="exact"/>
        <w:rPr>
          <w:sz w:val="20"/>
          <w:szCs w:val="20"/>
          <w:color w:val="auto"/>
        </w:rPr>
      </w:pPr>
    </w:p>
    <w:p>
      <w:pPr>
        <w:spacing w:after="0"/>
        <w:tabs>
          <w:tab w:leader="none" w:pos="480" w:val="left"/>
          <w:tab w:leader="none" w:pos="1940" w:val="left"/>
        </w:tabs>
        <w:rPr>
          <w:sz w:val="20"/>
          <w:szCs w:val="20"/>
          <w:color w:val="auto"/>
        </w:rPr>
      </w:pPr>
      <w:r>
        <w:rPr>
          <w:rFonts w:ascii="Arial" w:cs="Arial" w:eastAsia="Arial" w:hAnsi="Arial"/>
          <w:sz w:val="14"/>
          <w:szCs w:val="14"/>
          <w:color w:val="auto"/>
        </w:rPr>
        <w:t>Date:</w:t>
        <w:tab/>
        <w:t>March 15, 2023</w:t>
      </w:r>
      <w:r>
        <w:rPr>
          <w:sz w:val="20"/>
          <w:szCs w:val="20"/>
          <w:color w:val="auto"/>
        </w:rPr>
        <w:tab/>
      </w:r>
      <w:r>
        <w:rPr>
          <w:rFonts w:ascii="Arial" w:cs="Arial" w:eastAsia="Arial" w:hAnsi="Arial"/>
          <w:sz w:val="14"/>
          <w:szCs w:val="14"/>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-13335</wp:posOffset>
            </wp:positionV>
            <wp:extent cx="66865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668655" cy="698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4"/>
          <w:szCs w:val="14"/>
          <w:color w:val="auto"/>
        </w:rPr>
        <w:t>Ed Barry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Chief Executive Officer</w:t>
      </w:r>
    </w:p>
    <w:p>
      <w:pPr>
        <w:spacing w:after="0" w:line="39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By: /s/ Connie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-13335</wp:posOffset>
            </wp:positionV>
            <wp:extent cx="73850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738505" cy="698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4"/>
          <w:szCs w:val="14"/>
          <w:color w:val="auto"/>
        </w:rPr>
        <w:t>Connie Egan</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Principal Financial Officer</w:t>
      </w:r>
    </w:p>
    <w:sectPr>
      <w:pgSz w:w="11900" w:h="16838" w:orient="portrait"/>
      <w:cols w:equalWidth="0" w:num="1">
        <w:col w:w="11180"/>
      </w:cols>
      <w:pgMar w:left="300" w:top="7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0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5"/>
    </w:lvl>
  </w:abstractNum>
  <w:abstractNum w:abstractNumId="23">
    <w:nsid w:val="7C3DBD3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4">
    <w:nsid w:val="737B8DDC"/>
    <w:multiLevelType w:val="hybridMultilevel"/>
    <w:lvl w:ilvl="0">
      <w:lvlJc w:val="left"/>
      <w:lvlText w:val="%1"/>
      <w:numFmt w:val="decimal"/>
      <w:start w:val="1"/>
    </w:lvl>
    <w:lvl w:ilvl="1">
      <w:lvlJc w:val="left"/>
      <w:lvlText w:val="%2."/>
      <w:numFmt w:val="lowerLetter"/>
      <w:start w:val="3"/>
    </w:lvl>
  </w:abstractNum>
  <w:abstractNum w:abstractNumId="25">
    <w:nsid w:val="6CEAF087"/>
    <w:multiLevelType w:val="hybridMultilevel"/>
    <w:lvl w:ilvl="0">
      <w:lvlJc w:val="left"/>
      <w:lvlText w:val="%1."/>
      <w:numFmt w:val="decimal"/>
      <w:start w:val="7"/>
    </w:lvl>
    <w:lvl w:ilvl="1">
      <w:lvlJc w:val="left"/>
      <w:lvlText w:val="%2."/>
      <w:numFmt w:val="lowerLetter"/>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decimal"/>
      <w:start w:val="13"/>
    </w:lvl>
  </w:abstractNum>
  <w:abstractNum w:abstractNumId="28">
    <w:nsid w:val="3006C83E"/>
    <w:multiLevelType w:val="hybridMultilevel"/>
    <w:lvl w:ilvl="0">
      <w:lvlJc w:val="left"/>
      <w:lvlText w:val="%1."/>
      <w:numFmt w:val="decimal"/>
      <w:start w:val="15"/>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4"/>
    </w:lvl>
    <w:lvl w:ilvl="1">
      <w:lvlJc w:val="left"/>
      <w:lvlText w:val="%2."/>
      <w:numFmt w:val="lowerLetter"/>
      <w:start w:val="1"/>
    </w:lvl>
  </w:abstractNum>
  <w:abstractNum w:abstractNumId="31">
    <w:nsid w:val="5577F8E1"/>
    <w:multiLevelType w:val="hybridMultilevel"/>
    <w:lvl w:ilvl="0">
      <w:lvlJc w:val="left"/>
      <w:lvlText w:val="%1."/>
      <w:numFmt w:val="decimal"/>
      <w:start w:val="9"/>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lvl w:ilvl="1">
      <w:lvlJc w:val="left"/>
      <w:lvlText w:val="%2."/>
      <w:numFmt w:val="decimal"/>
      <w:start w:val="2"/>
    </w:lvl>
  </w:abstractNum>
  <w:abstractNum w:abstractNumId="34">
    <w:nsid w:val="3804823E"/>
    <w:multiLevelType w:val="hybridMultilevel"/>
    <w:lvl w:ilvl="0">
      <w:lvlJc w:val="left"/>
      <w:lvlText w:val="%1."/>
      <w:numFmt w:val="decimal"/>
      <w:start w:val="20"/>
    </w:lvl>
    <w:lvl w:ilvl="1">
      <w:lvlJc w:val="left"/>
      <w:lvlText w:val="%2"/>
      <w:numFmt w:val="decimal"/>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15" Type="http://schemas.openxmlformats.org/officeDocument/2006/relationships/hyperlink" Target="https://www.sec.gov/Archives/edgar/data/1419536/000162828018011581/exhibit31cbnks1.htm" TargetMode="External"/><Relationship Id="rId216" Type="http://schemas.openxmlformats.org/officeDocument/2006/relationships/hyperlink" Target="https://www.sec.gov/Archives/edgar/data/1419536/000162828018011581/exhibit32cbnks1.htm" TargetMode="External"/><Relationship Id="rId217" Type="http://schemas.openxmlformats.org/officeDocument/2006/relationships/hyperlink" Target="https://www.sec.gov/Archives/edgar/data/0001419536/000162828018011895/exhibit41cbnks1a1.htm" TargetMode="External"/><Relationship Id="rId218" Type="http://schemas.openxmlformats.org/officeDocument/2006/relationships/hyperlink" Target="https://www.sec.gov/Archives/edgar/data/1419536/000141953620000027/exhibit42q42019.htm" TargetMode="External"/><Relationship Id="rId219" Type="http://schemas.openxmlformats.org/officeDocument/2006/relationships/hyperlink" Target="https://www.sec.gov/Archives/edgar/data/1419536/000162828018011581/exhibit101cbnks1.htm" TargetMode="External"/><Relationship Id="rId220" Type="http://schemas.openxmlformats.org/officeDocument/2006/relationships/hyperlink" Target="https://www.sec.gov/Archives/edgar/data/0001419536/000162828018011895/exhibit102cbnks1a1.htm" TargetMode="External"/><Relationship Id="rId221" Type="http://schemas.openxmlformats.org/officeDocument/2006/relationships/hyperlink" Target="https://www.sec.gov/Archives/edgar/data/0001419536/000162828018011895/exhibit103cbnks1a1.htm" TargetMode="External"/><Relationship Id="rId222" Type="http://schemas.openxmlformats.org/officeDocument/2006/relationships/hyperlink" Target="https://www.sec.gov/Archives/edgar/data/0001419536/000162828018011895/exhibit104cbnks1a1.htm" TargetMode="External"/><Relationship Id="rId223" Type="http://schemas.openxmlformats.org/officeDocument/2006/relationships/hyperlink" Target="https://www.sec.gov/Archives/edgar/data/0001419536/000162828018011895/exhibit105cbnks1a1.htm" TargetMode="External"/><Relationship Id="rId224" Type="http://schemas.openxmlformats.org/officeDocument/2006/relationships/hyperlink" Target="https://www.sec.gov/Archives/edgar/data/0001419536/000162828018011895/exhibit106cbnks1a1.htm" TargetMode="External"/><Relationship Id="rId225" Type="http://schemas.openxmlformats.org/officeDocument/2006/relationships/hyperlink" Target="https://www.sec.gov/Archives/edgar/data/0001419536/000162828019000224/capital-barryemploymentagr.htm" TargetMode="External"/><Relationship Id="rId226" Type="http://schemas.openxmlformats.org/officeDocument/2006/relationships/hyperlink" Target="https://www.sec.gov/Archives/edgar/data/0001419536/000141953621000140/exhibit-barryamendmenttoem.htm" TargetMode="External"/><Relationship Id="rId227" Type="http://schemas.openxmlformats.org/officeDocument/2006/relationships/hyperlink" Target="https://www.sec.gov/Archives/edgar/data/0001419536/000141953622000033/browningemploymentagreemen.htm" TargetMode="External"/><Relationship Id="rId228" Type="http://schemas.openxmlformats.org/officeDocument/2006/relationships/hyperlink" Target="https://www.sec.gov/Archives/edgar/data/0001419536/000141953620000067/ex101employmentagreement.htm" TargetMode="External"/><Relationship Id="rId229" Type="http://schemas.openxmlformats.org/officeDocument/2006/relationships/hyperlink" Target="https://www.sec.gov/Archives/edgar/data/1419536/000141953622000076/capitalbank-barryemploymen.htm" TargetMode="External"/><Relationship Id="rId230" Type="http://schemas.openxmlformats.org/officeDocument/2006/relationships/hyperlink" Target="https://www.sec.gov/Archives/edgar/data/1419536/000141953622000098/stevenmpoynotemploymen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2023-03-15T18:12:02Z</dcterms:created>
  <dcterms:modified xsi:type="dcterms:W3CDTF">2023-03-15T18:12:02Z</dcterms:modified>
</cp:coreProperties>
</file>