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Washington, D.C. 20549</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183"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ANNUAL REPORT PURSUANT TO SECTION 13 OR 15(d) OF THE SECURITIES EXCHANGE ACT OF 1934</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fiscal year ended December 31, 2023</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OR</w:t>
      </w:r>
    </w:p>
    <w:p>
      <w:pPr>
        <w:spacing w:after="0" w:line="8" w:lineRule="exact"/>
        <w:rPr>
          <w:sz w:val="24"/>
          <w:szCs w:val="24"/>
          <w:color w:val="auto"/>
        </w:rPr>
      </w:pPr>
    </w:p>
    <w:p>
      <w:pPr>
        <w:ind w:left="160" w:hanging="155"/>
        <w:spacing w:after="0"/>
        <w:tabs>
          <w:tab w:leader="none" w:pos="16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TRANSITION REPORT PURSUANT TO SECTION 13 OR 15 (D) OF THE SECURITIES EXCHANGE ACT OF 1934</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9"/>
          </w:tcPr>
          <w:p>
            <w:pPr>
              <w:jc w:val="center"/>
              <w:ind w:right="400"/>
              <w:spacing w:after="0"/>
              <w:rPr>
                <w:sz w:val="20"/>
                <w:szCs w:val="20"/>
                <w:color w:val="auto"/>
              </w:rPr>
            </w:pPr>
            <w:r>
              <w:rPr>
                <w:rFonts w:ascii="Arial" w:cs="Arial" w:eastAsia="Arial" w:hAnsi="Arial"/>
                <w:sz w:val="14"/>
                <w:szCs w:val="14"/>
                <w:color w:val="auto"/>
              </w:rPr>
              <w:t>For the Transition Period from to</w:t>
            </w:r>
          </w:p>
        </w:tc>
        <w:tc>
          <w:tcPr>
            <w:tcW w:w="4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60" w:type="dxa"/>
            <w:vAlign w:val="bottom"/>
            <w:gridSpan w:val="9"/>
          </w:tcPr>
          <w:p>
            <w:pPr>
              <w:jc w:val="center"/>
              <w:ind w:right="400"/>
              <w:spacing w:after="0"/>
              <w:rPr>
                <w:sz w:val="20"/>
                <w:szCs w:val="20"/>
                <w:color w:val="auto"/>
              </w:rPr>
            </w:pPr>
            <w:r>
              <w:rPr>
                <w:rFonts w:ascii="Arial" w:cs="Arial" w:eastAsia="Arial" w:hAnsi="Arial"/>
                <w:sz w:val="14"/>
                <w:szCs w:val="14"/>
                <w:color w:val="auto"/>
              </w:rPr>
              <w:t>Commission file number 001-38671</w:t>
            </w:r>
          </w:p>
        </w:tc>
        <w:tc>
          <w:tcPr>
            <w:tcW w:w="4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9"/>
              </w:rPr>
              <w:t>CAPITAL BANCORP, INC.</w:t>
            </w:r>
          </w:p>
        </w:tc>
        <w:tc>
          <w:tcPr>
            <w:tcW w:w="720" w:type="dxa"/>
            <w:vAlign w:val="bottom"/>
            <w:gridSpan w:val="2"/>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9"/>
          </w:tcPr>
          <w:p>
            <w:pPr>
              <w:jc w:val="center"/>
              <w:ind w:right="380"/>
              <w:spacing w:after="0"/>
              <w:rPr>
                <w:sz w:val="20"/>
                <w:szCs w:val="20"/>
                <w:color w:val="auto"/>
              </w:rPr>
            </w:pPr>
            <w:r>
              <w:rPr>
                <w:rFonts w:ascii="Arial" w:cs="Arial" w:eastAsia="Arial" w:hAnsi="Arial"/>
                <w:sz w:val="8"/>
                <w:szCs w:val="8"/>
                <w:color w:val="auto"/>
              </w:rPr>
              <w:t>(Exact name of registrant as specified in its charter)</w:t>
            </w:r>
          </w:p>
        </w:tc>
        <w:tc>
          <w:tcPr>
            <w:tcW w:w="4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jc w:val="center"/>
              <w:ind w:left="1219"/>
              <w:spacing w:after="0"/>
              <w:rPr>
                <w:sz w:val="20"/>
                <w:szCs w:val="20"/>
                <w:color w:val="auto"/>
              </w:rPr>
            </w:pPr>
            <w:r>
              <w:rPr>
                <w:rFonts w:ascii="Arial" w:cs="Arial" w:eastAsia="Arial" w:hAnsi="Arial"/>
                <w:sz w:val="14"/>
                <w:szCs w:val="14"/>
                <w:b w:val="1"/>
                <w:bCs w:val="1"/>
                <w:color w:val="auto"/>
              </w:rPr>
              <w:t>Maryland</w:t>
            </w: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jc w:val="right"/>
              <w:ind w:right="2220"/>
              <w:spacing w:after="0"/>
              <w:rPr>
                <w:sz w:val="20"/>
                <w:szCs w:val="20"/>
                <w:color w:val="auto"/>
              </w:rPr>
            </w:pPr>
            <w:r>
              <w:rPr>
                <w:rFonts w:ascii="Arial" w:cs="Arial" w:eastAsia="Arial" w:hAnsi="Arial"/>
                <w:sz w:val="14"/>
                <w:szCs w:val="14"/>
                <w:b w:val="1"/>
                <w:bCs w:val="1"/>
                <w:color w:val="auto"/>
              </w:rPr>
              <w:t>52-2083046</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180" w:type="dxa"/>
            <w:vAlign w:val="bottom"/>
          </w:tcPr>
          <w:p>
            <w:pPr>
              <w:jc w:val="center"/>
              <w:ind w:left="1219"/>
              <w:spacing w:after="0"/>
              <w:rPr>
                <w:sz w:val="20"/>
                <w:szCs w:val="20"/>
                <w:color w:val="auto"/>
              </w:rPr>
            </w:pPr>
            <w:r>
              <w:rPr>
                <w:rFonts w:ascii="Arial" w:cs="Arial" w:eastAsia="Arial" w:hAnsi="Arial"/>
                <w:sz w:val="8"/>
                <w:szCs w:val="8"/>
                <w:color w:val="auto"/>
              </w:rPr>
              <w:t>(State or other jurisdiction of incorporation or organization)</w:t>
            </w: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80" w:type="dxa"/>
            <w:vAlign w:val="bottom"/>
            <w:gridSpan w:val="2"/>
          </w:tcPr>
          <w:p>
            <w:pPr>
              <w:jc w:val="center"/>
              <w:ind w:right="1280"/>
              <w:spacing w:after="0"/>
              <w:rPr>
                <w:sz w:val="20"/>
                <w:szCs w:val="20"/>
                <w:color w:val="auto"/>
              </w:rPr>
            </w:pPr>
            <w:r>
              <w:rPr>
                <w:rFonts w:ascii="Arial" w:cs="Arial" w:eastAsia="Arial" w:hAnsi="Arial"/>
                <w:sz w:val="8"/>
                <w:szCs w:val="8"/>
                <w:color w:val="auto"/>
              </w:rPr>
              <w:t>(IRS Employer Identification No.)</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tcPr>
          <w:p>
            <w:pPr>
              <w:jc w:val="center"/>
              <w:ind w:left="1219"/>
              <w:spacing w:after="0" w:line="144" w:lineRule="exact"/>
              <w:rPr>
                <w:sz w:val="20"/>
                <w:szCs w:val="20"/>
                <w:color w:val="auto"/>
              </w:rPr>
            </w:pPr>
            <w:r>
              <w:rPr>
                <w:rFonts w:ascii="Arial" w:cs="Arial" w:eastAsia="Arial" w:hAnsi="Arial"/>
                <w:sz w:val="13"/>
                <w:szCs w:val="13"/>
                <w:b w:val="1"/>
                <w:bCs w:val="1"/>
                <w:color w:val="auto"/>
                <w:w w:val="98"/>
              </w:rPr>
              <w:t>2275 Research Boulevard, Suite 600,</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60" w:type="dxa"/>
            <w:vAlign w:val="bottom"/>
            <w:vMerge w:val="restart"/>
          </w:tcPr>
          <w:p>
            <w:pPr>
              <w:jc w:val="right"/>
              <w:ind w:right="2420"/>
              <w:spacing w:after="0"/>
              <w:rPr>
                <w:sz w:val="20"/>
                <w:szCs w:val="20"/>
                <w:color w:val="auto"/>
              </w:rPr>
            </w:pPr>
            <w:r>
              <w:rPr>
                <w:rFonts w:ascii="Arial" w:cs="Arial" w:eastAsia="Arial" w:hAnsi="Arial"/>
                <w:sz w:val="13"/>
                <w:szCs w:val="13"/>
                <w:b w:val="1"/>
                <w:bCs w:val="1"/>
                <w:color w:val="auto"/>
              </w:rPr>
              <w:t>20850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4180" w:type="dxa"/>
            <w:vAlign w:val="bottom"/>
            <w:tcBorders>
              <w:bottom w:val="single" w:sz="8" w:color="auto"/>
            </w:tcBorders>
          </w:tcPr>
          <w:p>
            <w:pPr>
              <w:jc w:val="center"/>
              <w:ind w:left="1219"/>
              <w:spacing w:after="0"/>
              <w:rPr>
                <w:sz w:val="20"/>
                <w:szCs w:val="20"/>
                <w:color w:val="auto"/>
              </w:rPr>
            </w:pPr>
            <w:r>
              <w:rPr>
                <w:rFonts w:ascii="Arial" w:cs="Arial" w:eastAsia="Arial" w:hAnsi="Arial"/>
                <w:sz w:val="13"/>
                <w:szCs w:val="13"/>
                <w:b w:val="1"/>
                <w:bCs w:val="1"/>
                <w:color w:val="auto"/>
                <w:w w:val="98"/>
              </w:rPr>
              <w:t>Rockville, Maryland 20850</w:t>
            </w: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180" w:type="dxa"/>
            <w:vAlign w:val="bottom"/>
          </w:tcPr>
          <w:p>
            <w:pPr>
              <w:jc w:val="center"/>
              <w:ind w:left="1219"/>
              <w:spacing w:after="0"/>
              <w:rPr>
                <w:sz w:val="20"/>
                <w:szCs w:val="20"/>
                <w:color w:val="auto"/>
              </w:rPr>
            </w:pPr>
            <w:r>
              <w:rPr>
                <w:rFonts w:ascii="Arial" w:cs="Arial" w:eastAsia="Arial" w:hAnsi="Arial"/>
                <w:sz w:val="8"/>
                <w:szCs w:val="8"/>
                <w:color w:val="auto"/>
              </w:rPr>
              <w:t>(Address of principal executive offices)</w:t>
            </w: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80" w:type="dxa"/>
            <w:vAlign w:val="bottom"/>
            <w:gridSpan w:val="2"/>
          </w:tcPr>
          <w:p>
            <w:pPr>
              <w:jc w:val="center"/>
              <w:ind w:right="1280"/>
              <w:spacing w:after="0"/>
              <w:rPr>
                <w:sz w:val="20"/>
                <w:szCs w:val="20"/>
                <w:color w:val="auto"/>
              </w:rPr>
            </w:pPr>
            <w:r>
              <w:rPr>
                <w:rFonts w:ascii="Arial" w:cs="Arial" w:eastAsia="Arial" w:hAnsi="Arial"/>
                <w:sz w:val="8"/>
                <w:szCs w:val="8"/>
                <w:color w:val="auto"/>
              </w:rPr>
              <w:t>(Zip Code)</w:t>
            </w: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40" w:type="dxa"/>
            <w:vAlign w:val="bottom"/>
            <w:gridSpan w:val="6"/>
          </w:tcPr>
          <w:p>
            <w:pPr>
              <w:jc w:val="center"/>
              <w:ind w:left="1003"/>
              <w:spacing w:after="0"/>
              <w:rPr>
                <w:sz w:val="20"/>
                <w:szCs w:val="20"/>
                <w:color w:val="auto"/>
              </w:rPr>
            </w:pPr>
            <w:r>
              <w:rPr>
                <w:rFonts w:ascii="Arial" w:cs="Arial" w:eastAsia="Arial" w:hAnsi="Arial"/>
                <w:sz w:val="11"/>
                <w:szCs w:val="11"/>
                <w:b w:val="1"/>
                <w:bCs w:val="1"/>
                <w:color w:val="auto"/>
              </w:rPr>
              <w:t>(301) 468-8848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760" w:type="dxa"/>
            <w:vAlign w:val="bottom"/>
            <w:gridSpan w:val="9"/>
          </w:tcPr>
          <w:p>
            <w:pPr>
              <w:jc w:val="center"/>
              <w:ind w:right="380"/>
              <w:spacing w:after="0"/>
              <w:rPr>
                <w:sz w:val="20"/>
                <w:szCs w:val="20"/>
                <w:color w:val="auto"/>
              </w:rPr>
            </w:pPr>
            <w:r>
              <w:rPr>
                <w:rFonts w:ascii="Arial" w:cs="Arial" w:eastAsia="Arial" w:hAnsi="Arial"/>
                <w:sz w:val="8"/>
                <w:szCs w:val="8"/>
                <w:color w:val="auto"/>
              </w:rPr>
              <w:t>Registrant’s telephone number, including area code</w:t>
            </w:r>
          </w:p>
        </w:tc>
        <w:tc>
          <w:tcPr>
            <w:tcW w:w="4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20" w:type="dxa"/>
            <w:vAlign w:val="bottom"/>
            <w:gridSpan w:val="10"/>
          </w:tcPr>
          <w:p>
            <w:pPr>
              <w:jc w:val="center"/>
              <w:ind w:right="140"/>
              <w:spacing w:after="0"/>
              <w:rPr>
                <w:sz w:val="20"/>
                <w:szCs w:val="20"/>
                <w:color w:val="auto"/>
              </w:rPr>
            </w:pPr>
            <w:r>
              <w:rPr>
                <w:rFonts w:ascii="Arial" w:cs="Arial" w:eastAsia="Arial" w:hAnsi="Arial"/>
                <w:sz w:val="11"/>
                <w:szCs w:val="11"/>
                <w:color w:val="auto"/>
              </w:rPr>
              <w:t>Securities registered pursuant to Section 12(b) of the Act:</w:t>
            </w: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20" w:type="dxa"/>
            <w:vAlign w:val="bottom"/>
            <w:gridSpan w:val="8"/>
          </w:tcPr>
          <w:p>
            <w:pPr>
              <w:jc w:val="center"/>
              <w:ind w:right="1280"/>
              <w:spacing w:after="0"/>
              <w:rPr>
                <w:sz w:val="20"/>
                <w:szCs w:val="20"/>
                <w:color w:val="auto"/>
              </w:rPr>
            </w:pPr>
            <w:r>
              <w:rPr>
                <w:rFonts w:ascii="Arial" w:cs="Arial" w:eastAsia="Arial" w:hAnsi="Arial"/>
                <w:sz w:val="14"/>
                <w:szCs w:val="14"/>
                <w:b w:val="1"/>
                <w:bCs w:val="1"/>
                <w:color w:val="auto"/>
              </w:rPr>
              <w:t>Trading Symbol</w:t>
            </w:r>
          </w:p>
        </w:tc>
        <w:tc>
          <w:tcPr>
            <w:tcW w:w="40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5"/>
          </w:tcPr>
          <w:p>
            <w:pPr>
              <w:jc w:val="center"/>
              <w:ind w:right="340"/>
              <w:spacing w:after="0"/>
              <w:rPr>
                <w:sz w:val="20"/>
                <w:szCs w:val="20"/>
                <w:color w:val="auto"/>
              </w:rPr>
            </w:pPr>
            <w:r>
              <w:rPr>
                <w:rFonts w:ascii="Arial" w:cs="Arial" w:eastAsia="Arial" w:hAnsi="Arial"/>
                <w:sz w:val="14"/>
                <w:szCs w:val="14"/>
                <w:color w:val="auto"/>
              </w:rPr>
              <w:t>CBNK</w:t>
            </w:r>
          </w:p>
        </w:tc>
        <w:tc>
          <w:tcPr>
            <w:tcW w:w="260" w:type="dxa"/>
            <w:vAlign w:val="bottom"/>
            <w:gridSpan w:val="2"/>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60" w:type="dxa"/>
            <w:vAlign w:val="bottom"/>
            <w:tcBorders>
              <w:top w:val="single" w:sz="8" w:color="auto"/>
            </w:tcBorders>
          </w:tcPr>
          <w:p>
            <w:pPr>
              <w:jc w:val="center"/>
              <w:ind w:right="640"/>
              <w:spacing w:after="0"/>
              <w:rPr>
                <w:sz w:val="20"/>
                <w:szCs w:val="20"/>
                <w:color w:val="auto"/>
              </w:rPr>
            </w:pPr>
            <w:r>
              <w:rPr>
                <w:rFonts w:ascii="Arial" w:cs="Arial" w:eastAsia="Arial" w:hAnsi="Arial"/>
                <w:sz w:val="14"/>
                <w:szCs w:val="14"/>
                <w:color w:val="auto"/>
              </w:rPr>
              <w:t>The NASDAQ Stock Market, LLC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3"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r>
        <w:rPr>
          <w:rFonts w:ascii="Arial" w:cs="Arial" w:eastAsia="Arial" w:hAnsi="Arial"/>
          <w:sz w:val="11"/>
          <w:szCs w:val="11"/>
          <w:color w:val="auto"/>
        </w:rPr>
        <w:t>.</w:t>
      </w:r>
    </w:p>
    <w:p>
      <w:pPr>
        <w:spacing w:after="0" w:line="200" w:lineRule="exact"/>
        <w:rPr>
          <w:sz w:val="24"/>
          <w:szCs w:val="24"/>
          <w:color w:val="auto"/>
        </w:rPr>
      </w:pPr>
    </w:p>
    <w:p>
      <w:pPr>
        <w:spacing w:after="0" w:line="234" w:lineRule="exact"/>
        <w:rPr>
          <w:sz w:val="24"/>
          <w:szCs w:val="24"/>
          <w:color w:val="auto"/>
        </w:rPr>
      </w:pPr>
    </w:p>
    <w:p>
      <w:pPr>
        <w:ind w:right="3880"/>
        <w:spacing w:after="0" w:line="21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93" w:lineRule="exact"/>
        <w:rPr>
          <w:sz w:val="24"/>
          <w:szCs w:val="24"/>
          <w:color w:val="auto"/>
        </w:rPr>
      </w:pPr>
    </w:p>
    <w:p>
      <w:pPr>
        <w:ind w:right="8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29" w:lineRule="exact"/>
        <w:rPr>
          <w:sz w:val="24"/>
          <w:szCs w:val="24"/>
          <w:color w:val="auto"/>
        </w:rPr>
      </w:pPr>
    </w:p>
    <w:p>
      <w:pPr>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5" w:lineRule="exact"/>
        <w:rPr>
          <w:sz w:val="24"/>
          <w:szCs w:val="24"/>
          <w:color w:val="auto"/>
        </w:rPr>
      </w:pPr>
    </w:p>
    <w:p>
      <w:pPr>
        <w:spacing w:after="0" w:line="26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720090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8" w:right="319" w:bottom="1440" w:gutter="0" w:footer="0" w:header="0"/>
        </w:sectPr>
      </w:pPr>
    </w:p>
    <w:bookmarkStart w:id="1" w:name="page2"/>
    <w:bookmarkEnd w:id="1"/>
    <w:tbl>
      <w:tblPr>
        <w:tblLayout w:type="fixed"/>
        <w:tblInd w:w="980" w:type="dxa"/>
        <w:tblCellMar>
          <w:top w:w="0" w:type="dxa"/>
          <w:left w:w="0" w:type="dxa"/>
          <w:bottom w:w="0" w:type="dxa"/>
          <w:right w:w="0" w:type="dxa"/>
        </w:tblCellMar>
      </w:tblPr>
      <w:tr>
        <w:trPr>
          <w:trHeight w:val="163"/>
        </w:trPr>
        <w:tc>
          <w:tcPr>
            <w:tcW w:w="15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660" w:type="dxa"/>
            <w:vAlign w:val="bottom"/>
          </w:tcPr>
          <w:p>
            <w:pPr>
              <w:ind w:left="440"/>
              <w:spacing w:after="0" w:line="111" w:lineRule="exact"/>
              <w:rPr>
                <w:sz w:val="20"/>
                <w:szCs w:val="20"/>
                <w:color w:val="auto"/>
              </w:rPr>
            </w:pPr>
            <w:r>
              <w:rPr>
                <w:rFonts w:ascii="MS PGothic" w:cs="MS PGothic" w:eastAsia="MS PGothic" w:hAnsi="MS PGothic"/>
                <w:sz w:val="11"/>
                <w:szCs w:val="11"/>
                <w:color w:val="auto"/>
              </w:rPr>
              <w:t>☐</w:t>
            </w:r>
          </w:p>
        </w:tc>
        <w:tc>
          <w:tcPr>
            <w:tcW w:w="4060" w:type="dxa"/>
            <w:vAlign w:val="bottom"/>
          </w:tcPr>
          <w:p>
            <w:pPr>
              <w:ind w:left="2120"/>
              <w:spacing w:after="0"/>
              <w:rPr>
                <w:sz w:val="20"/>
                <w:szCs w:val="20"/>
                <w:color w:val="auto"/>
              </w:rPr>
            </w:pPr>
            <w:r>
              <w:rPr>
                <w:rFonts w:ascii="Arial" w:cs="Arial" w:eastAsia="Arial" w:hAnsi="Arial"/>
                <w:sz w:val="11"/>
                <w:szCs w:val="11"/>
                <w:color w:val="auto"/>
              </w:rPr>
              <w:t>Accelerated filer</w:t>
            </w:r>
          </w:p>
        </w:tc>
        <w:tc>
          <w:tcPr>
            <w:tcW w:w="74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91"/>
              </w:rPr>
              <w:t>☒</w:t>
            </w:r>
          </w:p>
        </w:tc>
      </w:tr>
      <w:tr>
        <w:trPr>
          <w:trHeight w:val="193"/>
        </w:trPr>
        <w:tc>
          <w:tcPr>
            <w:tcW w:w="1560" w:type="dxa"/>
            <w:vAlign w:val="bottom"/>
          </w:tcPr>
          <w:p>
            <w:pPr>
              <w:spacing w:after="0"/>
              <w:rPr>
                <w:sz w:val="20"/>
                <w:szCs w:val="20"/>
                <w:color w:val="auto"/>
              </w:rPr>
            </w:pPr>
            <w:r>
              <w:rPr>
                <w:rFonts w:ascii="Arial" w:cs="Arial" w:eastAsia="Arial" w:hAnsi="Arial"/>
                <w:sz w:val="11"/>
                <w:szCs w:val="11"/>
                <w:color w:val="auto"/>
              </w:rPr>
              <w:t>Non-accelerated filer</w:t>
            </w:r>
          </w:p>
        </w:tc>
        <w:tc>
          <w:tcPr>
            <w:tcW w:w="2660" w:type="dxa"/>
            <w:vAlign w:val="bottom"/>
          </w:tcPr>
          <w:p>
            <w:pPr>
              <w:ind w:left="440"/>
              <w:spacing w:after="0" w:line="111" w:lineRule="exact"/>
              <w:rPr>
                <w:sz w:val="20"/>
                <w:szCs w:val="20"/>
                <w:color w:val="auto"/>
              </w:rPr>
            </w:pPr>
            <w:r>
              <w:rPr>
                <w:rFonts w:ascii="MS PGothic" w:cs="MS PGothic" w:eastAsia="MS PGothic" w:hAnsi="MS PGothic"/>
                <w:sz w:val="11"/>
                <w:szCs w:val="11"/>
                <w:color w:val="auto"/>
              </w:rPr>
              <w:t>☐</w:t>
            </w:r>
          </w:p>
        </w:tc>
        <w:tc>
          <w:tcPr>
            <w:tcW w:w="4060" w:type="dxa"/>
            <w:vAlign w:val="bottom"/>
          </w:tcPr>
          <w:p>
            <w:pPr>
              <w:ind w:left="2120"/>
              <w:spacing w:after="0"/>
              <w:rPr>
                <w:sz w:val="20"/>
                <w:szCs w:val="20"/>
                <w:color w:val="auto"/>
              </w:rPr>
            </w:pPr>
            <w:r>
              <w:rPr>
                <w:rFonts w:ascii="Arial" w:cs="Arial" w:eastAsia="Arial" w:hAnsi="Arial"/>
                <w:sz w:val="11"/>
                <w:szCs w:val="11"/>
                <w:color w:val="auto"/>
              </w:rPr>
              <w:t>Smaller reporting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1"/>
        </w:trPr>
        <w:tc>
          <w:tcPr>
            <w:tcW w:w="15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060" w:type="dxa"/>
            <w:vAlign w:val="bottom"/>
          </w:tcPr>
          <w:p>
            <w:pPr>
              <w:ind w:left="2120"/>
              <w:spacing w:after="0"/>
              <w:rPr>
                <w:sz w:val="20"/>
                <w:szCs w:val="20"/>
                <w:color w:val="auto"/>
              </w:rPr>
            </w:pPr>
            <w:r>
              <w:rPr>
                <w:rFonts w:ascii="Arial" w:cs="Arial" w:eastAsia="Arial" w:hAnsi="Arial"/>
                <w:sz w:val="11"/>
                <w:szCs w:val="11"/>
                <w:color w:val="auto"/>
              </w:rPr>
              <w:t>Emerging growth company</w:t>
            </w:r>
          </w:p>
        </w:tc>
        <w:tc>
          <w:tcPr>
            <w:tcW w:w="740" w:type="dxa"/>
            <w:vAlign w:val="bottom"/>
          </w:tcPr>
          <w:p>
            <w:pPr>
              <w:ind w:left="600"/>
              <w:spacing w:after="0" w:line="111" w:lineRule="exact"/>
              <w:rPr>
                <w:sz w:val="20"/>
                <w:szCs w:val="20"/>
                <w:color w:val="auto"/>
              </w:rPr>
            </w:pPr>
            <w:r>
              <w:rPr>
                <w:rFonts w:ascii="MS PGothic" w:cs="MS PGothic" w:eastAsia="MS PGothic" w:hAnsi="MS PGothic"/>
                <w:sz w:val="11"/>
                <w:szCs w:val="11"/>
                <w:color w:val="auto"/>
              </w:rPr>
              <w:t>☐</w:t>
            </w:r>
          </w:p>
        </w:tc>
      </w:tr>
    </w:tbl>
    <w:p>
      <w:pPr>
        <w:spacing w:after="0" w:line="224" w:lineRule="exact"/>
        <w:rPr>
          <w:sz w:val="20"/>
          <w:szCs w:val="20"/>
          <w:color w:val="auto"/>
        </w:rPr>
      </w:pPr>
    </w:p>
    <w:p>
      <w:pPr>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34" w:lineRule="exact"/>
        <w:rPr>
          <w:sz w:val="20"/>
          <w:szCs w:val="20"/>
          <w:color w:val="auto"/>
        </w:rPr>
      </w:pPr>
    </w:p>
    <w:p>
      <w:pPr>
        <w:spacing w:after="0" w:line="17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34" w:lineRule="exact"/>
        <w:rPr>
          <w:sz w:val="20"/>
          <w:szCs w:val="20"/>
          <w:color w:val="auto"/>
        </w:rPr>
      </w:pPr>
    </w:p>
    <w:p>
      <w:pPr>
        <w:spacing w:after="0" w:line="17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34" w:lineRule="exact"/>
        <w:rPr>
          <w:sz w:val="20"/>
          <w:szCs w:val="20"/>
          <w:color w:val="auto"/>
        </w:rPr>
      </w:pPr>
    </w:p>
    <w:p>
      <w:pPr>
        <w:spacing w:after="0" w:line="167"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16"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30, 2023 was $161.7 million.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As of March 13, 2024, the registrant had 13,903,570 shares of common stock outstanding.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DOCUMENTS INCORPORATED BY REFERENCE</w:t>
      </w:r>
    </w:p>
    <w:p>
      <w:pPr>
        <w:spacing w:after="0" w:line="169"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information required by Items 10, 11, 12, 13 and 14 of Part III of this Annual Report on Form 10-K will be found in the Company’s definitive proxy statement for its 2024 Annual Meeting of Stockholders, to be filed pursuant to Regulation 14A under the Securities Exchange Act of 1934, as amended, and such information is incorporated herein by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1171575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0"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9"/>
        </w:trPr>
        <w:tc>
          <w:tcPr>
            <w:tcW w:w="1040" w:type="dxa"/>
            <w:vAlign w:val="bottom"/>
          </w:tcPr>
          <w:p>
            <w:pPr>
              <w:spacing w:after="0"/>
              <w:rPr>
                <w:sz w:val="22"/>
                <w:szCs w:val="22"/>
                <w:color w:val="auto"/>
              </w:rPr>
            </w:pPr>
          </w:p>
        </w:tc>
        <w:tc>
          <w:tcPr>
            <w:tcW w:w="8180" w:type="dxa"/>
            <w:vAlign w:val="bottom"/>
          </w:tcPr>
          <w:p>
            <w:pPr>
              <w:jc w:val="center"/>
              <w:ind w:left="954"/>
              <w:spacing w:after="0"/>
              <w:rPr>
                <w:sz w:val="20"/>
                <w:szCs w:val="20"/>
                <w:color w:val="auto"/>
              </w:rPr>
            </w:pPr>
            <w:r>
              <w:rPr>
                <w:rFonts w:ascii="Arial" w:cs="Arial" w:eastAsia="Arial" w:hAnsi="Arial"/>
                <w:sz w:val="20"/>
                <w:szCs w:val="20"/>
                <w:b w:val="1"/>
                <w:bCs w:val="1"/>
                <w:color w:val="auto"/>
                <w:w w:val="98"/>
              </w:rPr>
              <w:t>Capital Bancorp, Inc. and Subsidiaries</w:t>
            </w:r>
          </w:p>
        </w:tc>
        <w:tc>
          <w:tcPr>
            <w:tcW w:w="2060" w:type="dxa"/>
            <w:vAlign w:val="bottom"/>
          </w:tcPr>
          <w:p>
            <w:pPr>
              <w:spacing w:after="0"/>
              <w:rPr>
                <w:sz w:val="22"/>
                <w:szCs w:val="22"/>
                <w:color w:val="auto"/>
              </w:rPr>
            </w:pPr>
          </w:p>
        </w:tc>
      </w:tr>
      <w:tr>
        <w:trPr>
          <w:trHeight w:val="180"/>
        </w:trPr>
        <w:tc>
          <w:tcPr>
            <w:tcW w:w="1040" w:type="dxa"/>
            <w:vAlign w:val="bottom"/>
          </w:tcPr>
          <w:p>
            <w:pPr>
              <w:spacing w:after="0"/>
              <w:rPr>
                <w:sz w:val="15"/>
                <w:szCs w:val="15"/>
                <w:color w:val="auto"/>
              </w:rPr>
            </w:pPr>
          </w:p>
        </w:tc>
        <w:tc>
          <w:tcPr>
            <w:tcW w:w="8180" w:type="dxa"/>
            <w:vAlign w:val="bottom"/>
          </w:tcPr>
          <w:p>
            <w:pPr>
              <w:jc w:val="center"/>
              <w:ind w:left="954"/>
              <w:spacing w:after="0"/>
              <w:rPr>
                <w:sz w:val="20"/>
                <w:szCs w:val="20"/>
                <w:color w:val="auto"/>
              </w:rPr>
            </w:pPr>
            <w:r>
              <w:rPr>
                <w:rFonts w:ascii="Arial" w:cs="Arial" w:eastAsia="Arial" w:hAnsi="Arial"/>
                <w:sz w:val="14"/>
                <w:szCs w:val="14"/>
                <w:b w:val="1"/>
                <w:bCs w:val="1"/>
                <w:color w:val="auto"/>
              </w:rPr>
              <w:t>Annual Report on Form 10-K</w:t>
            </w:r>
          </w:p>
        </w:tc>
        <w:tc>
          <w:tcPr>
            <w:tcW w:w="2060" w:type="dxa"/>
            <w:vAlign w:val="bottom"/>
          </w:tcPr>
          <w:p>
            <w:pPr>
              <w:spacing w:after="0"/>
              <w:rPr>
                <w:sz w:val="15"/>
                <w:szCs w:val="15"/>
                <w:color w:val="auto"/>
              </w:rPr>
            </w:pPr>
          </w:p>
        </w:tc>
      </w:tr>
      <w:tr>
        <w:trPr>
          <w:trHeight w:val="184"/>
        </w:trPr>
        <w:tc>
          <w:tcPr>
            <w:tcW w:w="1040" w:type="dxa"/>
            <w:vAlign w:val="bottom"/>
            <w:tcBorders>
              <w:bottom w:val="single" w:sz="8" w:color="auto"/>
            </w:tcBorders>
          </w:tcPr>
          <w:p>
            <w:pPr>
              <w:spacing w:after="0"/>
              <w:rPr>
                <w:sz w:val="16"/>
                <w:szCs w:val="16"/>
                <w:color w:val="auto"/>
              </w:rPr>
            </w:pPr>
          </w:p>
        </w:tc>
        <w:tc>
          <w:tcPr>
            <w:tcW w:w="8180" w:type="dxa"/>
            <w:vAlign w:val="bottom"/>
            <w:tcBorders>
              <w:bottom w:val="single" w:sz="8" w:color="auto"/>
            </w:tcBorders>
          </w:tcPr>
          <w:p>
            <w:pPr>
              <w:jc w:val="center"/>
              <w:ind w:left="954"/>
              <w:spacing w:after="0"/>
              <w:rPr>
                <w:sz w:val="20"/>
                <w:szCs w:val="20"/>
                <w:color w:val="auto"/>
              </w:rPr>
            </w:pPr>
            <w:r>
              <w:rPr>
                <w:rFonts w:ascii="Arial" w:cs="Arial" w:eastAsia="Arial" w:hAnsi="Arial"/>
                <w:sz w:val="14"/>
                <w:szCs w:val="14"/>
                <w:b w:val="1"/>
                <w:bCs w:val="1"/>
                <w:color w:val="auto"/>
                <w:w w:val="98"/>
              </w:rPr>
              <w:t>Index</w:t>
            </w:r>
          </w:p>
        </w:tc>
        <w:tc>
          <w:tcPr>
            <w:tcW w:w="2060" w:type="dxa"/>
            <w:vAlign w:val="bottom"/>
            <w:tcBorders>
              <w:bottom w:val="single" w:sz="8" w:color="auto"/>
            </w:tcBorders>
          </w:tcPr>
          <w:p>
            <w:pPr>
              <w:spacing w:after="0"/>
              <w:rPr>
                <w:sz w:val="16"/>
                <w:szCs w:val="16"/>
                <w:color w:val="auto"/>
              </w:rPr>
            </w:pPr>
          </w:p>
        </w:tc>
      </w:tr>
      <w:tr>
        <w:trPr>
          <w:trHeight w:val="882"/>
        </w:trPr>
        <w:tc>
          <w:tcPr>
            <w:tcW w:w="1040" w:type="dxa"/>
            <w:vAlign w:val="bottom"/>
          </w:tcPr>
          <w:p>
            <w:pPr>
              <w:ind w:left="20"/>
              <w:spacing w:after="0"/>
              <w:rPr>
                <w:sz w:val="20"/>
                <w:szCs w:val="20"/>
                <w:color w:val="auto"/>
              </w:rPr>
            </w:pPr>
            <w:r>
              <w:rPr>
                <w:rFonts w:ascii="Arial" w:cs="Arial" w:eastAsia="Arial" w:hAnsi="Arial"/>
                <w:sz w:val="13"/>
                <w:szCs w:val="13"/>
                <w:b w:val="1"/>
                <w:bCs w:val="1"/>
                <w:color w:val="auto"/>
              </w:rPr>
              <w:t>PART I</w:t>
            </w:r>
          </w:p>
        </w:tc>
        <w:tc>
          <w:tcPr>
            <w:tcW w:w="8180" w:type="dxa"/>
            <w:vAlign w:val="bottom"/>
          </w:tcPr>
          <w:p>
            <w:pPr>
              <w:spacing w:after="0"/>
              <w:rPr>
                <w:sz w:val="24"/>
                <w:szCs w:val="24"/>
                <w:color w:val="auto"/>
              </w:rPr>
            </w:pPr>
          </w:p>
        </w:tc>
        <w:tc>
          <w:tcPr>
            <w:tcW w:w="2060" w:type="dxa"/>
            <w:vAlign w:val="bottom"/>
          </w:tcPr>
          <w:p>
            <w:pPr>
              <w:jc w:val="right"/>
              <w:ind w:right="216"/>
              <w:spacing w:after="0"/>
              <w:rPr>
                <w:sz w:val="20"/>
                <w:szCs w:val="20"/>
                <w:color w:val="auto"/>
              </w:rPr>
            </w:pPr>
            <w:r>
              <w:rPr>
                <w:rFonts w:ascii="Arial" w:cs="Arial" w:eastAsia="Arial" w:hAnsi="Arial"/>
                <w:sz w:val="13"/>
                <w:szCs w:val="13"/>
                <w:color w:val="auto"/>
              </w:rPr>
              <w:t>Page</w:t>
            </w:r>
          </w:p>
        </w:tc>
      </w:tr>
      <w:tr>
        <w:trPr>
          <w:trHeight w:val="167"/>
        </w:trPr>
        <w:tc>
          <w:tcPr>
            <w:tcW w:w="1040" w:type="dxa"/>
            <w:vAlign w:val="bottom"/>
          </w:tcPr>
          <w:p>
            <w:pPr>
              <w:ind w:left="20"/>
              <w:spacing w:after="0"/>
              <w:rPr>
                <w:sz w:val="20"/>
                <w:szCs w:val="20"/>
                <w:color w:val="auto"/>
              </w:rPr>
            </w:pPr>
            <w:r>
              <w:rPr>
                <w:rFonts w:ascii="Arial" w:cs="Arial" w:eastAsia="Arial" w:hAnsi="Arial"/>
                <w:sz w:val="13"/>
                <w:szCs w:val="13"/>
                <w:color w:val="auto"/>
              </w:rPr>
              <w:t>Item 1.</w:t>
            </w:r>
          </w:p>
        </w:tc>
        <w:tc>
          <w:tcPr>
            <w:tcW w:w="8180" w:type="dxa"/>
            <w:vAlign w:val="bottom"/>
          </w:tcPr>
          <w:p>
            <w:pPr>
              <w:ind w:left="200"/>
              <w:spacing w:after="0"/>
              <w:rPr>
                <w:sz w:val="20"/>
                <w:szCs w:val="20"/>
                <w:color w:val="auto"/>
              </w:rPr>
            </w:pPr>
            <w:r>
              <w:rPr>
                <w:rFonts w:ascii="Arial" w:cs="Arial" w:eastAsia="Arial" w:hAnsi="Arial"/>
                <w:sz w:val="13"/>
                <w:szCs w:val="13"/>
                <w:color w:val="auto"/>
              </w:rPr>
              <w:t>Business</w:t>
            </w:r>
          </w:p>
        </w:tc>
        <w:tc>
          <w:tcPr>
            <w:tcW w:w="2060" w:type="dxa"/>
            <w:vAlign w:val="bottom"/>
          </w:tcPr>
          <w:p>
            <w:pPr>
              <w:jc w:val="right"/>
              <w:spacing w:after="0"/>
              <w:rPr>
                <w:sz w:val="20"/>
                <w:szCs w:val="20"/>
                <w:color w:val="auto"/>
              </w:rPr>
            </w:pPr>
            <w:r>
              <w:rPr>
                <w:rFonts w:ascii="Arial" w:cs="Arial" w:eastAsia="Arial" w:hAnsi="Arial"/>
                <w:sz w:val="13"/>
                <w:szCs w:val="13"/>
                <w:color w:val="0000FF"/>
              </w:rPr>
              <w:t>5</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1A.</w:t>
            </w:r>
          </w:p>
        </w:tc>
        <w:tc>
          <w:tcPr>
            <w:tcW w:w="8180" w:type="dxa"/>
            <w:vAlign w:val="bottom"/>
          </w:tcPr>
          <w:p>
            <w:pPr>
              <w:ind w:left="200"/>
              <w:spacing w:after="0"/>
              <w:rPr>
                <w:sz w:val="20"/>
                <w:szCs w:val="20"/>
                <w:color w:val="auto"/>
              </w:rPr>
            </w:pPr>
            <w:r>
              <w:rPr>
                <w:rFonts w:ascii="Arial" w:cs="Arial" w:eastAsia="Arial" w:hAnsi="Arial"/>
                <w:sz w:val="13"/>
                <w:szCs w:val="13"/>
                <w:color w:val="auto"/>
              </w:rPr>
              <w:t>Risk Factors</w:t>
            </w:r>
          </w:p>
        </w:tc>
        <w:tc>
          <w:tcPr>
            <w:tcW w:w="2060" w:type="dxa"/>
            <w:vAlign w:val="bottom"/>
          </w:tcPr>
          <w:p>
            <w:pPr>
              <w:jc w:val="right"/>
              <w:spacing w:after="0"/>
              <w:rPr>
                <w:sz w:val="20"/>
                <w:szCs w:val="20"/>
                <w:color w:val="auto"/>
              </w:rPr>
            </w:pPr>
            <w:r>
              <w:rPr>
                <w:rFonts w:ascii="Arial" w:cs="Arial" w:eastAsia="Arial" w:hAnsi="Arial"/>
                <w:sz w:val="13"/>
                <w:szCs w:val="13"/>
                <w:color w:val="0000FF"/>
              </w:rPr>
              <w:t>15</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1B.</w:t>
            </w:r>
          </w:p>
        </w:tc>
        <w:tc>
          <w:tcPr>
            <w:tcW w:w="8180" w:type="dxa"/>
            <w:vAlign w:val="bottom"/>
          </w:tcPr>
          <w:p>
            <w:pPr>
              <w:ind w:left="200"/>
              <w:spacing w:after="0"/>
              <w:rPr>
                <w:sz w:val="20"/>
                <w:szCs w:val="20"/>
                <w:color w:val="auto"/>
              </w:rPr>
            </w:pPr>
            <w:r>
              <w:rPr>
                <w:rFonts w:ascii="Arial" w:cs="Arial" w:eastAsia="Arial" w:hAnsi="Arial"/>
                <w:sz w:val="13"/>
                <w:szCs w:val="13"/>
                <w:color w:val="auto"/>
              </w:rPr>
              <w:t>Unresolved Staff Comments</w:t>
            </w:r>
          </w:p>
        </w:tc>
        <w:tc>
          <w:tcPr>
            <w:tcW w:w="2060" w:type="dxa"/>
            <w:vAlign w:val="bottom"/>
          </w:tcPr>
          <w:p>
            <w:pPr>
              <w:jc w:val="right"/>
              <w:spacing w:after="0"/>
              <w:rPr>
                <w:sz w:val="20"/>
                <w:szCs w:val="20"/>
                <w:color w:val="auto"/>
              </w:rPr>
            </w:pPr>
            <w:r>
              <w:rPr>
                <w:rFonts w:ascii="Arial" w:cs="Arial" w:eastAsia="Arial" w:hAnsi="Arial"/>
                <w:sz w:val="13"/>
                <w:szCs w:val="13"/>
                <w:color w:val="0000FF"/>
              </w:rPr>
              <w:t>30</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1C.</w:t>
            </w:r>
          </w:p>
        </w:tc>
        <w:tc>
          <w:tcPr>
            <w:tcW w:w="8180" w:type="dxa"/>
            <w:vAlign w:val="bottom"/>
          </w:tcPr>
          <w:p>
            <w:pPr>
              <w:ind w:left="200"/>
              <w:spacing w:after="0"/>
              <w:rPr>
                <w:sz w:val="20"/>
                <w:szCs w:val="20"/>
                <w:color w:val="auto"/>
              </w:rPr>
            </w:pPr>
            <w:r>
              <w:rPr>
                <w:rFonts w:ascii="Arial" w:cs="Arial" w:eastAsia="Arial" w:hAnsi="Arial"/>
                <w:sz w:val="13"/>
                <w:szCs w:val="13"/>
                <w:color w:val="auto"/>
              </w:rPr>
              <w:t>Cybersecurity</w:t>
            </w:r>
          </w:p>
        </w:tc>
        <w:tc>
          <w:tcPr>
            <w:tcW w:w="2060" w:type="dxa"/>
            <w:vAlign w:val="bottom"/>
          </w:tcPr>
          <w:p>
            <w:pPr>
              <w:jc w:val="right"/>
              <w:spacing w:after="0"/>
              <w:rPr>
                <w:sz w:val="20"/>
                <w:szCs w:val="20"/>
                <w:color w:val="auto"/>
              </w:rPr>
            </w:pPr>
            <w:r>
              <w:rPr>
                <w:rFonts w:ascii="Arial" w:cs="Arial" w:eastAsia="Arial" w:hAnsi="Arial"/>
                <w:sz w:val="13"/>
                <w:szCs w:val="13"/>
                <w:color w:val="0000FF"/>
              </w:rPr>
              <w:t>30</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2.</w:t>
            </w:r>
          </w:p>
        </w:tc>
        <w:tc>
          <w:tcPr>
            <w:tcW w:w="8180" w:type="dxa"/>
            <w:vAlign w:val="bottom"/>
          </w:tcPr>
          <w:p>
            <w:pPr>
              <w:ind w:left="200"/>
              <w:spacing w:after="0"/>
              <w:rPr>
                <w:sz w:val="20"/>
                <w:szCs w:val="20"/>
                <w:color w:val="auto"/>
              </w:rPr>
            </w:pPr>
            <w:r>
              <w:rPr>
                <w:rFonts w:ascii="Arial" w:cs="Arial" w:eastAsia="Arial" w:hAnsi="Arial"/>
                <w:sz w:val="13"/>
                <w:szCs w:val="13"/>
                <w:color w:val="auto"/>
              </w:rPr>
              <w:t>Properties</w:t>
            </w:r>
          </w:p>
        </w:tc>
        <w:tc>
          <w:tcPr>
            <w:tcW w:w="2060" w:type="dxa"/>
            <w:vAlign w:val="bottom"/>
          </w:tcPr>
          <w:p>
            <w:pPr>
              <w:jc w:val="right"/>
              <w:spacing w:after="0"/>
              <w:rPr>
                <w:sz w:val="20"/>
                <w:szCs w:val="20"/>
                <w:color w:val="auto"/>
              </w:rPr>
            </w:pPr>
            <w:r>
              <w:rPr>
                <w:rFonts w:ascii="Arial" w:cs="Arial" w:eastAsia="Arial" w:hAnsi="Arial"/>
                <w:sz w:val="13"/>
                <w:szCs w:val="13"/>
                <w:color w:val="0000FF"/>
              </w:rPr>
              <w:t>32</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3.</w:t>
            </w:r>
          </w:p>
        </w:tc>
        <w:tc>
          <w:tcPr>
            <w:tcW w:w="8180" w:type="dxa"/>
            <w:vAlign w:val="bottom"/>
          </w:tcPr>
          <w:p>
            <w:pPr>
              <w:ind w:left="200"/>
              <w:spacing w:after="0"/>
              <w:rPr>
                <w:sz w:val="20"/>
                <w:szCs w:val="20"/>
                <w:color w:val="auto"/>
              </w:rPr>
            </w:pPr>
            <w:r>
              <w:rPr>
                <w:rFonts w:ascii="Arial" w:cs="Arial" w:eastAsia="Arial" w:hAnsi="Arial"/>
                <w:sz w:val="13"/>
                <w:szCs w:val="13"/>
                <w:color w:val="auto"/>
              </w:rPr>
              <w:t>Legal Proceedings</w:t>
            </w:r>
          </w:p>
        </w:tc>
        <w:tc>
          <w:tcPr>
            <w:tcW w:w="2060" w:type="dxa"/>
            <w:vAlign w:val="bottom"/>
          </w:tcPr>
          <w:p>
            <w:pPr>
              <w:jc w:val="right"/>
              <w:spacing w:after="0"/>
              <w:rPr>
                <w:sz w:val="20"/>
                <w:szCs w:val="20"/>
                <w:color w:val="auto"/>
              </w:rPr>
            </w:pPr>
            <w:r>
              <w:rPr>
                <w:rFonts w:ascii="Arial" w:cs="Arial" w:eastAsia="Arial" w:hAnsi="Arial"/>
                <w:sz w:val="13"/>
                <w:szCs w:val="13"/>
                <w:color w:val="0000FF"/>
              </w:rPr>
              <w:t>33</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4.</w:t>
            </w:r>
          </w:p>
        </w:tc>
        <w:tc>
          <w:tcPr>
            <w:tcW w:w="8180" w:type="dxa"/>
            <w:vAlign w:val="bottom"/>
          </w:tcPr>
          <w:p>
            <w:pPr>
              <w:ind w:left="200"/>
              <w:spacing w:after="0"/>
              <w:rPr>
                <w:sz w:val="20"/>
                <w:szCs w:val="20"/>
                <w:color w:val="auto"/>
              </w:rPr>
            </w:pPr>
            <w:r>
              <w:rPr>
                <w:rFonts w:ascii="Arial" w:cs="Arial" w:eastAsia="Arial" w:hAnsi="Arial"/>
                <w:sz w:val="13"/>
                <w:szCs w:val="13"/>
                <w:color w:val="auto"/>
              </w:rPr>
              <w:t>Mine Safety Disclosures</w:t>
            </w:r>
          </w:p>
        </w:tc>
        <w:tc>
          <w:tcPr>
            <w:tcW w:w="2060" w:type="dxa"/>
            <w:vAlign w:val="bottom"/>
          </w:tcPr>
          <w:p>
            <w:pPr>
              <w:jc w:val="right"/>
              <w:spacing w:after="0"/>
              <w:rPr>
                <w:sz w:val="20"/>
                <w:szCs w:val="20"/>
                <w:color w:val="auto"/>
              </w:rPr>
            </w:pPr>
            <w:r>
              <w:rPr>
                <w:rFonts w:ascii="Arial" w:cs="Arial" w:eastAsia="Arial" w:hAnsi="Arial"/>
                <w:sz w:val="13"/>
                <w:szCs w:val="13"/>
                <w:color w:val="0000FF"/>
              </w:rPr>
              <w:t>33</w:t>
            </w:r>
          </w:p>
        </w:tc>
      </w:tr>
      <w:tr>
        <w:trPr>
          <w:trHeight w:val="342"/>
        </w:trPr>
        <w:tc>
          <w:tcPr>
            <w:tcW w:w="1040" w:type="dxa"/>
            <w:vAlign w:val="bottom"/>
          </w:tcPr>
          <w:p>
            <w:pPr>
              <w:ind w:left="20"/>
              <w:spacing w:after="0"/>
              <w:rPr>
                <w:sz w:val="20"/>
                <w:szCs w:val="20"/>
                <w:color w:val="auto"/>
              </w:rPr>
            </w:pPr>
            <w:r>
              <w:rPr>
                <w:rFonts w:ascii="Arial" w:cs="Arial" w:eastAsia="Arial" w:hAnsi="Arial"/>
                <w:sz w:val="13"/>
                <w:szCs w:val="13"/>
                <w:b w:val="1"/>
                <w:bCs w:val="1"/>
                <w:color w:val="auto"/>
              </w:rPr>
              <w:t>PART II</w:t>
            </w:r>
          </w:p>
        </w:tc>
        <w:tc>
          <w:tcPr>
            <w:tcW w:w="81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7"/>
        </w:trPr>
        <w:tc>
          <w:tcPr>
            <w:tcW w:w="1040" w:type="dxa"/>
            <w:vAlign w:val="bottom"/>
          </w:tcPr>
          <w:p>
            <w:pPr>
              <w:ind w:left="20"/>
              <w:spacing w:after="0"/>
              <w:rPr>
                <w:sz w:val="20"/>
                <w:szCs w:val="20"/>
                <w:color w:val="auto"/>
              </w:rPr>
            </w:pPr>
            <w:r>
              <w:rPr>
                <w:rFonts w:ascii="Arial" w:cs="Arial" w:eastAsia="Arial" w:hAnsi="Arial"/>
                <w:sz w:val="13"/>
                <w:szCs w:val="13"/>
                <w:color w:val="auto"/>
              </w:rPr>
              <w:t>Item 5.</w:t>
            </w:r>
          </w:p>
        </w:tc>
        <w:tc>
          <w:tcPr>
            <w:tcW w:w="8180" w:type="dxa"/>
            <w:vAlign w:val="bottom"/>
          </w:tcPr>
          <w:p>
            <w:pPr>
              <w:ind w:left="200"/>
              <w:spacing w:after="0"/>
              <w:rPr>
                <w:sz w:val="20"/>
                <w:szCs w:val="20"/>
                <w:color w:val="auto"/>
              </w:rPr>
            </w:pPr>
            <w:r>
              <w:rPr>
                <w:rFonts w:ascii="Arial" w:cs="Arial" w:eastAsia="Arial" w:hAnsi="Arial"/>
                <w:sz w:val="13"/>
                <w:szCs w:val="13"/>
                <w:color w:val="auto"/>
              </w:rPr>
              <w:t>Market for the Registrant’s Common Equity, Related Stockholder Matters and Issuer Purchases of Equity Securities</w:t>
            </w:r>
          </w:p>
        </w:tc>
        <w:tc>
          <w:tcPr>
            <w:tcW w:w="2060" w:type="dxa"/>
            <w:vAlign w:val="bottom"/>
          </w:tcPr>
          <w:p>
            <w:pPr>
              <w:jc w:val="right"/>
              <w:spacing w:after="0"/>
              <w:rPr>
                <w:sz w:val="20"/>
                <w:szCs w:val="20"/>
                <w:color w:val="auto"/>
              </w:rPr>
            </w:pPr>
            <w:r>
              <w:rPr>
                <w:rFonts w:ascii="Arial" w:cs="Arial" w:eastAsia="Arial" w:hAnsi="Arial"/>
                <w:sz w:val="13"/>
                <w:szCs w:val="13"/>
                <w:color w:val="0000FF"/>
              </w:rPr>
              <w:t>34</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6</w:t>
            </w:r>
          </w:p>
        </w:tc>
        <w:tc>
          <w:tcPr>
            <w:tcW w:w="8180" w:type="dxa"/>
            <w:vAlign w:val="bottom"/>
          </w:tcPr>
          <w:p>
            <w:pPr>
              <w:ind w:left="200"/>
              <w:spacing w:after="0"/>
              <w:rPr>
                <w:sz w:val="20"/>
                <w:szCs w:val="20"/>
                <w:color w:val="auto"/>
              </w:rPr>
            </w:pPr>
            <w:r>
              <w:rPr>
                <w:rFonts w:ascii="Arial" w:cs="Arial" w:eastAsia="Arial" w:hAnsi="Arial"/>
                <w:sz w:val="13"/>
                <w:szCs w:val="13"/>
                <w:color w:val="auto"/>
              </w:rPr>
              <w:t>[Reserved]</w:t>
            </w:r>
          </w:p>
        </w:tc>
        <w:tc>
          <w:tcPr>
            <w:tcW w:w="2060" w:type="dxa"/>
            <w:vAlign w:val="bottom"/>
          </w:tcPr>
          <w:p>
            <w:pPr>
              <w:jc w:val="right"/>
              <w:spacing w:after="0"/>
              <w:rPr>
                <w:sz w:val="20"/>
                <w:szCs w:val="20"/>
                <w:color w:val="auto"/>
              </w:rPr>
            </w:pPr>
            <w:r>
              <w:rPr>
                <w:rFonts w:ascii="Arial" w:cs="Arial" w:eastAsia="Arial" w:hAnsi="Arial"/>
                <w:sz w:val="13"/>
                <w:szCs w:val="13"/>
                <w:color w:val="0000FF"/>
              </w:rPr>
              <w:t>35</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7.</w:t>
            </w:r>
          </w:p>
        </w:tc>
        <w:tc>
          <w:tcPr>
            <w:tcW w:w="8180" w:type="dxa"/>
            <w:vAlign w:val="bottom"/>
          </w:tcPr>
          <w:p>
            <w:pPr>
              <w:ind w:left="200"/>
              <w:spacing w:after="0"/>
              <w:rPr>
                <w:sz w:val="20"/>
                <w:szCs w:val="20"/>
                <w:color w:val="auto"/>
              </w:rPr>
            </w:pPr>
            <w:r>
              <w:rPr>
                <w:rFonts w:ascii="Arial" w:cs="Arial" w:eastAsia="Arial" w:hAnsi="Arial"/>
                <w:sz w:val="13"/>
                <w:szCs w:val="13"/>
                <w:color w:val="auto"/>
              </w:rPr>
              <w:t>Management’s Discussion and Analysis of Financial Condition and Results of Operations</w:t>
            </w:r>
          </w:p>
        </w:tc>
        <w:tc>
          <w:tcPr>
            <w:tcW w:w="2060" w:type="dxa"/>
            <w:vAlign w:val="bottom"/>
          </w:tcPr>
          <w:p>
            <w:pPr>
              <w:jc w:val="right"/>
              <w:spacing w:after="0"/>
              <w:rPr>
                <w:sz w:val="20"/>
                <w:szCs w:val="20"/>
                <w:color w:val="auto"/>
              </w:rPr>
            </w:pPr>
            <w:r>
              <w:rPr>
                <w:rFonts w:ascii="Arial" w:cs="Arial" w:eastAsia="Arial" w:hAnsi="Arial"/>
                <w:sz w:val="13"/>
                <w:szCs w:val="13"/>
                <w:color w:val="0000FF"/>
              </w:rPr>
              <w:t>35</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7A.</w:t>
            </w:r>
          </w:p>
        </w:tc>
        <w:tc>
          <w:tcPr>
            <w:tcW w:w="8180" w:type="dxa"/>
            <w:vAlign w:val="bottom"/>
          </w:tcPr>
          <w:p>
            <w:pPr>
              <w:ind w:left="200"/>
              <w:spacing w:after="0"/>
              <w:rPr>
                <w:sz w:val="20"/>
                <w:szCs w:val="20"/>
                <w:color w:val="auto"/>
              </w:rPr>
            </w:pPr>
            <w:r>
              <w:rPr>
                <w:rFonts w:ascii="Arial" w:cs="Arial" w:eastAsia="Arial" w:hAnsi="Arial"/>
                <w:sz w:val="13"/>
                <w:szCs w:val="13"/>
                <w:color w:val="auto"/>
              </w:rPr>
              <w:t>Quantitative and Qualitative Disclosures about Market Risk</w:t>
            </w:r>
          </w:p>
        </w:tc>
        <w:tc>
          <w:tcPr>
            <w:tcW w:w="2060" w:type="dxa"/>
            <w:vAlign w:val="bottom"/>
          </w:tcPr>
          <w:p>
            <w:pPr>
              <w:jc w:val="right"/>
              <w:spacing w:after="0"/>
              <w:rPr>
                <w:sz w:val="20"/>
                <w:szCs w:val="20"/>
                <w:color w:val="auto"/>
              </w:rPr>
            </w:pPr>
            <w:r>
              <w:rPr>
                <w:rFonts w:ascii="Arial" w:cs="Arial" w:eastAsia="Arial" w:hAnsi="Arial"/>
                <w:sz w:val="13"/>
                <w:szCs w:val="13"/>
                <w:color w:val="0000FF"/>
              </w:rPr>
              <w:t>65</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8.</w:t>
            </w:r>
          </w:p>
        </w:tc>
        <w:tc>
          <w:tcPr>
            <w:tcW w:w="8180" w:type="dxa"/>
            <w:vAlign w:val="bottom"/>
          </w:tcPr>
          <w:p>
            <w:pPr>
              <w:ind w:left="200"/>
              <w:spacing w:after="0"/>
              <w:rPr>
                <w:sz w:val="20"/>
                <w:szCs w:val="20"/>
                <w:color w:val="auto"/>
              </w:rPr>
            </w:pPr>
            <w:r>
              <w:rPr>
                <w:rFonts w:ascii="Arial" w:cs="Arial" w:eastAsia="Arial" w:hAnsi="Arial"/>
                <w:sz w:val="13"/>
                <w:szCs w:val="13"/>
                <w:color w:val="auto"/>
              </w:rPr>
              <w:t>Financial Statements and Supplementary Data</w:t>
            </w:r>
          </w:p>
        </w:tc>
        <w:tc>
          <w:tcPr>
            <w:tcW w:w="2060" w:type="dxa"/>
            <w:vAlign w:val="bottom"/>
          </w:tcPr>
          <w:p>
            <w:pPr>
              <w:jc w:val="right"/>
              <w:spacing w:after="0"/>
              <w:rPr>
                <w:sz w:val="20"/>
                <w:szCs w:val="20"/>
                <w:color w:val="auto"/>
              </w:rPr>
            </w:pPr>
            <w:r>
              <w:rPr>
                <w:rFonts w:ascii="Arial" w:cs="Arial" w:eastAsia="Arial" w:hAnsi="Arial"/>
                <w:sz w:val="13"/>
                <w:szCs w:val="13"/>
                <w:color w:val="0000FF"/>
              </w:rPr>
              <w:t>68</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9.</w:t>
            </w:r>
          </w:p>
        </w:tc>
        <w:tc>
          <w:tcPr>
            <w:tcW w:w="8180" w:type="dxa"/>
            <w:vAlign w:val="bottom"/>
          </w:tcPr>
          <w:p>
            <w:pPr>
              <w:ind w:left="200"/>
              <w:spacing w:after="0"/>
              <w:rPr>
                <w:sz w:val="20"/>
                <w:szCs w:val="20"/>
                <w:color w:val="auto"/>
              </w:rPr>
            </w:pPr>
            <w:r>
              <w:rPr>
                <w:rFonts w:ascii="Arial" w:cs="Arial" w:eastAsia="Arial" w:hAnsi="Arial"/>
                <w:sz w:val="13"/>
                <w:szCs w:val="13"/>
                <w:color w:val="auto"/>
              </w:rPr>
              <w:t>Changes in and Disagreements with Accountants on Accounting and Financial Disclosure</w:t>
            </w:r>
          </w:p>
        </w:tc>
        <w:tc>
          <w:tcPr>
            <w:tcW w:w="2060" w:type="dxa"/>
            <w:vAlign w:val="bottom"/>
          </w:tcPr>
          <w:p>
            <w:pPr>
              <w:jc w:val="right"/>
              <w:spacing w:after="0"/>
              <w:rPr>
                <w:sz w:val="20"/>
                <w:szCs w:val="20"/>
                <w:color w:val="auto"/>
              </w:rPr>
            </w:pPr>
            <w:r>
              <w:rPr>
                <w:rFonts w:ascii="Arial" w:cs="Arial" w:eastAsia="Arial" w:hAnsi="Arial"/>
                <w:sz w:val="13"/>
                <w:szCs w:val="13"/>
                <w:color w:val="0000FF"/>
              </w:rPr>
              <w:t>122</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9A.</w:t>
            </w:r>
          </w:p>
        </w:tc>
        <w:tc>
          <w:tcPr>
            <w:tcW w:w="8180" w:type="dxa"/>
            <w:vAlign w:val="bottom"/>
          </w:tcPr>
          <w:p>
            <w:pPr>
              <w:ind w:left="200"/>
              <w:spacing w:after="0"/>
              <w:rPr>
                <w:sz w:val="20"/>
                <w:szCs w:val="20"/>
                <w:color w:val="auto"/>
              </w:rPr>
            </w:pPr>
            <w:r>
              <w:rPr>
                <w:rFonts w:ascii="Arial" w:cs="Arial" w:eastAsia="Arial" w:hAnsi="Arial"/>
                <w:sz w:val="13"/>
                <w:szCs w:val="13"/>
                <w:color w:val="auto"/>
              </w:rPr>
              <w:t>Controls and Procedures</w:t>
            </w:r>
          </w:p>
        </w:tc>
        <w:tc>
          <w:tcPr>
            <w:tcW w:w="2060" w:type="dxa"/>
            <w:vAlign w:val="bottom"/>
          </w:tcPr>
          <w:p>
            <w:pPr>
              <w:jc w:val="right"/>
              <w:spacing w:after="0"/>
              <w:rPr>
                <w:sz w:val="20"/>
                <w:szCs w:val="20"/>
                <w:color w:val="auto"/>
              </w:rPr>
            </w:pPr>
            <w:r>
              <w:rPr>
                <w:rFonts w:ascii="Arial" w:cs="Arial" w:eastAsia="Arial" w:hAnsi="Arial"/>
                <w:sz w:val="13"/>
                <w:szCs w:val="13"/>
                <w:color w:val="0000FF"/>
              </w:rPr>
              <w:t>122</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9B.</w:t>
            </w:r>
          </w:p>
        </w:tc>
        <w:tc>
          <w:tcPr>
            <w:tcW w:w="8180" w:type="dxa"/>
            <w:vAlign w:val="bottom"/>
          </w:tcPr>
          <w:p>
            <w:pPr>
              <w:ind w:left="200"/>
              <w:spacing w:after="0"/>
              <w:rPr>
                <w:sz w:val="20"/>
                <w:szCs w:val="20"/>
                <w:color w:val="auto"/>
              </w:rPr>
            </w:pPr>
            <w:r>
              <w:rPr>
                <w:rFonts w:ascii="Arial" w:cs="Arial" w:eastAsia="Arial" w:hAnsi="Arial"/>
                <w:sz w:val="13"/>
                <w:szCs w:val="13"/>
                <w:color w:val="auto"/>
              </w:rPr>
              <w:t>Other Information</w:t>
            </w:r>
          </w:p>
        </w:tc>
        <w:tc>
          <w:tcPr>
            <w:tcW w:w="2060" w:type="dxa"/>
            <w:vAlign w:val="bottom"/>
          </w:tcPr>
          <w:p>
            <w:pPr>
              <w:jc w:val="right"/>
              <w:spacing w:after="0"/>
              <w:rPr>
                <w:sz w:val="20"/>
                <w:szCs w:val="20"/>
                <w:color w:val="auto"/>
              </w:rPr>
            </w:pPr>
            <w:r>
              <w:rPr>
                <w:rFonts w:ascii="Arial" w:cs="Arial" w:eastAsia="Arial" w:hAnsi="Arial"/>
                <w:sz w:val="13"/>
                <w:szCs w:val="13"/>
                <w:color w:val="0000FF"/>
              </w:rPr>
              <w:t>123</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9C.</w:t>
            </w:r>
          </w:p>
        </w:tc>
        <w:tc>
          <w:tcPr>
            <w:tcW w:w="8180" w:type="dxa"/>
            <w:vAlign w:val="bottom"/>
          </w:tcPr>
          <w:p>
            <w:pPr>
              <w:ind w:left="200"/>
              <w:spacing w:after="0"/>
              <w:rPr>
                <w:sz w:val="20"/>
                <w:szCs w:val="20"/>
                <w:color w:val="auto"/>
              </w:rPr>
            </w:pPr>
            <w:r>
              <w:rPr>
                <w:rFonts w:ascii="Arial" w:cs="Arial" w:eastAsia="Arial" w:hAnsi="Arial"/>
                <w:sz w:val="13"/>
                <w:szCs w:val="13"/>
                <w:color w:val="auto"/>
              </w:rPr>
              <w:t>Disclosure Regarding Foreign Jurisdictions that Prevent Inspections</w:t>
            </w:r>
          </w:p>
        </w:tc>
        <w:tc>
          <w:tcPr>
            <w:tcW w:w="2060" w:type="dxa"/>
            <w:vAlign w:val="bottom"/>
          </w:tcPr>
          <w:p>
            <w:pPr>
              <w:jc w:val="right"/>
              <w:spacing w:after="0"/>
              <w:rPr>
                <w:sz w:val="20"/>
                <w:szCs w:val="20"/>
                <w:color w:val="auto"/>
              </w:rPr>
            </w:pPr>
            <w:r>
              <w:rPr>
                <w:rFonts w:ascii="Arial" w:cs="Arial" w:eastAsia="Arial" w:hAnsi="Arial"/>
                <w:sz w:val="13"/>
                <w:szCs w:val="13"/>
                <w:color w:val="0000FF"/>
              </w:rPr>
              <w:t>123</w:t>
            </w:r>
          </w:p>
        </w:tc>
      </w:tr>
      <w:tr>
        <w:trPr>
          <w:trHeight w:val="342"/>
        </w:trPr>
        <w:tc>
          <w:tcPr>
            <w:tcW w:w="1040" w:type="dxa"/>
            <w:vAlign w:val="bottom"/>
          </w:tcPr>
          <w:p>
            <w:pPr>
              <w:ind w:left="20"/>
              <w:spacing w:after="0"/>
              <w:rPr>
                <w:sz w:val="20"/>
                <w:szCs w:val="20"/>
                <w:color w:val="auto"/>
              </w:rPr>
            </w:pPr>
            <w:r>
              <w:rPr>
                <w:rFonts w:ascii="Arial" w:cs="Arial" w:eastAsia="Arial" w:hAnsi="Arial"/>
                <w:sz w:val="13"/>
                <w:szCs w:val="13"/>
                <w:b w:val="1"/>
                <w:bCs w:val="1"/>
                <w:color w:val="auto"/>
              </w:rPr>
              <w:t>PART III</w:t>
            </w:r>
          </w:p>
        </w:tc>
        <w:tc>
          <w:tcPr>
            <w:tcW w:w="81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7"/>
        </w:trPr>
        <w:tc>
          <w:tcPr>
            <w:tcW w:w="1040" w:type="dxa"/>
            <w:vAlign w:val="bottom"/>
          </w:tcPr>
          <w:p>
            <w:pPr>
              <w:ind w:left="20"/>
              <w:spacing w:after="0"/>
              <w:rPr>
                <w:sz w:val="20"/>
                <w:szCs w:val="20"/>
                <w:color w:val="auto"/>
              </w:rPr>
            </w:pPr>
            <w:r>
              <w:rPr>
                <w:rFonts w:ascii="Arial" w:cs="Arial" w:eastAsia="Arial" w:hAnsi="Arial"/>
                <w:sz w:val="13"/>
                <w:szCs w:val="13"/>
                <w:color w:val="auto"/>
              </w:rPr>
              <w:t>Item 10.</w:t>
            </w:r>
          </w:p>
        </w:tc>
        <w:tc>
          <w:tcPr>
            <w:tcW w:w="8180" w:type="dxa"/>
            <w:vAlign w:val="bottom"/>
          </w:tcPr>
          <w:p>
            <w:pPr>
              <w:ind w:left="200"/>
              <w:spacing w:after="0"/>
              <w:rPr>
                <w:sz w:val="20"/>
                <w:szCs w:val="20"/>
                <w:color w:val="auto"/>
              </w:rPr>
            </w:pPr>
            <w:r>
              <w:rPr>
                <w:rFonts w:ascii="Arial" w:cs="Arial" w:eastAsia="Arial" w:hAnsi="Arial"/>
                <w:sz w:val="13"/>
                <w:szCs w:val="13"/>
                <w:color w:val="auto"/>
              </w:rPr>
              <w:t>Directors, Executive Officers and Corporate Governance</w:t>
            </w:r>
          </w:p>
        </w:tc>
        <w:tc>
          <w:tcPr>
            <w:tcW w:w="2060" w:type="dxa"/>
            <w:vAlign w:val="bottom"/>
          </w:tcPr>
          <w:p>
            <w:pPr>
              <w:jc w:val="right"/>
              <w:spacing w:after="0"/>
              <w:rPr>
                <w:sz w:val="20"/>
                <w:szCs w:val="20"/>
                <w:color w:val="auto"/>
              </w:rPr>
            </w:pPr>
            <w:r>
              <w:rPr>
                <w:rFonts w:ascii="Arial" w:cs="Arial" w:eastAsia="Arial" w:hAnsi="Arial"/>
                <w:sz w:val="13"/>
                <w:szCs w:val="13"/>
                <w:color w:val="0000FF"/>
              </w:rPr>
              <w:t>123</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11.</w:t>
            </w:r>
          </w:p>
        </w:tc>
        <w:tc>
          <w:tcPr>
            <w:tcW w:w="8180" w:type="dxa"/>
            <w:vAlign w:val="bottom"/>
          </w:tcPr>
          <w:p>
            <w:pPr>
              <w:ind w:left="200"/>
              <w:spacing w:after="0"/>
              <w:rPr>
                <w:sz w:val="20"/>
                <w:szCs w:val="20"/>
                <w:color w:val="auto"/>
              </w:rPr>
            </w:pPr>
            <w:r>
              <w:rPr>
                <w:rFonts w:ascii="Arial" w:cs="Arial" w:eastAsia="Arial" w:hAnsi="Arial"/>
                <w:sz w:val="13"/>
                <w:szCs w:val="13"/>
                <w:color w:val="auto"/>
              </w:rPr>
              <w:t>Executive Compensation</w:t>
            </w:r>
          </w:p>
        </w:tc>
        <w:tc>
          <w:tcPr>
            <w:tcW w:w="2060" w:type="dxa"/>
            <w:vAlign w:val="bottom"/>
          </w:tcPr>
          <w:p>
            <w:pPr>
              <w:jc w:val="right"/>
              <w:spacing w:after="0"/>
              <w:rPr>
                <w:sz w:val="20"/>
                <w:szCs w:val="20"/>
                <w:color w:val="auto"/>
              </w:rPr>
            </w:pPr>
            <w:r>
              <w:rPr>
                <w:rFonts w:ascii="Arial" w:cs="Arial" w:eastAsia="Arial" w:hAnsi="Arial"/>
                <w:sz w:val="13"/>
                <w:szCs w:val="13"/>
                <w:color w:val="0000FF"/>
              </w:rPr>
              <w:t>123</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12.</w:t>
            </w:r>
          </w:p>
        </w:tc>
        <w:tc>
          <w:tcPr>
            <w:tcW w:w="8180" w:type="dxa"/>
            <w:vAlign w:val="bottom"/>
          </w:tcPr>
          <w:p>
            <w:pPr>
              <w:ind w:left="200"/>
              <w:spacing w:after="0"/>
              <w:rPr>
                <w:sz w:val="20"/>
                <w:szCs w:val="20"/>
                <w:color w:val="auto"/>
              </w:rPr>
            </w:pPr>
            <w:r>
              <w:rPr>
                <w:rFonts w:ascii="Arial" w:cs="Arial" w:eastAsia="Arial" w:hAnsi="Arial"/>
                <w:sz w:val="13"/>
                <w:szCs w:val="13"/>
                <w:color w:val="auto"/>
              </w:rPr>
              <w:t>Security Ownership of Certain Beneficial Owners and Management and Related Stockholder Matters</w:t>
            </w:r>
          </w:p>
        </w:tc>
        <w:tc>
          <w:tcPr>
            <w:tcW w:w="2060" w:type="dxa"/>
            <w:vAlign w:val="bottom"/>
          </w:tcPr>
          <w:p>
            <w:pPr>
              <w:jc w:val="right"/>
              <w:spacing w:after="0"/>
              <w:rPr>
                <w:sz w:val="20"/>
                <w:szCs w:val="20"/>
                <w:color w:val="auto"/>
              </w:rPr>
            </w:pPr>
            <w:r>
              <w:rPr>
                <w:rFonts w:ascii="Arial" w:cs="Arial" w:eastAsia="Arial" w:hAnsi="Arial"/>
                <w:sz w:val="13"/>
                <w:szCs w:val="13"/>
                <w:color w:val="0000FF"/>
              </w:rPr>
              <w:t>123</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13.</w:t>
            </w:r>
          </w:p>
        </w:tc>
        <w:tc>
          <w:tcPr>
            <w:tcW w:w="8180" w:type="dxa"/>
            <w:vAlign w:val="bottom"/>
          </w:tcPr>
          <w:p>
            <w:pPr>
              <w:ind w:left="200"/>
              <w:spacing w:after="0"/>
              <w:rPr>
                <w:sz w:val="20"/>
                <w:szCs w:val="20"/>
                <w:color w:val="auto"/>
              </w:rPr>
            </w:pPr>
            <w:r>
              <w:rPr>
                <w:rFonts w:ascii="Arial" w:cs="Arial" w:eastAsia="Arial" w:hAnsi="Arial"/>
                <w:sz w:val="13"/>
                <w:szCs w:val="13"/>
                <w:color w:val="auto"/>
              </w:rPr>
              <w:t>Certain Relationships and Related Transactions and Director Independence</w:t>
            </w:r>
          </w:p>
        </w:tc>
        <w:tc>
          <w:tcPr>
            <w:tcW w:w="2060" w:type="dxa"/>
            <w:vAlign w:val="bottom"/>
          </w:tcPr>
          <w:p>
            <w:pPr>
              <w:jc w:val="right"/>
              <w:spacing w:after="0"/>
              <w:rPr>
                <w:sz w:val="20"/>
                <w:szCs w:val="20"/>
                <w:color w:val="auto"/>
              </w:rPr>
            </w:pPr>
            <w:r>
              <w:rPr>
                <w:rFonts w:ascii="Arial" w:cs="Arial" w:eastAsia="Arial" w:hAnsi="Arial"/>
                <w:sz w:val="13"/>
                <w:szCs w:val="13"/>
                <w:color w:val="0000FF"/>
              </w:rPr>
              <w:t>123</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14.</w:t>
            </w:r>
          </w:p>
        </w:tc>
        <w:tc>
          <w:tcPr>
            <w:tcW w:w="8180" w:type="dxa"/>
            <w:vAlign w:val="bottom"/>
          </w:tcPr>
          <w:p>
            <w:pPr>
              <w:ind w:left="200"/>
              <w:spacing w:after="0"/>
              <w:rPr>
                <w:sz w:val="20"/>
                <w:szCs w:val="20"/>
                <w:color w:val="auto"/>
              </w:rPr>
            </w:pPr>
            <w:r>
              <w:rPr>
                <w:rFonts w:ascii="Arial" w:cs="Arial" w:eastAsia="Arial" w:hAnsi="Arial"/>
                <w:sz w:val="13"/>
                <w:szCs w:val="13"/>
                <w:color w:val="auto"/>
              </w:rPr>
              <w:t>Principal Accountant Fees and Services</w:t>
            </w:r>
          </w:p>
        </w:tc>
        <w:tc>
          <w:tcPr>
            <w:tcW w:w="2060" w:type="dxa"/>
            <w:vAlign w:val="bottom"/>
          </w:tcPr>
          <w:p>
            <w:pPr>
              <w:jc w:val="right"/>
              <w:spacing w:after="0"/>
              <w:rPr>
                <w:sz w:val="20"/>
                <w:szCs w:val="20"/>
                <w:color w:val="auto"/>
              </w:rPr>
            </w:pPr>
            <w:r>
              <w:rPr>
                <w:rFonts w:ascii="Arial" w:cs="Arial" w:eastAsia="Arial" w:hAnsi="Arial"/>
                <w:sz w:val="13"/>
                <w:szCs w:val="13"/>
                <w:color w:val="0000FF"/>
              </w:rPr>
              <w:t>124</w:t>
            </w:r>
          </w:p>
        </w:tc>
      </w:tr>
      <w:tr>
        <w:trPr>
          <w:trHeight w:val="342"/>
        </w:trPr>
        <w:tc>
          <w:tcPr>
            <w:tcW w:w="1040" w:type="dxa"/>
            <w:vAlign w:val="bottom"/>
          </w:tcPr>
          <w:p>
            <w:pPr>
              <w:ind w:left="20"/>
              <w:spacing w:after="0"/>
              <w:rPr>
                <w:sz w:val="20"/>
                <w:szCs w:val="20"/>
                <w:color w:val="auto"/>
              </w:rPr>
            </w:pPr>
            <w:r>
              <w:rPr>
                <w:rFonts w:ascii="Arial" w:cs="Arial" w:eastAsia="Arial" w:hAnsi="Arial"/>
                <w:sz w:val="13"/>
                <w:szCs w:val="13"/>
                <w:b w:val="1"/>
                <w:bCs w:val="1"/>
                <w:color w:val="auto"/>
              </w:rPr>
              <w:t>PART IV</w:t>
            </w:r>
          </w:p>
        </w:tc>
        <w:tc>
          <w:tcPr>
            <w:tcW w:w="81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7"/>
        </w:trPr>
        <w:tc>
          <w:tcPr>
            <w:tcW w:w="1040" w:type="dxa"/>
            <w:vAlign w:val="bottom"/>
          </w:tcPr>
          <w:p>
            <w:pPr>
              <w:ind w:left="20"/>
              <w:spacing w:after="0"/>
              <w:rPr>
                <w:sz w:val="20"/>
                <w:szCs w:val="20"/>
                <w:color w:val="auto"/>
              </w:rPr>
            </w:pPr>
            <w:r>
              <w:rPr>
                <w:rFonts w:ascii="Arial" w:cs="Arial" w:eastAsia="Arial" w:hAnsi="Arial"/>
                <w:sz w:val="13"/>
                <w:szCs w:val="13"/>
                <w:color w:val="auto"/>
              </w:rPr>
              <w:t>Item 15.</w:t>
            </w:r>
          </w:p>
        </w:tc>
        <w:tc>
          <w:tcPr>
            <w:tcW w:w="8180" w:type="dxa"/>
            <w:vAlign w:val="bottom"/>
          </w:tcPr>
          <w:p>
            <w:pPr>
              <w:ind w:left="200"/>
              <w:spacing w:after="0"/>
              <w:rPr>
                <w:sz w:val="20"/>
                <w:szCs w:val="20"/>
                <w:color w:val="auto"/>
              </w:rPr>
            </w:pPr>
            <w:r>
              <w:rPr>
                <w:rFonts w:ascii="Arial" w:cs="Arial" w:eastAsia="Arial" w:hAnsi="Arial"/>
                <w:sz w:val="13"/>
                <w:szCs w:val="13"/>
                <w:color w:val="auto"/>
              </w:rPr>
              <w:t>Exhibits and Financial Statement Schedules</w:t>
            </w:r>
          </w:p>
        </w:tc>
        <w:tc>
          <w:tcPr>
            <w:tcW w:w="2060" w:type="dxa"/>
            <w:vAlign w:val="bottom"/>
          </w:tcPr>
          <w:p>
            <w:pPr>
              <w:jc w:val="right"/>
              <w:spacing w:after="0"/>
              <w:rPr>
                <w:sz w:val="20"/>
                <w:szCs w:val="20"/>
                <w:color w:val="auto"/>
              </w:rPr>
            </w:pPr>
            <w:r>
              <w:rPr>
                <w:rFonts w:ascii="Arial" w:cs="Arial" w:eastAsia="Arial" w:hAnsi="Arial"/>
                <w:sz w:val="13"/>
                <w:szCs w:val="13"/>
                <w:color w:val="0000FF"/>
              </w:rPr>
              <w:t>125</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16.</w:t>
            </w:r>
          </w:p>
        </w:tc>
        <w:tc>
          <w:tcPr>
            <w:tcW w:w="8180" w:type="dxa"/>
            <w:vAlign w:val="bottom"/>
          </w:tcPr>
          <w:p>
            <w:pPr>
              <w:ind w:left="200"/>
              <w:spacing w:after="0"/>
              <w:rPr>
                <w:sz w:val="20"/>
                <w:szCs w:val="20"/>
                <w:color w:val="auto"/>
              </w:rPr>
            </w:pPr>
            <w:r>
              <w:rPr>
                <w:rFonts w:ascii="Arial" w:cs="Arial" w:eastAsia="Arial" w:hAnsi="Arial"/>
                <w:sz w:val="13"/>
                <w:szCs w:val="13"/>
                <w:color w:val="auto"/>
              </w:rPr>
              <w:t>Form 10-K Summary</w:t>
            </w:r>
          </w:p>
        </w:tc>
        <w:tc>
          <w:tcPr>
            <w:tcW w:w="2060" w:type="dxa"/>
            <w:vAlign w:val="bottom"/>
          </w:tcPr>
          <w:p>
            <w:pPr>
              <w:jc w:val="right"/>
              <w:spacing w:after="0"/>
              <w:rPr>
                <w:sz w:val="20"/>
                <w:szCs w:val="20"/>
                <w:color w:val="auto"/>
              </w:rPr>
            </w:pPr>
            <w:r>
              <w:rPr>
                <w:rFonts w:ascii="Arial" w:cs="Arial" w:eastAsia="Arial" w:hAnsi="Arial"/>
                <w:sz w:val="13"/>
                <w:szCs w:val="13"/>
                <w:color w:val="0000FF"/>
              </w:rPr>
              <w:t>125</w:t>
            </w:r>
          </w:p>
        </w:tc>
      </w:tr>
      <w:tr>
        <w:trPr>
          <w:trHeight w:val="346"/>
        </w:trPr>
        <w:tc>
          <w:tcPr>
            <w:tcW w:w="1040" w:type="dxa"/>
            <w:vAlign w:val="bottom"/>
          </w:tcPr>
          <w:p>
            <w:pPr>
              <w:ind w:left="20"/>
              <w:spacing w:after="0"/>
              <w:rPr>
                <w:sz w:val="20"/>
                <w:szCs w:val="20"/>
                <w:color w:val="auto"/>
              </w:rPr>
            </w:pPr>
            <w:r>
              <w:rPr>
                <w:rFonts w:ascii="Arial" w:cs="Arial" w:eastAsia="Arial" w:hAnsi="Arial"/>
                <w:sz w:val="13"/>
                <w:szCs w:val="13"/>
                <w:b w:val="1"/>
                <w:bCs w:val="1"/>
                <w:color w:val="auto"/>
              </w:rPr>
              <w:t>SIGNATURES</w:t>
            </w:r>
          </w:p>
        </w:tc>
        <w:tc>
          <w:tcPr>
            <w:tcW w:w="818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3"/>
                <w:szCs w:val="13"/>
                <w:color w:val="0000FF"/>
              </w:rPr>
              <w:t>127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3"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PRIVATE SECURITIES LITIGATION REFORM ACT SAFE HARBOR STATEMENT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This Annual Report on Form 10-K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“endeavor,” “plan,” “estimate,” “could,” “project,” “seek,” “should,” “will,” or “would,” or the negative of these words and phrases or similar words and phrases.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These forward-looking statements are subject to risks and uncertainties that could cause actual results, performance or achievements to differ materially from those projected.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These risks and uncertainties, some of which are beyond our control, include, but are not limited to:</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Economic Conditions</w:t>
      </w:r>
    </w:p>
    <w:p>
      <w:pPr>
        <w:spacing w:after="0" w:line="179" w:lineRule="exact"/>
        <w:rPr>
          <w:sz w:val="20"/>
          <w:szCs w:val="20"/>
          <w:color w:val="auto"/>
        </w:rPr>
      </w:pPr>
    </w:p>
    <w:p>
      <w:pPr>
        <w:ind w:left="760" w:hanging="500"/>
        <w:spacing w:after="0" w:line="290"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economic conditions (including the interest rate environment, government economic and monetary policies, the strength of global financial markets and inflation/deflation) that impact the financial services industry as a whole and/or our business;</w:t>
      </w:r>
    </w:p>
    <w:p>
      <w:pPr>
        <w:spacing w:after="0" w:line="77" w:lineRule="exact"/>
        <w:rPr>
          <w:rFonts w:ascii="Arial" w:cs="Arial" w:eastAsia="Arial" w:hAnsi="Arial"/>
          <w:sz w:val="14"/>
          <w:szCs w:val="14"/>
          <w:color w:val="auto"/>
        </w:rPr>
      </w:pPr>
    </w:p>
    <w:p>
      <w:pPr>
        <w:ind w:left="760" w:hanging="500"/>
        <w:spacing w:after="0" w:line="290"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adverse developments in the banking industry such as, for example, by high-profile bank failures and the potential impact of such developments on customer confidence, liquidity, and regulatory responses to these developments;</w:t>
      </w:r>
    </w:p>
    <w:p>
      <w:pPr>
        <w:spacing w:after="0" w:line="77" w:lineRule="exact"/>
        <w:rPr>
          <w:rFonts w:ascii="Arial" w:cs="Arial" w:eastAsia="Arial" w:hAnsi="Arial"/>
          <w:sz w:val="14"/>
          <w:szCs w:val="14"/>
          <w:color w:val="auto"/>
        </w:rPr>
      </w:pPr>
    </w:p>
    <w:p>
      <w:pPr>
        <w:ind w:left="760" w:hanging="500"/>
        <w:spacing w:after="0" w:line="290"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concentration of our business in the Washington, D.C. and Baltimore, Maryland metropolitan areas and the effect of changes in economic, political and environmental conditions on these markets;</w:t>
      </w:r>
    </w:p>
    <w:p>
      <w:pPr>
        <w:spacing w:after="0" w:line="77" w:lineRule="exact"/>
        <w:rPr>
          <w:rFonts w:ascii="Arial" w:cs="Arial" w:eastAsia="Arial" w:hAnsi="Arial"/>
          <w:sz w:val="14"/>
          <w:szCs w:val="14"/>
          <w:color w:val="auto"/>
        </w:rPr>
      </w:pPr>
    </w:p>
    <w:p>
      <w:pPr>
        <w:ind w:left="760" w:hanging="500"/>
        <w:spacing w:after="0" w:line="290"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interest rate risk associated with our business, including sensitivity of our interest earning assets and interest-bearing liabilities to changes in interest rates, and the impact to our earnings from changes in interest rates;</w:t>
      </w:r>
    </w:p>
    <w:p>
      <w:pPr>
        <w:spacing w:after="0" w:line="77" w:lineRule="exact"/>
        <w:rPr>
          <w:rFonts w:ascii="Arial" w:cs="Arial" w:eastAsia="Arial" w:hAnsi="Arial"/>
          <w:sz w:val="14"/>
          <w:szCs w:val="14"/>
          <w:color w:val="auto"/>
        </w:rPr>
      </w:pPr>
    </w:p>
    <w:p>
      <w:pPr>
        <w:ind w:left="760" w:hanging="500"/>
        <w:spacing w:after="0" w:line="290"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geopolitical conditions, including acts or threats of terrorism, actions taken by the U.S. or other governments in response to acts or threats of terrorism and/or military conflicts, including the ongoing wars in Ukraine and the Middle East, which could impact business and economic conditions in the U.S. and abroad;</w:t>
      </w:r>
    </w:p>
    <w:p>
      <w:pPr>
        <w:spacing w:after="0" w:line="77" w:lineRule="exact"/>
        <w:rPr>
          <w:rFonts w:ascii="Arial" w:cs="Arial" w:eastAsia="Arial" w:hAnsi="Arial"/>
          <w:sz w:val="14"/>
          <w:szCs w:val="14"/>
          <w:color w:val="auto"/>
        </w:rPr>
      </w:pPr>
    </w:p>
    <w:p>
      <w:pPr>
        <w:ind w:left="760" w:hanging="500"/>
        <w:spacing w:after="0" w:line="290"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of recent or future changes in the Federal Deposit Insurance Corporation (“FDIC”) insurance assessment rate or the rules and regulations related to the calculation of the FDIC insurance assessment amount, including any special assessments;</w:t>
      </w:r>
    </w:p>
    <w:p>
      <w:pPr>
        <w:spacing w:after="0" w:line="77" w:lineRule="exact"/>
        <w:rPr>
          <w:rFonts w:ascii="Arial" w:cs="Arial" w:eastAsia="Arial" w:hAnsi="Arial"/>
          <w:sz w:val="14"/>
          <w:szCs w:val="14"/>
          <w:color w:val="auto"/>
        </w:rPr>
      </w:pPr>
    </w:p>
    <w:p>
      <w:pPr>
        <w:ind w:left="760" w:hanging="500"/>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potential changes in federal policy and at regulatory agencies as a result of the upcoming 2024 presidential election;</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General Business Operations</w:t>
      </w:r>
    </w:p>
    <w:p>
      <w:pPr>
        <w:spacing w:after="0" w:line="136" w:lineRule="exact"/>
        <w:rPr>
          <w:sz w:val="20"/>
          <w:szCs w:val="20"/>
          <w:color w:val="auto"/>
        </w:rPr>
      </w:pPr>
    </w:p>
    <w:p>
      <w:pPr>
        <w:ind w:left="760" w:hanging="500"/>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prudently manage our growth and execute our strategy;</w:t>
      </w:r>
    </w:p>
    <w:p>
      <w:pPr>
        <w:spacing w:after="0" w:line="136" w:lineRule="exact"/>
        <w:rPr>
          <w:rFonts w:ascii="Arial" w:cs="Arial" w:eastAsia="Arial" w:hAnsi="Arial"/>
          <w:sz w:val="14"/>
          <w:szCs w:val="14"/>
          <w:color w:val="auto"/>
        </w:rPr>
      </w:pPr>
    </w:p>
    <w:p>
      <w:pPr>
        <w:ind w:left="760" w:hanging="500"/>
        <w:spacing w:after="0" w:line="265"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plans to grow our commercial real estate and commercial business loan portfolios which may carry material risks of non-payment or other unfavorable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4" w:name="page5"/>
    <w:bookmarkEnd w:id="4"/>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adequacy of reserves, including our allowance for credit losses (“ACL”);</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deterioration of our asset quality;</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risks associated with our residential mortgage banking business;</w:t>
      </w:r>
    </w:p>
    <w:p>
      <w:pPr>
        <w:spacing w:after="0" w:line="133"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risks associated with our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credit card division, including compliance with applicable consumer finance and fraud prevention regulations;</w:t>
      </w:r>
    </w:p>
    <w:p>
      <w:pPr>
        <w:spacing w:after="0" w:line="92" w:lineRule="exact"/>
        <w:rPr>
          <w:rFonts w:ascii="Arial" w:cs="Arial" w:eastAsia="Arial" w:hAnsi="Arial"/>
          <w:sz w:val="14"/>
          <w:szCs w:val="14"/>
          <w:color w:val="auto"/>
        </w:rPr>
      </w:pPr>
    </w:p>
    <w:p>
      <w:pPr>
        <w:ind w:left="500" w:hanging="500"/>
        <w:spacing w:after="0" w:line="290" w:lineRule="auto"/>
        <w:tabs>
          <w:tab w:leader="none" w:pos="497" w:val="left"/>
        </w:tabs>
        <w:numPr>
          <w:ilvl w:val="0"/>
          <w:numId w:val="5"/>
        </w:numPr>
        <w:rPr>
          <w:rFonts w:ascii="Arial" w:cs="Arial" w:eastAsia="Arial" w:hAnsi="Arial"/>
          <w:sz w:val="14"/>
          <w:szCs w:val="14"/>
          <w:color w:val="auto"/>
        </w:rPr>
      </w:pPr>
      <w:r>
        <w:rPr>
          <w:rFonts w:ascii="Arial" w:cs="Arial" w:eastAsia="Arial" w:hAnsi="Arial"/>
          <w:sz w:val="14"/>
          <w:szCs w:val="14"/>
          <w:color w:val="auto"/>
        </w:rPr>
        <w:t>results of examinations of us by our regulators, including the possibility that our regulators may, among other things, require us to increase our allowance for credit losses or to write-down assets;</w:t>
      </w:r>
    </w:p>
    <w:p>
      <w:pPr>
        <w:spacing w:after="0" w:line="77"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the value of collateral securing our loans;</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dependence on our management team and board of directors and changes in management and board composition;</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liquidity and operations risks associated with our business;</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maintain important customer deposit relationships and our reputation;</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operational risks associated with our business;</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strategic acquisitions we may undertake to achieve our goals;</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sufficiency of our capital, including sources of capital and the extent to which we may be required to raise additional capital to meet our goals;</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fluctuations in the fair value of our investment securities;</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potential exposure to fraud, negligence, computer theft and cyber-crime;</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cybersecurity threats and incidents and related potential costs and risks, including reputation, financial and litigation risks;</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adequacy of our risk management framework;</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dependence on our information technology and telecommunications systems and the potential for any systems failures or interruptions;</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dependence upon outside third parties for the processing and handling of our records and data;</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adapt to technological change;</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engagement in derivative transactions;</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volatility and direction of market interest rates;</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increased competition in the financial services industry, particularly from regional and national institutions;</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to state rent control laws, which may impact the credit quality of multifamily housing loans;</w:t>
      </w:r>
    </w:p>
    <w:p>
      <w:pPr>
        <w:spacing w:after="0" w:line="136" w:lineRule="exact"/>
        <w:rPr>
          <w:rFonts w:ascii="Arial" w:cs="Arial" w:eastAsia="Arial" w:hAnsi="Arial"/>
          <w:sz w:val="14"/>
          <w:szCs w:val="14"/>
          <w:color w:val="auto"/>
        </w:rPr>
      </w:pPr>
    </w:p>
    <w:p>
      <w:pPr>
        <w:ind w:left="500" w:hanging="50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involvement from time to time in legal proceedings, examinations and remedial actions by regulators;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210820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1313" w:right="319" w:bottom="1440" w:gutter="0" w:footer="0" w:header="0"/>
        </w:sectPr>
      </w:pPr>
    </w:p>
    <w:bookmarkStart w:id="5" w:name="page6"/>
    <w:bookmarkEnd w:id="5"/>
    <w:p>
      <w:pPr>
        <w:ind w:left="760" w:hanging="500"/>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the laws, rules, regulations, interpretations or policies relating to financial institution, accounting, tax, trade, monetary and fiscal matters;</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financial soundness of other financial institutions;</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further government intervention in the U.S. financial system;</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climate change, including the enhanced regulatory, compliance, credit and reputational risks and costs;</w:t>
      </w:r>
    </w:p>
    <w:p>
      <w:pPr>
        <w:spacing w:after="0" w:line="136" w:lineRule="exact"/>
        <w:rPr>
          <w:rFonts w:ascii="Arial" w:cs="Arial" w:eastAsia="Arial" w:hAnsi="Arial"/>
          <w:sz w:val="14"/>
          <w:szCs w:val="14"/>
          <w:color w:val="auto"/>
        </w:rPr>
      </w:pPr>
    </w:p>
    <w:p>
      <w:pPr>
        <w:ind w:left="760" w:hanging="500"/>
        <w:spacing w:after="0" w:line="265" w:lineRule="auto"/>
        <w:tabs>
          <w:tab w:leader="none" w:pos="756" w:val="left"/>
        </w:tabs>
        <w:numPr>
          <w:ilvl w:val="0"/>
          <w:numId w:val="6"/>
        </w:numPr>
        <w:rPr>
          <w:rFonts w:ascii="Arial" w:cs="Arial" w:eastAsia="Arial" w:hAnsi="Arial"/>
          <w:sz w:val="14"/>
          <w:szCs w:val="14"/>
          <w:color w:val="auto"/>
        </w:rPr>
      </w:pPr>
      <w:r>
        <w:rPr>
          <w:rFonts w:ascii="Arial" w:cs="Arial" w:eastAsia="Arial" w:hAnsi="Arial"/>
          <w:sz w:val="14"/>
          <w:szCs w:val="14"/>
          <w:color w:val="auto"/>
        </w:rPr>
        <w:t>natural disasters and adverse weather, acts of terrorism, an outbreak of hostilities or other international or domestic calamities, and other matters beyond our control; and</w:t>
      </w:r>
    </w:p>
    <w:p>
      <w:pPr>
        <w:spacing w:after="0" w:line="289" w:lineRule="exact"/>
        <w:rPr>
          <w:rFonts w:ascii="Arial" w:cs="Arial" w:eastAsia="Arial" w:hAnsi="Arial"/>
          <w:sz w:val="14"/>
          <w:szCs w:val="14"/>
          <w:color w:val="auto"/>
        </w:rPr>
      </w:pPr>
    </w:p>
    <w:p>
      <w:pPr>
        <w:ind w:left="760" w:hanging="500"/>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other factors that are discussed in Item 1A. Risk Factors.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you read and consider forward-looking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business, financial condition, liquidity 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Item 1A. hereunder. 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 In light of these risks and uncertainties, you should keep in mind that any forward-looking statement made in this document or elsewhere might not reflect actual results.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this annual report, unless we state otherwise or the context otherwise requires, references to “we,” “our,” “us,” “the Company” and “Capital” refer to Capital Bancorp, Inc. and its wholly owned subsidiaries, Capital Bank, N.A., which we sometimes refer to as “Capital Bank,” “the Bank” or “our Bank,” and Church Street Capital, LLC. “Church Street Capital” or “CSC” refer to our wholly owned subsidiary, Church Street Capital, LLC.</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 BUSINESS</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are Capital Bancorp, Inc., a bank holding company and a Maryland corporation established in 1998, operating primarily through our wholly owned subsidiary, Capital Bank, N.A., a commercial-focused community bank based in the Washington, D.C. and Baltimore metropolitan areas. We serve businesses, not-for-profit associations and entrepreneurs throughout the region. Capital Bank is headquartered in Rockville, Maryland and operates a branch-lite model through four commercial bank branches, one mortgage office and two loan production offices.</w:t>
      </w:r>
    </w:p>
    <w:p>
      <w:pPr>
        <w:spacing w:after="0" w:line="136"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Capital Bank currently operates three divisions: Commercial Banking, Capital Bank Home Loans, and OpenSky</w:t>
      </w:r>
      <w:r>
        <w:rPr>
          <w:rFonts w:ascii="Arial" w:cs="Arial" w:eastAsia="Arial" w:hAnsi="Arial"/>
          <w:sz w:val="18"/>
          <w:szCs w:val="18"/>
          <w:color w:val="auto"/>
          <w:vertAlign w:val="superscript"/>
        </w:rPr>
        <w:t>™</w:t>
      </w:r>
      <w:r>
        <w:rPr>
          <w:rFonts w:ascii="Arial" w:cs="Arial" w:eastAsia="Arial" w:hAnsi="Arial"/>
          <w:sz w:val="14"/>
          <w:szCs w:val="14"/>
          <w:color w:val="auto"/>
        </w:rPr>
        <w:t>. Our Commercial Banking division operates primarily in the Washington, D.C. and Baltimore metropolitan areas and focuses on providing personalized service to commercial clients throughout our area of operations. Capital Bank Home Loans and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both leverage Capital Bank’s national banking charter to operate as national consumer business lines; Capital Bank Home Loans acts as our residential mortgage origination platform and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provides nationwide, digitally-based, unsecured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auto"/>
        </w:rPr>
        <w:t>credit cards as well as secured credit cards to under-banked populations and those looking to rebuild their credit scores.</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addition to the three divisions of Capital Bank, Church Street Capital also operates as a wholly owned subsidiary of Capital Bancorp, Inc. CSC originates and services a portfolio of primarily mezzanine loans with certain characteristics that do not meet Capital Bank’s general underwriting standards, but command a higher rate of return.</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addition to its subsidiaries discussed above, Capital Bank, N.A. and Church Street Capital, Capital Bancorp, Inc. owns all of the stock of Capital Bancorp (MD) Statutory Trust I (the “Trust”). The Trust is a special purpose non-consolidated entity organized for the sole purpose of issuing trust preferred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Commercial Banking Division</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Commercial Banking division operates out of four full service banking locations, each of which is in the Washington, D.C. Metropolitan Statistical Area (“MSA”), and its full service banking location in Columbia, Maryland in the Baltimore, Maryland MSA. Additionally, we have two loan production offices, one located in the Washington, D.C. area and one in Columbia, Maryland. Our Commercial Banking division’s commercial loan officers and commercial real estate loan officers provide commercial and industrial, or C&amp;I, commercial real estate, including lender finance loans, and construction lending solutions to business clients in Capital Bank’s operating markets.</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Lender finance loans are loans to companies used to purchase finance receivables or extend finance receivables to the underlying obligors and are secured primarily by the finance receivables held by our borrowers.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Construction lending is a core competency of our Commercial Banking division. Our construction loan portfolio provides Capital Bank with short duration, higher yield loans. Our construction lending is focused on commercial and residential construction projects within the Washington, D.C. and Baltimore-Columbia-Towson, Maryland metropolitan operating areas, with limited exposure to suburban subdivision tract development.</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addition to its loan officers who have incentives and goals to drive core deposit growth, our Commercial Banking division currently has a team of business development officers concentrating on continuing to diversify Capital Bank’s funding sources away from wholesale funding and towards core deposit funding.</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Capital Bank Home Loans Division</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Capital Bank Home Loans (“CBHL”) originates conventional and government-guaranteed residential mortgage loans on a national basis, for sale into the secondary market and in certain circumstances for our loan portfolio. Loans sold into the secondary market are sold servicing released. Our residential loan portfolio aims to retain high-quality, lower risk loans which support the Company’s business strategies. A portion of the retained residential portfolio is represented by mortgage loans on primary residences within Capital Bank’s operating markets to individuals who own businesses where Capital Bank may also pursue a commercial lending relationship and has a vested interest in maintaining the fullest possible control of the lending relationship.</w:t>
      </w:r>
    </w:p>
    <w:p>
      <w:pPr>
        <w:spacing w:after="0" w:line="140" w:lineRule="exact"/>
        <w:rPr>
          <w:sz w:val="20"/>
          <w:szCs w:val="20"/>
          <w:color w:val="auto"/>
        </w:rPr>
      </w:pPr>
    </w:p>
    <w:p>
      <w:pPr>
        <w:jc w:val="both"/>
        <w:ind w:firstLine="127"/>
        <w:spacing w:after="0" w:line="290" w:lineRule="auto"/>
        <w:rPr>
          <w:sz w:val="20"/>
          <w:szCs w:val="20"/>
          <w:color w:val="auto"/>
        </w:rPr>
      </w:pPr>
      <w:r>
        <w:rPr>
          <w:rFonts w:ascii="Arial" w:cs="Arial" w:eastAsia="Arial" w:hAnsi="Arial"/>
          <w:sz w:val="14"/>
          <w:szCs w:val="14"/>
          <w:color w:val="auto"/>
        </w:rPr>
        <w:t>In 2023, as the mortgage refinance market continued to contract in response to increasing market interest rates, CBHL continued to focus on purchase originations. Purchase origination volume was 91.7% for the year ended December 31, 2023, compared to 80.6%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7" w:name="page8"/>
    <w:bookmarkEnd w:id="7"/>
    <w:p>
      <w:pPr>
        <w:jc w:val="both"/>
        <w:spacing w:after="0" w:line="290" w:lineRule="auto"/>
        <w:rPr>
          <w:sz w:val="20"/>
          <w:szCs w:val="20"/>
          <w:color w:val="auto"/>
        </w:rPr>
      </w:pPr>
      <w:r>
        <w:rPr>
          <w:rFonts w:ascii="Arial" w:cs="Arial" w:eastAsia="Arial" w:hAnsi="Arial"/>
          <w:sz w:val="14"/>
          <w:szCs w:val="14"/>
          <w:color w:val="auto"/>
        </w:rPr>
        <w:t>Approximately 62.8% of CBHL loan originations by volume occur within Capital Bank’s operating markets in Maryland, Virginia and Washington, D.C. The remainder of originations are national in scope and originate primarily through a consumer direct channel that utilizes consumer marketing, including through social media applications.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OpenSky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Secured Credit Card Division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Division provides secured, partially secured and unsecured credit cards on a nationwide basis.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secured credit cards require a minimum initial deposit of $200 and permit maximum initial deposits of $3,000 per card and $10,000 per individual. This business line focuses on under-banked populations and those looking to rebuild their credit scores. In order to obtain a secured credit card from us, the customer must select a credit line amount that the customer is willing to secure with a matching deposit amount. A deposit equal to the full credit limit of the card is made into a noninterest-bearing demand account with the Bank. Once the account is opened, the deposit is required to be maintained throughout the life of the card. The customer’s funding of the deposit account is collateral and it is not a consideration in the credit card approval process, but is a prerequisite to activating the credit line. Once the customer’s deposit account has been funded, the credit line is activated and the collateral funds are generally available to absorb any losses on the account that may occur. Given the secured nature of the cards, credit checks are not required at the time of application.</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partially secured credit card uses our proprietary scoring model, which considers among other things, credit score and repayment history (typically a minimum of six months of on-time repayments, but ultimately determined on a case-by-case basis), to offer certain existing customers an unsecured line in excess of their secured line of credit. As each customer’s secured account ages, we obtain credit scores to baseline the customer’s improvement as an input into any decision to extend unsecured credit.</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The unsecured credit card was added, for qualifying customers, in the fourth quarter of 2021 to expand the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offering. The addition of the unsecured card allows for an uninterrupted experience for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customers who can now more easily continue in their journey from a secured to unsecured credit card.</w:t>
      </w:r>
    </w:p>
    <w:p>
      <w:pPr>
        <w:spacing w:after="0" w:line="97"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cards operate on a fully digital and mobile platform with all marketing and application procedures conducted through its website or mobile applications.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credit cards have floating interest rates, which are beneficial to us in a rising rate environment, and we believe the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secured credit card product may provide a counter-cyclical benefit as more people may wish to enter its target segment of credit rebuilders during an economic downturn. Credit card eligibility for all product offerings is based on identity and income verification. Our prior experience has shown that approximately 20% of our secured credit cards will experience a charge-off within the first year of issuance primarily due to the relative inexperience of this under-banked population in effectively managing credit card debt. As of December 31, 2023, approximately 12.3% of our secured credit card portfolio was delinquent by 30 days or more.</w:t>
      </w:r>
    </w:p>
    <w:p>
      <w:pPr>
        <w:spacing w:after="0" w:line="152"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Capital Bank evaluates its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customers using analytics that track consumer behaviors and score each customer on risk and behavior metrics. These real-time monitoring capabilities give our management insight into the credit trends of our portfolio on a consumer-by-consumer basis, allowing us to identify potential fraud situations and mitigate any associated losses, as well as to obtain insights into how to optimize the profitability and life cycle of each account. The model utilizes data proprietary to Capital Bank.</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Our Business Strategy</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Regulations, technology and competition have fundamentally impacted the economics of the banking sector. We believe that by using technology-enabled strategies and advice-based solutions, we can deliver attractive shareholder returns in excess of our cost of capital. We have adopted the following strategies that we believe will continue to drive growth while maintaining consistent profitability and enhancing shareholder value: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Deliver premium advice-based solutions that drive organic loan and core deposit growth with corresponding net interest margin</w:t>
      </w:r>
    </w:p>
    <w:p>
      <w:pPr>
        <w:spacing w:after="0" w:line="177" w:lineRule="exact"/>
        <w:rPr>
          <w:sz w:val="20"/>
          <w:szCs w:val="20"/>
          <w:color w:val="auto"/>
        </w:rPr>
      </w:pPr>
    </w:p>
    <w:p>
      <w:pPr>
        <w:ind w:left="760" w:hanging="500"/>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Serve as financial partners to our customers, helping them to grow their businesses through advice-based financial solutions;</w:t>
      </w:r>
    </w:p>
    <w:p>
      <w:pPr>
        <w:spacing w:after="0" w:line="136" w:lineRule="exact"/>
        <w:rPr>
          <w:rFonts w:ascii="Arial" w:cs="Arial" w:eastAsia="Arial" w:hAnsi="Arial"/>
          <w:sz w:val="14"/>
          <w:szCs w:val="14"/>
          <w:color w:val="auto"/>
        </w:rPr>
      </w:pPr>
    </w:p>
    <w:p>
      <w:pPr>
        <w:ind w:left="760" w:hanging="500"/>
        <w:spacing w:after="0" w:line="290" w:lineRule="auto"/>
        <w:tabs>
          <w:tab w:leader="none" w:pos="756" w:val="left"/>
        </w:tabs>
        <w:numPr>
          <w:ilvl w:val="0"/>
          <w:numId w:val="7"/>
        </w:numPr>
        <w:rPr>
          <w:rFonts w:ascii="Arial" w:cs="Arial" w:eastAsia="Arial" w:hAnsi="Arial"/>
          <w:sz w:val="14"/>
          <w:szCs w:val="14"/>
          <w:color w:val="auto"/>
        </w:rPr>
      </w:pPr>
      <w:r>
        <w:rPr>
          <w:rFonts w:ascii="Arial" w:cs="Arial" w:eastAsia="Arial" w:hAnsi="Arial"/>
          <w:sz w:val="14"/>
          <w:szCs w:val="14"/>
          <w:color w:val="auto"/>
        </w:rPr>
        <w:t>Endeavor to provide comprehensive loan and deposit solutions to our customers that are tailored to their needs, and leverage data, analytics, and financial technology to improve the customer experience;</w:t>
      </w:r>
    </w:p>
    <w:p>
      <w:pPr>
        <w:spacing w:after="0" w:line="77" w:lineRule="exact"/>
        <w:rPr>
          <w:rFonts w:ascii="Arial" w:cs="Arial" w:eastAsia="Arial" w:hAnsi="Arial"/>
          <w:sz w:val="14"/>
          <w:szCs w:val="14"/>
          <w:color w:val="auto"/>
        </w:rPr>
      </w:pPr>
    </w:p>
    <w:p>
      <w:pPr>
        <w:ind w:left="760" w:hanging="500"/>
        <w:spacing w:after="0" w:line="290" w:lineRule="auto"/>
        <w:tabs>
          <w:tab w:leader="none" w:pos="756" w:val="left"/>
        </w:tabs>
        <w:numPr>
          <w:ilvl w:val="0"/>
          <w:numId w:val="7"/>
        </w:numPr>
        <w:rPr>
          <w:rFonts w:ascii="Arial" w:cs="Arial" w:eastAsia="Arial" w:hAnsi="Arial"/>
          <w:sz w:val="14"/>
          <w:szCs w:val="14"/>
          <w:color w:val="auto"/>
        </w:rPr>
      </w:pPr>
      <w:r>
        <w:rPr>
          <w:rFonts w:ascii="Arial" w:cs="Arial" w:eastAsia="Arial" w:hAnsi="Arial"/>
          <w:sz w:val="14"/>
          <w:szCs w:val="14"/>
          <w:color w:val="auto"/>
        </w:rPr>
        <w:t>Scale our consumer fee-based platforms by investing in fintech capabilities and digital marketing to deliver high impact products and services and differentiated customer experience;</w:t>
      </w:r>
    </w:p>
    <w:p>
      <w:pPr>
        <w:spacing w:after="0" w:line="77" w:lineRule="exact"/>
        <w:rPr>
          <w:rFonts w:ascii="Arial" w:cs="Arial" w:eastAsia="Arial" w:hAnsi="Arial"/>
          <w:sz w:val="14"/>
          <w:szCs w:val="14"/>
          <w:color w:val="auto"/>
        </w:rPr>
      </w:pPr>
    </w:p>
    <w:p>
      <w:pPr>
        <w:ind w:left="760" w:hanging="500"/>
        <w:spacing w:after="0" w:line="290" w:lineRule="auto"/>
        <w:tabs>
          <w:tab w:leader="none" w:pos="756" w:val="left"/>
        </w:tabs>
        <w:numPr>
          <w:ilvl w:val="0"/>
          <w:numId w:val="7"/>
        </w:numPr>
        <w:rPr>
          <w:rFonts w:ascii="Arial" w:cs="Arial" w:eastAsia="Arial" w:hAnsi="Arial"/>
          <w:sz w:val="14"/>
          <w:szCs w:val="14"/>
          <w:color w:val="auto"/>
        </w:rPr>
      </w:pPr>
      <w:r>
        <w:rPr>
          <w:rFonts w:ascii="Arial" w:cs="Arial" w:eastAsia="Arial" w:hAnsi="Arial"/>
          <w:sz w:val="14"/>
          <w:szCs w:val="14"/>
          <w:color w:val="auto"/>
        </w:rPr>
        <w:t>Capitalize on market dislocation from recent in-market acquisitions to continue to attract top sales talent, and acquire new commercial banking relationships from local competitors; and</w:t>
      </w:r>
    </w:p>
    <w:p>
      <w:pPr>
        <w:spacing w:after="0" w:line="77" w:lineRule="exact"/>
        <w:rPr>
          <w:rFonts w:ascii="Arial" w:cs="Arial" w:eastAsia="Arial" w:hAnsi="Arial"/>
          <w:sz w:val="14"/>
          <w:szCs w:val="14"/>
          <w:color w:val="auto"/>
        </w:rPr>
      </w:pPr>
    </w:p>
    <w:p>
      <w:pPr>
        <w:ind w:left="760" w:hanging="500"/>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Selectively add banking centers where sales teams have already proved an ability to capture market share and leverage customer relationships.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Leverage technology to improve the customer experience and loyalty and deliver operational efficiencies</w:t>
      </w:r>
    </w:p>
    <w:p>
      <w:pPr>
        <w:spacing w:after="0" w:line="177" w:lineRule="exact"/>
        <w:rPr>
          <w:sz w:val="20"/>
          <w:szCs w:val="20"/>
          <w:color w:val="auto"/>
        </w:rPr>
      </w:pPr>
    </w:p>
    <w:p>
      <w:pPr>
        <w:ind w:left="760" w:hanging="500"/>
        <w:spacing w:after="0" w:line="290" w:lineRule="auto"/>
        <w:tabs>
          <w:tab w:leader="none" w:pos="756" w:val="left"/>
        </w:tabs>
        <w:numPr>
          <w:ilvl w:val="0"/>
          <w:numId w:val="8"/>
        </w:numPr>
        <w:rPr>
          <w:rFonts w:ascii="Arial" w:cs="Arial" w:eastAsia="Arial" w:hAnsi="Arial"/>
          <w:sz w:val="14"/>
          <w:szCs w:val="14"/>
          <w:color w:val="auto"/>
        </w:rPr>
      </w:pPr>
      <w:r>
        <w:rPr>
          <w:rFonts w:ascii="Arial" w:cs="Arial" w:eastAsia="Arial" w:hAnsi="Arial"/>
          <w:sz w:val="14"/>
          <w:szCs w:val="14"/>
          <w:color w:val="auto"/>
        </w:rPr>
        <w:t>Use solution structuring and customized technology implementation as differentiators to add value to clients with complex needs and enhance our relationships within our existing customer base;</w:t>
      </w:r>
    </w:p>
    <w:p>
      <w:pPr>
        <w:spacing w:after="0" w:line="77" w:lineRule="exact"/>
        <w:rPr>
          <w:rFonts w:ascii="Arial" w:cs="Arial" w:eastAsia="Arial" w:hAnsi="Arial"/>
          <w:sz w:val="14"/>
          <w:szCs w:val="14"/>
          <w:color w:val="auto"/>
        </w:rPr>
      </w:pPr>
    </w:p>
    <w:p>
      <w:pPr>
        <w:ind w:left="760" w:hanging="500"/>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Deploy technologies that better support our lending associates and simplify our processes;</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Maximize the potential of web-based and mobile banking applications to drive core funding while maintaining our branch-lite business model; and</w:t>
      </w:r>
    </w:p>
    <w:p>
      <w:pPr>
        <w:spacing w:after="0" w:line="133" w:lineRule="exact"/>
        <w:rPr>
          <w:rFonts w:ascii="Arial" w:cs="Arial" w:eastAsia="Arial" w:hAnsi="Arial"/>
          <w:sz w:val="14"/>
          <w:szCs w:val="14"/>
          <w:color w:val="auto"/>
        </w:rPr>
      </w:pPr>
    </w:p>
    <w:p>
      <w:pPr>
        <w:ind w:left="760" w:hanging="500"/>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Enhance cross-selling capabilities among our OpenSky</w:t>
      </w:r>
      <w:r>
        <w:rPr>
          <w:rFonts w:ascii="Arial" w:cs="Arial" w:eastAsia="Arial" w:hAnsi="Arial"/>
          <w:sz w:val="18"/>
          <w:szCs w:val="18"/>
          <w:color w:val="auto"/>
          <w:vertAlign w:val="superscript"/>
        </w:rPr>
        <w:t>™</w:t>
      </w:r>
      <w:r>
        <w:rPr>
          <w:rFonts w:ascii="Arial" w:cs="Arial" w:eastAsia="Arial" w:hAnsi="Arial"/>
          <w:sz w:val="14"/>
          <w:szCs w:val="14"/>
          <w:color w:val="auto"/>
        </w:rPr>
        <w:t>, Capital Bank Home Loans and Commercial Banking division customers.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Increase scale in our consumer fee-based platforms through delivery of high value products and services</w:t>
      </w:r>
    </w:p>
    <w:p>
      <w:pPr>
        <w:spacing w:after="0" w:line="177" w:lineRule="exact"/>
        <w:rPr>
          <w:sz w:val="20"/>
          <w:szCs w:val="20"/>
          <w:color w:val="auto"/>
        </w:rPr>
      </w:pPr>
    </w:p>
    <w:p>
      <w:pPr>
        <w:ind w:left="760" w:hanging="500"/>
        <w:spacing w:after="0" w:line="290" w:lineRule="auto"/>
        <w:tabs>
          <w:tab w:leader="none" w:pos="756" w:val="left"/>
        </w:tabs>
        <w:numPr>
          <w:ilvl w:val="0"/>
          <w:numId w:val="9"/>
        </w:numPr>
        <w:rPr>
          <w:rFonts w:ascii="Arial" w:cs="Arial" w:eastAsia="Arial" w:hAnsi="Arial"/>
          <w:sz w:val="14"/>
          <w:szCs w:val="14"/>
          <w:color w:val="auto"/>
        </w:rPr>
      </w:pPr>
      <w:r>
        <w:rPr>
          <w:rFonts w:ascii="Arial" w:cs="Arial" w:eastAsia="Arial" w:hAnsi="Arial"/>
          <w:sz w:val="14"/>
          <w:szCs w:val="14"/>
          <w:color w:val="auto"/>
        </w:rPr>
        <w:t>Utilize our customer acquisition system, Apollo, and leverage our investment in a new core processing system, together with our expertise in data, analytics and marketing, to deliver new products and services and grow our secured credit card business;</w:t>
      </w:r>
    </w:p>
    <w:p>
      <w:pPr>
        <w:spacing w:after="0" w:line="75" w:lineRule="exact"/>
        <w:rPr>
          <w:rFonts w:ascii="Arial" w:cs="Arial" w:eastAsia="Arial" w:hAnsi="Arial"/>
          <w:sz w:val="14"/>
          <w:szCs w:val="14"/>
          <w:color w:val="auto"/>
        </w:rPr>
      </w:pPr>
    </w:p>
    <w:p>
      <w:pPr>
        <w:ind w:left="760" w:hanging="500"/>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Retain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customers that “graduate” from our secured credit product through the limited use of partially and fully unsecured credit products; and</w:t>
      </w:r>
    </w:p>
    <w:p>
      <w:pPr>
        <w:spacing w:after="0" w:line="92" w:lineRule="exact"/>
        <w:rPr>
          <w:rFonts w:ascii="Arial" w:cs="Arial" w:eastAsia="Arial" w:hAnsi="Arial"/>
          <w:sz w:val="14"/>
          <w:szCs w:val="14"/>
          <w:color w:val="auto"/>
        </w:rPr>
      </w:pPr>
    </w:p>
    <w:p>
      <w:pPr>
        <w:ind w:left="760" w:hanging="500"/>
        <w:spacing w:after="0" w:line="290" w:lineRule="auto"/>
        <w:tabs>
          <w:tab w:leader="none" w:pos="756"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Expand our purchase-oriented mortgage loan sales both in-market and in adjacent markets through the hiring of qualified mortgage originators and continue to improve on our direct to consumer marketing channels.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color w:val="auto"/>
        </w:rPr>
        <w:t>Pursue acquisitions opportunistically</w:t>
      </w:r>
    </w:p>
    <w:p>
      <w:pPr>
        <w:spacing w:after="0" w:line="177" w:lineRule="exact"/>
        <w:rPr>
          <w:sz w:val="20"/>
          <w:szCs w:val="20"/>
          <w:color w:val="auto"/>
        </w:rPr>
      </w:pPr>
    </w:p>
    <w:p>
      <w:pPr>
        <w:ind w:left="760" w:hanging="500"/>
        <w:spacing w:after="0"/>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Seek strategic acquisitions in the Washington, D.C., Baltimore, Maryland, and surrounding metropolitan areas;</w:t>
      </w:r>
    </w:p>
    <w:p>
      <w:pPr>
        <w:spacing w:after="0" w:line="136" w:lineRule="exact"/>
        <w:rPr>
          <w:rFonts w:ascii="Arial" w:cs="Arial" w:eastAsia="Arial" w:hAnsi="Arial"/>
          <w:sz w:val="14"/>
          <w:szCs w:val="14"/>
          <w:color w:val="auto"/>
        </w:rPr>
      </w:pPr>
    </w:p>
    <w:p>
      <w:pPr>
        <w:ind w:left="760" w:hanging="500"/>
        <w:spacing w:after="0" w:line="290" w:lineRule="auto"/>
        <w:tabs>
          <w:tab w:leader="none" w:pos="7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Evaluate specialty finance company opportunities where we can add value through increasing interest and fee income and leveraging our management’s expertise and existing strategic assets; and</w:t>
      </w:r>
    </w:p>
    <w:p>
      <w:pPr>
        <w:spacing w:after="0" w:line="77" w:lineRule="exact"/>
        <w:rPr>
          <w:rFonts w:ascii="Arial" w:cs="Arial" w:eastAsia="Arial" w:hAnsi="Arial"/>
          <w:sz w:val="14"/>
          <w:szCs w:val="14"/>
          <w:color w:val="auto"/>
        </w:rPr>
      </w:pPr>
    </w:p>
    <w:p>
      <w:pPr>
        <w:ind w:left="760" w:hanging="500"/>
        <w:spacing w:after="0"/>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Use our management’s and Board’s expertise to structure transactions that minimize the integration and execution risk for the Bank.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Sustainability</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aspire to be the most valued and trusted community bank within the markets we serve. We understand our obligation to both our shareholders and the communities we serve -- to be an institution that achieves superior financial performance, while contributing to society through the delivery to our customers of services that enlarge access, equity and opportunity.</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focus our environmental, social, and governance (“ESG”) efforts on issues that are important to our business and to our key stakeholders. Our mission is to support businesses, help people and strengthen communities, as well as to grow our operations and revenue. Essential to this mission is our commitment to provide long-term, sustainable financial and social value to our stakeholders, including the communities we serve, our shareholders and our employees.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 and Human Capital Resources</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At December 31, 2023, we employed 299 persons, of which 277 were employed on a full-time basis. None of our employees are represented by any collective bargaining unit or are a party to a collective bargaining agreement. We believe the relationship with our employees to be excellent and we have been named a Best Bank to Work For by American Banker for four of the past five years. Our ability to attract and retain employees is a key to our success. We offer a competitive total rewards program to our employees, flexible work arrangements, and monitor the competitiveness of our compensation and benefits programs in our various market areas.</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prides itself on being a values-driven organization, where employees are empowered to share Ideas that keep the organization on track. Our company core values guide each team member to:</w:t>
      </w:r>
    </w:p>
    <w:p>
      <w:pPr>
        <w:spacing w:after="0" w:line="120" w:lineRule="exact"/>
        <w:rPr>
          <w:sz w:val="20"/>
          <w:szCs w:val="20"/>
          <w:color w:val="auto"/>
        </w:rPr>
      </w:pPr>
    </w:p>
    <w:p>
      <w:pPr>
        <w:ind w:left="760" w:hanging="500"/>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Act as an Owner</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Practice Balanced Risk Management</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Challenge the Norm</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Leverage the Team</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believe that these values enable our success with our customers and have helped us build a fun, vibrant and accountability driven culture. In addition, we are committed to developing our staff through internal/external training programs, including through use of online training resources and by affording all levels of leadership within the organization to participate in leadership development programs.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5"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Available Information</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provides access to its SEC filings through its website at www.capitalbankmd.com. After accessing the website, the filings are available upon selecting “Investor Relations.” Reports available include the Annual Report on Form 10-K, Quarterly Reports on Form 10-Q, Current Reports on Form 8-K, and all amendments to those reports as soon as reasonably practicable after the reports are electronically filed with or furnished to the SEC. Further, the SEC maintains an internet site that contains reports, proxy and information statements, and other information regarding issuers that file electronically with the SEC at www.sec.gov. The information on, or accessible through, our website or any other website cited in this Annual Report on Form 10-K is not part of, or incorporated by reference into, this Annual Report on Form 10-K and should not be relied upon in determining whether to make an investment decision.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SUPERVISION AND REGULATION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are extensively regulated under both federal and state law. These laws restrict permissible activities and investments and require compliance with various consumer protection provisions applicable to lending, deposit, brokerage and fiduciary activities. They also impose capital adequacy requirements and conditions on a bank holding company’s (“BHC”) ability to repurchase stock or to receive dividends from its subsidiary banks. We are subject to comprehensive examination and supervision by the Board of Governors of the Federal Reserve (“Federal Reserve”), and the Bank is subject to comprehensive examination and supervision by the Office of the Comptroller of the Currency (“OCC”). We are required to file with the Federal Reserve quarterly and annual reports and such additional information as the Federal Reserve may require pursuant to the Bank Holding Company Act of 1956 (“BHC Act”). The Federal Reserve may conduct examinations of BHCs and their subsidiaries. The Bank’s deposits are insured by the FDIC, through the Deposit Insurance Fund (“DIF”). As a result of this deposit insurance function, the FDIC also has certain supervisory authority and powers over the Bank as well as all other FDIC insured institutions. The Company’s and the Bank’s regulators generally have broad discretion to impose restrictions and limitations on our operations. Bank regulation is intended to protect depositors and consumers and not shareholders. This supervisory framework could materially and adversely impact the conduct and profitability of our activities.</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To the extent that the following information describes statutory and regulatory provisions, it is qualified in its entirety by reference to the text of the applicable statutory and regulatory provisions. Legislative and regulatory initiatives, which necessarily impact the regulation of the financial services industry, are introduced from time to time. We cannot predict whether or when potential legislation or new regulations will be enacted, and if enacted, the effect that new legislation or any implemented regulations and supervisory policies would have on our financial condition and results of operations. The Dodd-Frank Wall Street Reform and Consumer Protection Act (the “Dodd-Frank Act”), by way of example, contains a comprehensive set of provisions designed to govern the practices and oversight of financial institutions and other participants in the financial markets. The Dodd-Frank Act made extensive changes in the regulation of financial institutions and their holding companies. Some of the changes brought about by the Dodd-Frank Act were modified by the Economic Growth, Regulatory Relief, and Consumer Protection Act of 2018 (the “Regulatory Relief Act”), signed into law on May 24, 2018. The Dodd-Frank Act has increased the regulatory burden and compliance costs borne by the Company. The Dodd-Frank Act also modified the standard by which state consumer financial laws may be applied to national banking associations, such as the Bank. The application of that standard by state regulators and the courts may cause the Bank’s compliance burden and costs to increase. Moreover, bank regulatory agencies appear to be increasingly aggressive in responding to concerns and trends identified in examinations, which could result in higher frequency initiation of enforcement actions against financial institutions to address credit quality, liquidity, risk management and capital adequacy, as well as other safety and soundness concerns.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Regulation of Capital Bancorp, Inc.</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are registered as a BHC under the BHC Act and are subject to regulation and supervision by the Federal Reserve. The BHC Act requires us to secure the prior approval of the Federal Reserve before we own or control, directly or indirectly, more than 5% of the voting shares or substantially all of the assets of any bank or thrift, or merge or consolidate with another bank or thrift holding company. Further, under the BHC Act, our activities and those of any nonbank subsidiary are limited to: (i) those activities that the Federal Reserve determines to be so closely related to banking as to be a proper incident thereto, and (ii) investments in companies not engaged in activities closely related to banking, subject to quantitative limitations on the value of such investments. Prior approval of the Federal Reserve may be required before engaging in certain activities. In making such determinations, the Federal Reserve is required to weigh the expected benefits to the public, such as greater convenience, increased competition and gains in efficiency, against the possible adverse effects, such as undue concentration of resources, decreased or unfair competition, conflicts of interest and unsound banking practices.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 of Capital Bank</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operations and investments of our Bank are subject to the supervision, examination and reporting requirements of the National Bank Act and the regulations of the OCC as well as other federal banking statutes and regulations, including with respect to the level of reserves that our Bank must maintain against deposits, restrictions on the types, amount, and terms and conditions of loans it may originate, and limits on the types of other activities in which our Bank may engage and the investments that it may make. The OCC also has the power to prevent the continuance or development of unsafe or unsound banking practices and other violations of law. Because our Bank’s deposits are insured by the FDIC to the maximum extent provided by law, it is also subject to certain FDIC regulations, and the FDIC has backup examination authority and some enforcement powers over our Bank. If, as a result of an examination of our Bank, the regulators should determine that the financial condition, capital resources, asset quality, earnings prospects, management, liquidity or other aspects of the Bank’s operations are unsatisfactory or that the Bank or our management is violating or has violated any law or regulation, various remedies are available to the regulators. Such remedies include the power to enjoin unsafe or unsound practices, require affirmative action to correct any conditions resulting from any violation or practice, issue an administrative order that can be judicially enforced, direct an increase in capital, restrict growth, assess civil monetary penalties and remove officers and directors. The regulators also may request the FDIC to terminate the Bank’s deposit insurance.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Adequacy Guidelines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Bank holding companies and banks are subject to various regulatory capital requirements administered by state and federal agencies. See “Part II, Item 8. Financial Statements and Supplementary Data - Notes to Consolidated Financial Statements - Note 14, Capital Standards” for additional regulatory capital information, including the Bank’s and Company’s Leverage Ratio as of December 31, 2023.</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Community Reinvestment Act</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CRA requires the federal banking regulatory agencies to assess all financial institutions that they regulate to determine whether these institutions are meeting the credit needs of the communities they serve, including their assessment area(s) (as established for these purposes in accordance with applicable regulations based principally on the location of branch offices). In addition to substantial penalties and corrective measures that may be required for a violation of certain fair lending laws, the federal banking agencies may take compliance with such laws and CRA into account when regulating and supervising other activities. Under the CRA, institutions are assigned a rating of “outstanding,” “satisfactory,” “needs to improve,” or “unsatisfactory.” A rating that is less than “satisfactory” may substantially inhibit the Bank’s opportunities for future growth. An institution’s record in meeting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2" w:name="page13"/>
    <w:bookmarkEnd w:id="12"/>
    <w:p>
      <w:pPr>
        <w:jc w:val="both"/>
        <w:spacing w:after="0" w:line="271" w:lineRule="auto"/>
        <w:rPr>
          <w:sz w:val="20"/>
          <w:szCs w:val="20"/>
          <w:color w:val="auto"/>
        </w:rPr>
      </w:pPr>
      <w:r>
        <w:rPr>
          <w:rFonts w:ascii="Arial" w:cs="Arial" w:eastAsia="Arial" w:hAnsi="Arial"/>
          <w:sz w:val="14"/>
          <w:szCs w:val="14"/>
          <w:color w:val="auto"/>
        </w:rPr>
        <w:t>requirements of the CRA is based on a performance-based evaluation system, and is made publicly available and is taken into consideration in evaluating any applications it files with federal regulators to engage in certain activities, including approval of a branch or other deposit facility, mergers and acquisitions, office relocations, and expansions into non-banking activities. Our Bank received an “outstanding” rating in its most recent CRA evaluation which was in 2021.</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October 2023, the OCC, together with the FRB and FDIC, issued a joint final rule to modernize the CRA regulatory framework. The final rule is intended, among other things, to adapt to changes in the banking industry, including the expanded role of mobile and online banking, and to tailor performance standards to account for differences in bank size and business models. The final rule introduces new tests under which the performance of banks with over $2 billion in assets will be assessed. The new rule also includes data collection and reporting requirements, some of which are applicable only to banks with over $10 billion in assets. Most provisions of the final rule will become effective on January 1, 2026, and the data reporting requirements will become effective on January 1, 2027.</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Anti-Terrorism, Money Laundering Legislation and OFAC</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Bank is subject to the Bank Secrecy Act and the Uniting and Strengthening America by Providing Appropriate Tools Required to Intercept and Obstruct Terrorism Act of 2001 (the “USA PATRIOT Act”). These statutes and related rules and regulations impose requirements and limitations on specified financial transactions and accounts and other relationships intended to guard against money laundering and terrorism financing. The principal requirements for an insured depository institution include (i) establishment of an anti-money laundering program that includes training and audit components, (ii) establishment of a “know your customer” program involving due diligence to confirm the identities of persons seeking to open accounts and to decline to open accounts for those persons unable to demonstrate their identities, (iii) the filing of currency transaction reports for deposits and withdrawals of large amounts of cash and suspicious activities reports for activity that might signify money laundering, tax evasion or other criminal activities, (iv) additional precautions for accounts sought and managed for non-U.S. persons and (v) verification and certification of money laundering risk with respect to private banking and foreign correspondent banking relationships. For many of these tasks, a bank must keep records to be made available to its primary federal regulator. Anti-money laundering rules and policies are developed by a bureau within the Financial Crimes Enforcement Network, but compliance by individual institutions is overseen by its primary federal regulator.</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Bank has established anti-money laundering and customer identification programs and it maintains records of cash purchases of negotiable instruments, files reports of certain cash transactions exceeding $10,000 (daily aggregate amount), and reports suspicious activity that might signify money laundering, tax evasion or other criminal activities pursuant to the Bank Secrecy Act.</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Treasury Department’s Office of Foreign Assets Control (“OFAC”) administers and enforces economic and trade sanctions against targeted foreign countries, persons, non-governmental organizations, associations, and criminal networks, among others, as defined by various Executive Orders and Acts of Congress. OFAC publishes lists of persons that are the target of sanctions, including the List of Specially Designated Nationals and Blocked Persons. Financial institutions are responsible for, among other things, blocking accounts of and transactions with sanctioned persons and countries, prohibiting unlicensed trade and financial transactions with them and reporting blocked and rejected transactions after their occurrence. If the Company or the Bank finds a name or other information on any transaction, account or wire transfer that is on an OFAC list or that otherwise indicates that the transaction involves a target of an OFAC-administered sanctions program, the Company or the Bank generally must freeze or block such account or transaction, file a suspicious activity report, and notify the appropriate authorities. Banking regulators examine banks for compliance with the economic sanctions regulations administered by OFAC.</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The Bank has implemented policies and procedures to comply with the foregoing requirements.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Federal Home Loan Bank Membership</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Bank is a member of the FHLB. Each member of the FHLB is required to maintain a minimum investment in the Class B stock of the FHLB. The Board of Directors of the FHLB can increase the minimum investment requirements in the event it has concluded that additional capital is required to allow it to meet its own regulatory capital requirements. Any increase in the minimum investment requirements outside of specified ranges requires the approval of the Federal Housing Finance Agency. Because the extent of any obligation to increase the level of investment in the FHLB depends entirely upon the occurrence of a future event, the Company is unable to determine the extent of future required potential payments to the FHLB. Additionally, if a member financial institution fails, the right of the FHLB to seek repayment of funds loaned to that institution will take priority (a super lien) over the rights of all other creditors.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 and Share Repurchases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ability of the Company to pay dividends or to repurchase its common stock, and the ability of the Bank to pay dividends to the Company, may be restricted due to several factors including: (a) the Maryland General Corporate Law ("MGCL," in the case of the Company), (b) covenants contained in any subordinated debentures and borrowing agreements in existence now or that may exist in the future, (c) restrictions on the ability of the Bank to declare dividends under the National Bank Act and OCC regulations (in the case of the Bank), and (d) the general supervisory authority of the FRB and the OCC. Our ability to pay dividends to our stockholders or to repurchase shares of our common stock is subject to the restrictions set forth in the MGCL.</w:t>
      </w:r>
    </w:p>
    <w:p>
      <w:pPr>
        <w:spacing w:after="0" w:line="109" w:lineRule="exact"/>
        <w:rPr>
          <w:sz w:val="20"/>
          <w:szCs w:val="20"/>
          <w:color w:val="auto"/>
        </w:rPr>
      </w:pPr>
    </w:p>
    <w:p>
      <w:pPr>
        <w:jc w:val="both"/>
        <w:spacing w:after="0" w:line="182" w:lineRule="exact"/>
        <w:rPr>
          <w:sz w:val="20"/>
          <w:szCs w:val="20"/>
          <w:color w:val="auto"/>
        </w:rPr>
      </w:pPr>
      <w:r>
        <w:rPr>
          <w:rFonts w:ascii="Arial" w:cs="Arial" w:eastAsia="Arial" w:hAnsi="Arial"/>
          <w:sz w:val="14"/>
          <w:szCs w:val="14"/>
          <w:color w:val="auto"/>
        </w:rPr>
        <w:t>Notification to the FRB is required prior to our declaring and paying a cash dividend to our stockholders during any period in which our quarterly and/or cumulative twelve</w:t>
      </w:r>
      <w:r>
        <w:rPr>
          <w:rFonts w:ascii="MS PGothic" w:cs="MS PGothic" w:eastAsia="MS PGothic" w:hAnsi="MS PGothic"/>
          <w:sz w:val="14"/>
          <w:szCs w:val="14"/>
          <w:color w:val="auto"/>
        </w:rPr>
        <w:t>‑</w:t>
      </w:r>
      <w:r>
        <w:rPr>
          <w:rFonts w:ascii="Arial" w:cs="Arial" w:eastAsia="Arial" w:hAnsi="Arial"/>
          <w:sz w:val="14"/>
          <w:szCs w:val="14"/>
          <w:color w:val="auto"/>
        </w:rPr>
        <w:t>month net earnings are insufficient to fund the dividend amount, among other requirements. Under such circumstances, we may not pay a dividend should the FRB object until such time as we receive approval from the FRB or no longer need to provide notice under applicable regulations. In addition, prior approval of the FRB may be required in certain circumstances prior to our repurchasing shares of our common stock.</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connection with the decision regarding dividends and share repurchase programs, our Board will take into account general business conditions, our financial results, projected cash flows, capital requirements, contractual, legal and regulatory restrictions on the payment of dividends by the Bank to the Company and such other factors as may be deemed relevant. We can provide no assurance that we will continue to declare dividends on a quarterly basis or otherwise or to repurchase shares of our common stock. The declaration of dividends by the Company is subject to the discretion of our Board.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 Information Privacy and Cybersecurity</w:t>
      </w:r>
    </w:p>
    <w:p>
      <w:pPr>
        <w:spacing w:after="0" w:line="147" w:lineRule="exact"/>
        <w:rPr>
          <w:sz w:val="20"/>
          <w:szCs w:val="20"/>
          <w:color w:val="auto"/>
        </w:rPr>
      </w:pPr>
    </w:p>
    <w:p>
      <w:pPr>
        <w:jc w:val="both"/>
        <w:spacing w:after="0" w:line="180" w:lineRule="exact"/>
        <w:rPr>
          <w:sz w:val="20"/>
          <w:szCs w:val="20"/>
          <w:color w:val="auto"/>
        </w:rPr>
      </w:pPr>
      <w:r>
        <w:rPr>
          <w:rFonts w:ascii="Arial" w:cs="Arial" w:eastAsia="Arial" w:hAnsi="Arial"/>
          <w:sz w:val="14"/>
          <w:szCs w:val="14"/>
          <w:color w:val="auto"/>
        </w:rPr>
        <w:t>The FRB and other bank regulatory agencies have adopted guidelines for safeguarding confidential, personal, non</w:t>
      </w:r>
      <w:r>
        <w:rPr>
          <w:rFonts w:ascii="MS PGothic" w:cs="MS PGothic" w:eastAsia="MS PGothic" w:hAnsi="MS PGothic"/>
          <w:sz w:val="14"/>
          <w:szCs w:val="14"/>
          <w:color w:val="auto"/>
        </w:rPr>
        <w:t>‑</w:t>
      </w:r>
      <w:r>
        <w:rPr>
          <w:rFonts w:ascii="Arial" w:cs="Arial" w:eastAsia="Arial" w:hAnsi="Arial"/>
          <w:sz w:val="14"/>
          <w:szCs w:val="14"/>
          <w:color w:val="auto"/>
        </w:rPr>
        <w:t>public customer information. These guidelines require each financial institution, under the supervision and ongoing oversight of its board of directors or an appropriate committee thereof, to create, implement, and maintain a comprehensive written information security program designed to ensure the security and confidentiality of customer information, protect against any anticipated threats or hazard to the security or integrity of such information, and protect against unauthorized access to or use of such information that could result in substantial harm or inconvenience to any customer. We have adopted a customer information security program to comply with these requirements.</w:t>
      </w:r>
    </w:p>
    <w:p>
      <w:pPr>
        <w:spacing w:after="0" w:line="123" w:lineRule="exact"/>
        <w:rPr>
          <w:sz w:val="20"/>
          <w:szCs w:val="20"/>
          <w:color w:val="auto"/>
        </w:rPr>
      </w:pPr>
    </w:p>
    <w:p>
      <w:pPr>
        <w:jc w:val="both"/>
        <w:spacing w:after="0" w:line="186" w:lineRule="exact"/>
        <w:rPr>
          <w:sz w:val="20"/>
          <w:szCs w:val="20"/>
          <w:color w:val="auto"/>
        </w:rPr>
      </w:pPr>
      <w:r>
        <w:rPr>
          <w:rFonts w:ascii="Arial" w:cs="Arial" w:eastAsia="Arial" w:hAnsi="Arial"/>
          <w:sz w:val="14"/>
          <w:szCs w:val="14"/>
          <w:color w:val="auto"/>
        </w:rPr>
        <w:t>The Gramm</w:t>
      </w:r>
      <w:r>
        <w:rPr>
          <w:rFonts w:ascii="MS PGothic" w:cs="MS PGothic" w:eastAsia="MS PGothic" w:hAnsi="MS PGothic"/>
          <w:sz w:val="14"/>
          <w:szCs w:val="14"/>
          <w:color w:val="auto"/>
        </w:rPr>
        <w:t>‑</w:t>
      </w:r>
      <w:r>
        <w:rPr>
          <w:rFonts w:ascii="Arial" w:cs="Arial" w:eastAsia="Arial" w:hAnsi="Arial"/>
          <w:sz w:val="14"/>
          <w:szCs w:val="14"/>
          <w:color w:val="auto"/>
        </w:rPr>
        <w:t>Leach</w:t>
      </w:r>
      <w:r>
        <w:rPr>
          <w:rFonts w:ascii="MS PGothic" w:cs="MS PGothic" w:eastAsia="MS PGothic" w:hAnsi="MS PGothic"/>
          <w:sz w:val="14"/>
          <w:szCs w:val="14"/>
          <w:color w:val="auto"/>
        </w:rPr>
        <w:t>‑</w:t>
      </w:r>
      <w:r>
        <w:rPr>
          <w:rFonts w:ascii="Arial" w:cs="Arial" w:eastAsia="Arial" w:hAnsi="Arial"/>
          <w:sz w:val="14"/>
          <w:szCs w:val="14"/>
          <w:color w:val="auto"/>
        </w:rPr>
        <w:t>Bliley Act of 1999 (the “GLBA”) requires financial institutions to implement policies and procedures regarding the disclosure of non-public personal information about consumers to non</w:t>
      </w:r>
      <w:r>
        <w:rPr>
          <w:rFonts w:ascii="MS PGothic" w:cs="MS PGothic" w:eastAsia="MS PGothic" w:hAnsi="MS PGothic"/>
          <w:sz w:val="14"/>
          <w:szCs w:val="14"/>
          <w:color w:val="auto"/>
        </w:rPr>
        <w:t>‑</w:t>
      </w:r>
      <w:r>
        <w:rPr>
          <w:rFonts w:ascii="Arial" w:cs="Arial" w:eastAsia="Arial" w:hAnsi="Arial"/>
          <w:sz w:val="14"/>
          <w:szCs w:val="14"/>
          <w:color w:val="auto"/>
        </w:rPr>
        <w:t>affiliated third parties. The GLBA requires disclosures to consumers on policies and procedures regarding the disclosure of such non-public personal information and, except as otherwise required by law, prohibits disclosing such information except as provided in the Bank’s policies and procedures. We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auto"/>
        </w:rPr>
        <w:t>have implemented privacy policies addressing these restrictions that are distributed regularly to all existing and new customers of the Bank.</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March 2015, federal regulators issued two related statements regarding cybersecurity. One statement indicates that financial institutions should design multiple layers of security controls to establish lines of defense and to ensure that their risk management processes also address the risk posed by compromised customer credentials, including security measures to reliably authenticate customers accessing Internet-based services of the financial institution. The other statement indicates that a financial institution’s management is expected to maintain sufficient business continuity planning processes to ensure the rapid recovery, resumption and maintenance of the institution’s operations after a cyber-attack involving destructive malware. A financial institution is also expected to develop appropriate processes to enable recovery of data and business operations and address rebuilding network capabilities and restoring data if the institution or its critical service providers fall victim to this type of cyber-attack. If we fail to observe the regulatory guidance, we could be subject to various regulatory sanctions, including financial penalties.</w:t>
      </w:r>
    </w:p>
    <w:p>
      <w:pPr>
        <w:spacing w:after="0" w:line="14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November 2021, the federal bank regulatory agencies issued a joint rule establishing computer-security incident notification requirements for banking organizations and their service providers. This rule requires new notification requirements when a banking organization experiences a computer-security incident.</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State regulators have been increasingly active in implementing privacy and cybersecurity standards and regulations. Recently, several states have adopted regulations requiring certain financial institutions to implement cybersecurity programs and providing detailed requirements with respect to these programs, including data encryption requirements. Many states have also recently implemented or modified their data breach notification and data privacy requirements.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July 2023, the SEC adopted rules requiring registrants to disclose material cybersecurity incidents experienced and describe the material aspects of their nature, scope and timing. The rules, which supersede previously interpreted guidance published in February 2018, also require annual disclosures describing a company’s cybersecurity risk management, strategy and governance. These SEC rules, and any other regulatory guidance, are in addition to notification and disclosure requirements under state and federal banking law and regulations. See Item 1A. Risk Factors for a further discussion of risks related to cybersecurity and Item 1C. Cybersecurity for a further discussion of the Company’s risk management strategies and governance processes related to cybersecurity.</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Interchange Fees</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Under the Durbin Amendment to the Dodd-Frank Act, the FRB adopted rules establishing standards for assessing whether the interchange fees that may be charged with respect to certain electronic debit transactions are “reasonable and proportional” to the costs incurred by issuers for processing such transactions. Interchange fees or “swipe” fees are charges that merchants pay to the Company and other card-issuing banks for processing electronic payment transactions. The FRB has ruled that for financial institutions with assets of $10 billion or more the maximum permissible interchange fee for an electronic debit transaction is the sum of 21 cents per transaction and 5 basis points multiplied by the value of the transaction. The FRB also has rules governing routing and exclusivity that require issuers to offer two unaffiliated networks for routing transactions on each debit or prepaid product. In October 2023, the Federal Reserve issued a proposal under which the maximum permissible interchange fee for an electronic debit transaction would be the sum of 14.4 cents per transaction and 4 basis points multiplied by the value of the transaction. While financial institutions with less than $10 billion in assets, like the Company, are exempt, there is concern that these requirements will eventually be pushed down to all financial institutions, which would negatively impact the Company’s non-interest income.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auto"/>
        </w:rPr>
        <w:t>Consumer Financial Protection Bureau</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Dodd-Frank Act created a new, independent federal agency called the Consumer Financial Protection Bureau (“CFPB”), which is granted broad rulemaking, supervisory and enforcement powers under various federal consumer financial protection laws, including the Equal Credit Opportunity Act, Truth in Lending Act, Real Estate Settlement Procedures Act, Fair Credit Reporting Act, Fair Debt Collection Act, the Consumer Financial Privacy Provisions of the Gramm-Leach-Bliley Act, and certain other statutes. The CFPB has examination and primary enforcement authority with respect to depository institutions with $10 billion or more in assets. Smaller institutions are subject to rules promulgated by the CFPB but continue to be examined and supervised by federal banking regulators for consumer compliance purposes. The CFPB has authority to prevent unfair, deceptive, or abusive practices in connection with the offering of consumer financial products. In January 2024, the CFPB proposed rules that would subject (with certain exceptions) overdraft services provided by financial institutions with more than $10 billion in assets to the provisions of the Truth in Lending Act and other consumer financial protection laws. Although the CFPB excluded banks with under $10 billion in assets from this rule, the Company is currently evaluating the potential impact of the proposed rules and monitoring developments with respect thereto based on the CFPB’s apparent concern around deposit-related fee assessment. On March 5, 2024, the CFPB issued a final rule amending provisions in Regulation Z that govern credit card late fee charges to lower the safe harbor amount for past due fees that a credit card issuer can charge on consumer credit card accounts from up to $41 to $ 8 and eliminates a higher safe harbor dollar amount for late fees for subsequent violations of the same type. This rule only applies to card issuers, that together with their affiliates, have one million or more open credit card accounts. Smaller card issuers, like the Bank, may continue to charge a higher safe harbor threshold for credit card late fees and automatically increase the safe harbor dollar amount based on the Consumer Price Index. Although the final rule exempts smaller card issuers, the Company will continue to monitor penalty fee policies, particularly as the CFPB and other regulators have demonstrated a focus on regulating so-called junk fees.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Deposit Insurance</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Bank is a national banking association, regulated by the OCC. The Bank accepts deposits, and those deposits have the benefit of FDIC insurance up to the applicable limits established by law. The applicable statutory limit for FDIC insurance for most types of accounts is $250,000.</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Under the FDIC's risk-based deposit premium assessment system, the assessment rates for an insured depository institution are determined by an assessment rate calculator, which is based on a number of elements that measure the risk each institution poses to the Deposit Insurance Fund. The calculated assessment rate is applied to average consolidated assets less the average tangible equity of the insured depository institution during the assessment period to determine the dollar amount of the quarterly assessment. Under the current system, premiums are assessed quarterly and could increase if, for example, criticized loans and leases and/or other higher risk assets increase or balance sheet liquidity decreases.</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Under the Federal Deposit Insurance Act, the FDIC may terminate deposit insurance upon a finding that the institution has engaged in unsafe and unsound practices, is in an unsafe or unsound condition to continue operations, or has violated any applicable law, regulation, rule, order or condition imposed by the FDIC. In the event any insured depository institution, such as the Bank, is placed into FDIC receivership due to the termination of deposit insurance, or for any other reason, and the institution is sold or liquidated, the chances of the institution's parent BHC's shareholders recovering any value is very unlikely.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1A. RISK FACTORS.</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Ownership of our common stock involves certain risks. The risks and uncertainties described below are not the only ones we face. You should carefully consider the risks described below, as well as all other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6" w:name="page17"/>
    <w:bookmarkEnd w:id="16"/>
    <w:p>
      <w:pPr>
        <w:jc w:val="both"/>
        <w:spacing w:after="0" w:line="290" w:lineRule="auto"/>
        <w:rPr>
          <w:sz w:val="20"/>
          <w:szCs w:val="20"/>
          <w:color w:val="auto"/>
        </w:rPr>
      </w:pPr>
      <w:r>
        <w:rPr>
          <w:rFonts w:ascii="Arial" w:cs="Arial" w:eastAsia="Arial" w:hAnsi="Arial"/>
          <w:sz w:val="14"/>
          <w:szCs w:val="14"/>
          <w:color w:val="auto"/>
        </w:rPr>
        <w:t>information contained in this Annual Report on Form 10-K. Additional risks and uncertainties not presently known to us or that we currently deem immaterial may also impair our business operations. If any of these risks actually occurs, our business, financial condition or results of operations could be materially and adversely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w:t>
      </w:r>
    </w:p>
    <w:p>
      <w:pPr>
        <w:spacing w:after="0" w:line="18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As a business operating in the financial services industry, our business and operations may be adversely affected in numerous and complex ways by weak economic conditions.</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performance could be negatively impacted to the extent there is deterioration in business and economic conditions, including persistent inflation, supply chain issues or labor shortages, which have direct or indirect impacts on us, our customers and/or our counterparties. All of these factors can individually or in the aggregate be detrimental to our business, and the interplay between these factors can be complex and unpredictable. Adverse economic conditions could have a material adverse effect on our business, financial condition and results of operations.</w:t>
      </w:r>
    </w:p>
    <w:p>
      <w:pPr>
        <w:spacing w:after="0" w:line="14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Adverse developments affecting financial institutions or the financial services industry generally, such as actual events or concerns involving liquidity, defaults or non-performance, could adversely affect our operations and liquidity.</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Actual events involving limited liquidity, defaults, non-performance or other adverse developments that affect financial institutions or the financial services industry generally, or concerns or rumors about any events of these kinds, including the resulting media coverage, have in the past and may in the future lead to market-wide liquidity problems and eroded customer confidence in the banking system. For example, on March 10, 2023, Silicon Valley Bank (“SVB”) was closed by the California Department of Financial Protection and Innovation (“DFPI”), on March 12, 2023, Signature Bank was closed by the New York State Department of Financial Services and on May 1, 2023, First Republic Bank was closed by the DFPI, and in each case the FDIC was appointed as receiver for the failed institution. These banks had elevated levels of uninsured deposits, which may be less likely to remain at the bank over time and less stable as a source of funding than insured deposits. These failures led to volatility and declines in the market for bank stocks and questions about depositor confidence in depository institutions.</w:t>
      </w:r>
    </w:p>
    <w:p>
      <w:pPr>
        <w:spacing w:after="0" w:line="14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These events have led to a greater focus by institutions, investors and regulators on the on-balance sheet liquidity of and funding sources for financial institutions, the composition of their deposits, including the amount of uninsured deposits, the amount of accumulated other comprehensive loss, capital levels and interest rate risk management.</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connection with high-profile bank failures, uncertainty and concern has been, and may in the future be further, compounded by advances in technology that increase the speed at which deposits can be moved, as well as the speed and reach of media attention, including social media, and its ability to disseminate concerns or rumors, in each case potentially exacerbating liquidity concerns. While the Department of the Treasury, the FRB, and the FDIC have made statements ensuring that depositors of recently failed banks would have access to their deposits, including uninsured deposit accounts, there is no guarantee that such actions will be successful in restoring customer confidence in regional banks and the banking system more broadly. In addition, the banking operating environment and public trading prices of banking institutions can be highly correlated, in particular during times of stress, which could materially and adversely impact the trading prices of our common stock and potentially our results of operations.</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Additionally, negative news about us or the banking industry in general could negatively impact market and/or customer perceptions of our company, which could lead to a loss of depositor confidence and an increase in deposit withdrawals, particularly among those with uninsured deposits. Furthermore, the failure of other financial institutions may cause deposit outflows as customers spread deposits among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7" w:name="page18"/>
    <w:bookmarkEnd w:id="17"/>
    <w:p>
      <w:pPr>
        <w:jc w:val="both"/>
        <w:spacing w:after="0" w:line="271" w:lineRule="auto"/>
        <w:rPr>
          <w:sz w:val="20"/>
          <w:szCs w:val="20"/>
          <w:color w:val="auto"/>
        </w:rPr>
      </w:pPr>
      <w:r>
        <w:rPr>
          <w:rFonts w:ascii="Arial" w:cs="Arial" w:eastAsia="Arial" w:hAnsi="Arial"/>
          <w:sz w:val="14"/>
          <w:szCs w:val="14"/>
          <w:color w:val="auto"/>
        </w:rPr>
        <w:t>several different banks so as to maximize their amount of FDIC insurance, move deposits to banks deemed “too big to fail” or remove deposits from the banking system entirely. As of December 31, 2023, approximately 41.6% of our deposits were uninsured and we rely on these deposits for liquidity. A failure to maintain adequate liquidity could have a material adverse effect on our business, financial condition and results of operations.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Inflation and rapid increases in interest rates have led to a decline in the fair value of securities portfolios with yields below current market interest rates. The FRB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the FRB and the FDIC will, in the future, provide access to uninsured funds in the event of the closure of other banks or financial institutions in a timely fashion or at all. If such levels of market disruption and volatility continue, there can be no assurance that we will not experience adverse effects, which may materially affect the market price of our common stock and/or our liquidity, financial condition and profitability.</w:t>
      </w:r>
    </w:p>
    <w:p>
      <w:pPr>
        <w:spacing w:after="0" w:line="144" w:lineRule="exact"/>
        <w:rPr>
          <w:sz w:val="20"/>
          <w:szCs w:val="20"/>
          <w:color w:val="auto"/>
        </w:rPr>
      </w:pPr>
    </w:p>
    <w:p>
      <w:pPr>
        <w:ind w:right="620"/>
        <w:spacing w:after="0" w:line="299" w:lineRule="auto"/>
        <w:rPr>
          <w:sz w:val="20"/>
          <w:szCs w:val="20"/>
          <w:color w:val="auto"/>
        </w:rPr>
      </w:pPr>
      <w:r>
        <w:rPr>
          <w:rFonts w:ascii="Arial" w:cs="Arial" w:eastAsia="Arial" w:hAnsi="Arial"/>
          <w:sz w:val="14"/>
          <w:szCs w:val="14"/>
          <w:b w:val="1"/>
          <w:bCs w:val="1"/>
          <w:i w:val="1"/>
          <w:iCs w:val="1"/>
          <w:color w:val="auto"/>
        </w:rPr>
        <w:t>Our commercial business and operations are concentrated in the Washington, D.C. and Baltimore metropolitan areas and we are more sensitive than our more geographically diversified competitors to adverse changes in the local economy.</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of December 31, 2023, approximately 86.8% of our loans held for investment (measured by dollar amount) were made to borrowers who live or conduct business in the Washington, D.C. and Baltimore metropolitan areas. Therefore, our success depends upon the general economic conditions in this area, which we cannot predict with any degree of certainty. A downturn in the local economy generally could make it more difficult for our borrowers to repay their loans and may lead to loan losses that would not be offset by operations in other markets; it may also reduce the ability of our depositors to make or maintain deposits with us. For these reasons, any regional or local economic downturn that affects the Washington, D.C. and Baltimore metropolitan areas, or existing or prospective borrowers or depositors in the Washington, D.C. and Baltimore metropolitan areas could have a material adverse effect on our business,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customers and businesses in the Washington, D.C. metropolitan area may be adversely impacted as a result of changes in government spending.</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Washington, D.C. metropolitan area is characterized by a significant number of businesses that are federal government contractors or subcontractors, or which depend on such businesses for a significant portion of their revenues. The impact of a decline in federal government spending, a reallocation of government spending to different industries or different areas of the country or a delay in payments to such contractors could have a ripple effect. Temporary layoffs, staffing freezes, salary reductions or furloughs of government employees or government contractors could have adverse impacts on other businesses in the Company’s market and the general economy of the greater Washington, D.C. metropolitan area, and may indirectly lead to a loss of revenues by the Company’s customers, including vendors and lessors to the federal government and government contractors or to their employees, as well as to a wide variety of commercial and retail businesses and the local housing market. Accordingly, such potential federal government activities could lead to increases in past due loans, nonperforming loans, loan loss reserves and charge-offs, and to a corresponding decline in liquidity.</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measure and limit our credit risk adequately, which could lead to unexpected losses.</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primary component of our business involves making loans to customers. The business of lending is inherently risky, including risks that the principal of or interest on any loan will not be repaid in a timely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8" w:name="page19"/>
    <w:bookmarkEnd w:id="18"/>
    <w:p>
      <w:pPr>
        <w:jc w:val="both"/>
        <w:spacing w:after="0" w:line="290" w:lineRule="auto"/>
        <w:rPr>
          <w:sz w:val="20"/>
          <w:szCs w:val="20"/>
          <w:color w:val="auto"/>
        </w:rPr>
      </w:pPr>
      <w:r>
        <w:rPr>
          <w:rFonts w:ascii="Arial" w:cs="Arial" w:eastAsia="Arial" w:hAnsi="Arial"/>
          <w:sz w:val="14"/>
          <w:szCs w:val="14"/>
          <w:color w:val="auto"/>
        </w:rPr>
        <w:t>manner or at all or that the value of any collateral supporting the loan will be insufficient to cover our outstanding exposure. A failure to measure and limit the credit risk associated with our loan portfolio effectively could lead to unexpected losses and have a materially adverse effect on our business, financial condition and results of operations.</w:t>
      </w:r>
    </w:p>
    <w:p>
      <w:pPr>
        <w:spacing w:after="0" w:line="122"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Allowance for Credit Losses may prove to be insufficient to absorb life-time losses in our loan portfolio, which may adversely affect our business, financial condition and results of operations.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Under the current expected credit loss model (“CECL”), the ACL on loans is a valuation allowance estimated at each balance sheet date in accordance with U.S. generally accepted accounting principles (“GAAP”) that is deducted from the loans’ amortized cost basis to present the net amount expected to be collected on the loans. We estimate the ACL on loans based on the underlying assets’ amortized cost basis, which is the amount at which the financing receivable is originated or acquired, adjusted for applicable accretion or amortization of premium, discount, and net deferred fees or costs, collection of cash, and charge-offs. Expected credit losses are reflected in the ACL through a charge to the provision for credit loss expense. When we deem all or a portion of a financial asset to be uncollectible the appropriate amount is written off and the ACL is reduced by the same amount. We apply judgment to determine when a financial asset is deemed uncollectible; however, generally speaking, an asset will be considered uncollectible no later than when all efforts at collection have been exhausted. Subsequent recoveries, if any, are credited to the ACL when received.</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measure expected credit losses of financial assets on a collective (pool) basis, when the financial assets share similar risk characteristics. Depending on the nature of the pool of financial assets with similar risk characteristics, we use a discounted cash flow method or a loss-rate method to estimate expected credit losses. Our methodologies for estimating the ACL consider available relevant information about the collectability of cash flows, including information about past events, current conditions, and reasonable and supportable forecasts. The methodologies apply historical loss information, adjusted for asset-specific characteristics, economic conditions at the measurement date, and forecasts about future economic conditions expected to exist through the contractual lives of the financial assets that are reasonable and supportable, to the identified pools of financial assets with similar risk characteristics for which the historical loss experience was observed. Our methodologies revert back to historical loss information on a straight-line basis over eight quarters when it can no longer develop reasonable and supportable forecasts.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Loans that do not share risk characteristics are evaluated on an individual basis. For collateral dependent financial assets where we have determined that foreclosure of the collateral is probable, or where the borrower is experiencing financial difficulty and we expect repayment of the financial asset to be provided substantially through the operation or sale of the collateral, the ACL is measured based on the difference between the fair value of the collateral and the amortized cost basis of the asset as of the measurement date. When repayment is expected to be from the operation of the collateral, expected credit losses are calculated as the amount by which the amortized cost basis of the financial asset exceeds the present value of expected cash flows from the operation of the collateral. When repayment is expected to be from the sale of the collateral, expected credit losses are calculated as the amount by which the amortized costs basis of the financial asset exceeds the fair value of the underlying collateral less estimated cost to sell. The ACL may be zero if the fair value of the collateral at the measurement date exceeds the amortized cost basis of the financial asset.</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of December 31, 2023, our ACL as a percentage of total loans was 1.50% and as a percentage of total nonperforming loans was 178.34%. Additional credit losses will likely occur in the future and may occur at a rate greater than we have previously experienced. We may be required to take additional provisions for credit losses in the future to further supplement our ACL, either due to management’s decision to do so or requirements by our banking regulators. In addition, bank regulatory agencies will periodically review our ACL and the value attributed to nonaccrual loans or to real estate acquired through</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9" w:name="page20"/>
    <w:bookmarkEnd w:id="19"/>
    <w:p>
      <w:pPr>
        <w:jc w:val="both"/>
        <w:spacing w:after="0" w:line="290" w:lineRule="auto"/>
        <w:rPr>
          <w:sz w:val="20"/>
          <w:szCs w:val="20"/>
          <w:color w:val="auto"/>
        </w:rPr>
      </w:pPr>
      <w:r>
        <w:rPr>
          <w:rFonts w:ascii="Arial" w:cs="Arial" w:eastAsia="Arial" w:hAnsi="Arial"/>
          <w:sz w:val="14"/>
          <w:szCs w:val="14"/>
          <w:color w:val="auto"/>
        </w:rPr>
        <w:t>foreclosure. Such regulatory agencies may require us to recognize future charge-offs. These adjustments could have an adverse effect on our business, financial condition and results of operations.</w:t>
      </w:r>
    </w:p>
    <w:p>
      <w:pPr>
        <w:spacing w:after="0" w:line="122"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small- to medium-sized businesses that we lend to may have fewer resources to weather adverse business developments, which may impair our borrowers’ ability to repay loans.</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Small- to medium-sized businesses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If our borrowers are unable to repay their loans, our business, financial condition and results of operations could be materially and adversely affected.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commercial real estate and real estate construction loan portfolio exposes us to credit risks that may be greater than the risks related to other types of loans.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These loans typically involve repayment that depends upon income generated, or expected to be generated, by the property securing the loan in amounts sufficient to cover operating expenses and debt service. Unexpected deterioration in the credit quality of our commercial real estate loan portfolio could require us to increase our allowance for credit losses, which would reduce our profitability and could have a material adverse effect on our business, financial condition and results of operations.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Construction loans also involve risks because loan funds are secured by a project under construction and the project is of uncertain value prior to its completion. It can be difficult to accurately evaluate the total funds required to complete a project, and construction lending often involves the disbursement of substantial funds with repayment dependent, in part, on the success of the ultimate project rather than the ability of a borrower or guarantor to repay the loan. If we are forced to foreclose on a project prior to completion, we may be unable to recover the entire unpaid portion of the loan. In addition, we may be required to fund additional amounts to complete a project, incur taxes, maintenance and compliance costs for a foreclosed property and may have to hold the property for an indeterminate period of time, any of which could materially and adversely affect our business, financial condition and results of operations.</w:t>
      </w:r>
    </w:p>
    <w:p>
      <w:pPr>
        <w:spacing w:after="0" w:line="14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Because a significant portion of our loan portfolio held for investment is comprised of real estate loans, negative changes in the economy affecting real estate values and liquidity could impair the value of collateral securing our real estate loans and result in loan and other losses.</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Adverse developments affecting real estate values and the liquidity of real estate in our primary markets could increase the credit risk associated with our loan portfolio, and could result in losses that adversely affect credit quality, financial condition and results of operations. If real estate values decline, it is more likely that we would be required to increase our allowance for credit losses, which would adversely affect our business, financial condition and results of operations.</w:t>
      </w:r>
    </w:p>
    <w:p>
      <w:pPr>
        <w:spacing w:after="0" w:line="13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A portion of our loan portfolio is comprised of commercial loans secured by receivables, inventory, equipment or other commercial collateral, the deterioration in value of which could expose us to credit losses.</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general, these loans are collateralized by general business assets, including, among other things, accounts receivable, inventory and equipment, and most are backed by a personal guaranty of the borrower or principal. Significant adverse changes in the economy or local market conditions in which our commercial lending customers operate could cause rapid declines in loan collectability and the values associated with general business assets resulting in inadequate collateral coverage that may expose us to credit losses and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i w:val="1"/>
          <w:iCs w:val="1"/>
          <w:color w:val="auto"/>
        </w:rPr>
        <w:t>System failure or cybersecurity breaches of our network security could subject us to increased operating costs as well as litigation and other potential losses.</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computer systems and network infrastructure could be vulnerable to hardware and cybersecurity issues. Any damage or failure that causes an interruption in our operations could have a material adverse effect on our financial condition and results of operations.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operations are also dependent upon our ability to protect our computer systems and network infrastructure, including our digital, mobile and internet banking activities, against damage from physical break-ins, cybersecurity breaches and other disruptive problems. Such computer break-ins and other disruptions would jeopardize the security of information stored in and transmitted through our computer systems and network infrastructure, which may result in significant liability, damage our reputation and inhibit the use of our internet banking services by current and potential customers. 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 material adverse effect on our business, financial condition and results of operations. In addition, we may need to take our systems off-line if they become infected with malware or a computer virus or as a result of another form of cyber-attack. In the event that backup systems are utilized, they may not process data as quickly as our primary systems and some data might not have been saved to backup systems, potentially resulting in a temporary or permanent loss of such data. In addition, our ability to implement backup systems and other safeguards with respect to third-party systems is more limited than with respect to our own systems. We frequently update our systems to support our operations and growth and to remain compliant with applicable laws, rules and regulations. These updates entail significant costs and create risks associated with implementing new systems and integrating them with existing ones, including business interruptions. Implementation and testing of controls related to our computer systems, security monitoring, and retaining and training personnel required to operate our systems also entail significant costs.</w:t>
      </w:r>
    </w:p>
    <w:p>
      <w:pPr>
        <w:spacing w:after="0" w:line="148" w:lineRule="exact"/>
        <w:rPr>
          <w:sz w:val="20"/>
          <w:szCs w:val="20"/>
          <w:color w:val="auto"/>
        </w:rPr>
      </w:pPr>
    </w:p>
    <w:p>
      <w:pPr>
        <w:ind w:right="740"/>
        <w:spacing w:after="0" w:line="299" w:lineRule="auto"/>
        <w:rPr>
          <w:sz w:val="20"/>
          <w:szCs w:val="20"/>
          <w:color w:val="auto"/>
        </w:rPr>
      </w:pPr>
      <w:r>
        <w:rPr>
          <w:rFonts w:ascii="Arial" w:cs="Arial" w:eastAsia="Arial" w:hAnsi="Arial"/>
          <w:sz w:val="14"/>
          <w:szCs w:val="14"/>
          <w:b w:val="1"/>
          <w:bCs w:val="1"/>
          <w:i w:val="1"/>
          <w:iCs w:val="1"/>
          <w:color w:val="auto"/>
        </w:rPr>
        <w:t>We face security risks, including denial of service attacks, hacking, malware intrusion and data corruption attempts, and identity theft that could result in the disclosure of confidential information, materially and adversely affect our business or reputation, and create significant legal and financial exposure.</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business relies on the secure processing, transmission, storage and retrieval of confidential, proprietary, and other information in our computer and data management systems and networks, and in the computer and data management systems and networks of third parties. In addition, to access our network, products and services, our customers and other third parties may use personal mobile devices or computing devices that are outside of our network environment and are subject to their own cybersecurity risks.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our customers, regulators, and other third parties, including other financial services institutions and companies engaged in data processing, have been subject to, and are likely to continue to be the target of, cyber-attacks. These cyber-attacks include computer viruses, malicious or destructive code, phishing attacks, denial of service or information, ransomware, improper access by employees or vendors, attacks on personal email of employees, ransom demands to not exploit security vulnerabilities in our systems or the systems of third parties, and other security breaches that could result in the unauthorized release, gathering, monitoring, misuse, loss or destruction of confidential, proprietary and other information of ours, our employees, our customers, or of third parties, and damage to our systems that could otherwise materially disrupt our or our customers’ or other third parties’ network access or business operations. As cyber-threats continue to evolve, we may be required to expend significant additional resources to modify or enhance our protective measures or to investigate and remediate any information security vulnerabilities or incidents. Despite efforts to ensure the integrity of our systems and implement controls, processes, policies and other protective measures, we may not be able to anticipate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5" w:right="319" w:bottom="1440" w:gutter="0" w:footer="0" w:header="0"/>
        </w:sectPr>
      </w:pPr>
    </w:p>
    <w:bookmarkStart w:id="21" w:name="page22"/>
    <w:bookmarkEnd w:id="21"/>
    <w:p>
      <w:pPr>
        <w:jc w:val="both"/>
        <w:spacing w:after="0" w:line="290" w:lineRule="auto"/>
        <w:rPr>
          <w:sz w:val="20"/>
          <w:szCs w:val="20"/>
          <w:color w:val="auto"/>
        </w:rPr>
      </w:pPr>
      <w:r>
        <w:rPr>
          <w:rFonts w:ascii="Arial" w:cs="Arial" w:eastAsia="Arial" w:hAnsi="Arial"/>
          <w:sz w:val="14"/>
          <w:szCs w:val="14"/>
          <w:color w:val="auto"/>
        </w:rPr>
        <w:t>all security breaches, nor may we be able to implement sufficient preventive measures against such security breaches, which may expose us to material losses and other material adverse consequences.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Cybersecurity risks for banking organizations have significantly increased in recent years in part because of the proliferation of new technologies, and the use of the internet and telecommunications technologies to conduct financial transactions. Even the most advanced internal control environment may be vulnerable to compromise. The techniques used by cyber criminals change frequently, may not be recognized until launched, and may not be recognized until well after a breach has occurred. The speed at which new vulnerabilities are discovered and exploited, often before security patches are published, continues to rise. The risk of a security breach caused by a cyber-attack on a vendor or by unauthorized vendor access has also increased in recent years.</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Cyber-attacks or other security breaches, whether directed at us or third parties, may result in a material loss or have other material adverse consequences. Furthermore, the public perception that a cyber-attack on our systems has been successful, whether or not this perception is correct, may damage our reputation with customers and third parties with whom we do business. Hacking of personal information and identity theft risks, in particular, could cause serious reputational harm. A successful penetration or circumvention of system security could cause us serious negative consequences, including our loss of customers and business opportunities, costs associated with maintaining business relationships after an attack or breach, significant business disruption to our operations and business, misappropriation, exposure or destruction of our confidential information, intellectual property, funds and/or those of our customers; or damage to our or our customers’ and/or third parties’ computers or systems, and could result in a violation of applicable privacy and other laws, litigation exposure, regulatory fines, penalties or intervention, loss of confidence in our security measures, reputational damage, reimbursement or other compensatory costs, and additional compliance costs, and could materially and adversely impact our results of operations, liquidity and financial condition. In addition, we may not have adequate insurance coverage to compensate for losses from a cybersecurity event.</w:t>
      </w:r>
    </w:p>
    <w:p>
      <w:pPr>
        <w:spacing w:after="0" w:line="148" w:lineRule="exact"/>
        <w:rPr>
          <w:sz w:val="20"/>
          <w:szCs w:val="20"/>
          <w:color w:val="auto"/>
        </w:rPr>
      </w:pPr>
    </w:p>
    <w:p>
      <w:pPr>
        <w:ind w:right="360"/>
        <w:spacing w:after="0" w:line="299" w:lineRule="auto"/>
        <w:rPr>
          <w:sz w:val="20"/>
          <w:szCs w:val="20"/>
          <w:color w:val="auto"/>
        </w:rPr>
      </w:pPr>
      <w:r>
        <w:rPr>
          <w:rFonts w:ascii="Arial" w:cs="Arial" w:eastAsia="Arial" w:hAnsi="Arial"/>
          <w:sz w:val="14"/>
          <w:szCs w:val="14"/>
          <w:b w:val="1"/>
          <w:bCs w:val="1"/>
          <w:i w:val="1"/>
          <w:iCs w:val="1"/>
          <w:color w:val="auto"/>
        </w:rPr>
        <w:t>Appraisals and other valuation techniques we use in evaluating and monitoring loans secured by real property, other real estate owned and repossessed personal property may not accurately describe the net value of the asset.</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describe the net value of the real property collateral after the loan is made. As a result, we may not be able to recover the full amount of any remaining indebtedness when we foreclose on and sell the relevant property. In addition, we rely on appraisals and other valuation techniques to establish the value of our other real estate owned (“OREO”) and personal property that we acquire through foreclosure proceedings and to determine certain loan impairments. If any of these valuations are inaccurate, our combined and consolidated financial statements may not reflect the correct value of our OREO, and our allowance for credit losses may not reflect accurate loan impairments. This could have a material, adverse effect on our business, financial condition or results of operations.</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We engage in lending secured by real estate and may be forced to foreclose on the collateral and own the underlying real estate, subjecting us to the costs and potential risks associated with the ownership of the real property, or consumer protection initiatives or changes in state or federal law may substantially raise the cost of foreclosure or prevent us from foreclosing at all.</w:t>
      </w:r>
    </w:p>
    <w:p>
      <w:pPr>
        <w:spacing w:after="0" w:line="12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Since we originate loans secured by real estate, we may have to foreclose on the collateral property to protect our investment and may thereafter own and operate such property, in which case we would be exposed to the risks inherent in the ownership of real estate. Our inability to manage the amount of costs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22" w:name="page23"/>
    <w:bookmarkEnd w:id="22"/>
    <w:p>
      <w:pPr>
        <w:jc w:val="both"/>
        <w:spacing w:after="0" w:line="290" w:lineRule="auto"/>
        <w:rPr>
          <w:sz w:val="20"/>
          <w:szCs w:val="20"/>
          <w:color w:val="auto"/>
        </w:rPr>
      </w:pPr>
      <w:r>
        <w:rPr>
          <w:rFonts w:ascii="Arial" w:cs="Arial" w:eastAsia="Arial" w:hAnsi="Arial"/>
          <w:sz w:val="14"/>
          <w:szCs w:val="14"/>
          <w:color w:val="auto"/>
        </w:rPr>
        <w:t>or the risks associated with the ownership of real estate, or write-downs in the value of OREO, could have a material adverse effect on our business, financial condition and results of operations.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Additionally, consumer protection initiatives or changes in state or federal law may substantially increase the time and expense associated with the foreclosure process or prevent us from foreclosing at all. If new state or federal laws or regulations are ultimately enacted that significantly raise the cost of foreclosure or raise outright barriers, such could have a materially adverse effect on our business, financial condition and results of operation.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lack of liquidity could impair our ability to fund operations and adversely impact our business, financial condition and results of operations.</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Liquidity is essential to our business. We rely on our ability to generate deposits and effectively manage the repayment and maturity schedules of our loans and investment securities, respectively, to ensure that we have adequate liquidity to fund our operations. An inability to raise funds through deposits, borrowings, sales of our investment securities, sales of loans or other sources could materially and adversely impact our ability to originate loans, invest in securities, meet our expenses or fulfill obligations such as repaying our borrowings or meeting deposit withdrawal demands, any of which could, in turn, have a material adverse effect on our business, financial condition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several large depositor relationships, the loss of which could force us to fund our business through more expensive and less stable sources.</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of December 31, 2023, our 10 largest non-brokered depositors accounted for $267.7 million in deposits, or approximately 14.1% of our total deposits. Withdrawals of deposits by any one of our largest depositors could force us to rely more heavily on borrowings and other sources of funding for our business, adversely affecting our net interest margin and results of operations. We may also be forced, as a result of any withdrawal of deposits, to rely more heavily on other, potentially more expensive and less stable funding sources. Consequently, the occurrence of any of these events could have a material adverse effect on our business, financial condition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mortgage banking division may not continue to provide us with significant noninterest income.</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residential mortgage business is highly competitive and highly susceptible to changes in market interest rates, consumer confidence levels, employment statistics, the capacity and willingness of secondary market purchasers to acquire and hold or securitize loans, and other factors beyond our control. Additionally, in many respects, the traditional mortgage origination business is relationship-based, and dependent on the services of individual mortgage loan officers. The loss of services of one or more loan officers could have the effect of reducing the level of our mortgage production, or the rate of growth of production. As a result of these factors, we cannot be certain that we will be able to maintain or increase the volume or percentage of revenue or net income produced by our residential mortgage business.</w:t>
      </w:r>
    </w:p>
    <w:p>
      <w:pPr>
        <w:spacing w:after="0" w:line="142"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earn income by originating residential mortgage loans for resale in the secondary mortgage market, and disruptions in that market could reduce our operating income.</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Historically, as part of our focus on loan origination and sales activities, we enter into formal commitments and informal agreements with larger banking companies and mortgage investors earning the Bank income from these sales. Under these arrangements, we originate single-family mortgages that are priced and underwritten to conform to previously agreed criteria before loan funding and are delivered to the investor shortly after funding.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23" w:name="page24"/>
    <w:bookmarkEnd w:id="23"/>
    <w:p>
      <w:pPr>
        <w:jc w:val="both"/>
        <w:spacing w:after="0" w:line="265" w:lineRule="auto"/>
        <w:rPr>
          <w:sz w:val="20"/>
          <w:szCs w:val="20"/>
          <w:color w:val="auto"/>
        </w:rPr>
      </w:pPr>
      <w:r>
        <w:rPr>
          <w:rFonts w:ascii="Arial" w:cs="Arial" w:eastAsia="Arial" w:hAnsi="Arial"/>
          <w:sz w:val="14"/>
          <w:szCs w:val="14"/>
          <w:color w:val="auto"/>
        </w:rPr>
        <w:t>Disruptions in the secondary market may not only affect us but also the ability and desire of mortgage investors and other banks to purchase residential mortgage loans that we originate. As a result, we may not be able to maintain or grow the income we receive from originating and reselling residential mortgage loans. Additionally, we hold certain mortgage loans that we originated for sale, increasing our exposure to interest rate risk and adverse changes in the value of the residential real estate that serves as collateral for the mortgage loan prior to sale.</w:t>
      </w:r>
    </w:p>
    <w:p>
      <w:pPr>
        <w:spacing w:after="0" w:line="14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financial condition, earnings and asset quality could be adversely affected if we are required to repurchase loans originated for sale by our mortgage banking division.</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Bank originates residential mortgage loans for sale to secondary market investors, subject to contractually specified recourse provisions. Because the loans are intended to be originated within investor guidelines, using designated automated underwriting and product-specific requirements as part of the loan application, the loans sold have a limited recourse provision. Should loan repurchases become a material issue, our earnings and asset quality could be adversely impacted, which could materially and adversely impact our business,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Delinquencies and credit losses from our OpenSky</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credit card division could adversely affect our business, financial condition and results of operations.</w:t>
      </w:r>
    </w:p>
    <w:p>
      <w:pPr>
        <w:spacing w:after="0" w:line="133"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Our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Division provides secured, partially secured, and unsecured credit cards on a nationwide basis to under-banked populations and those looking to rebuild their credit scores. Although some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credit cards are fully or partially secured, losses may occur as a result of fraud, or when the account exceeds its established limit or if a cardholder ceases to maintain the account in good standing. Fraud, such as identity fraud, payment fraud and funding fraud (where, for example, an individual funds a card using information from someone they know well, such as a relative or roommate) can result in substantial losses. In the case of an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account that is funded through fraud on the part of an applicant, we are required by applicable laws to refund the amount of the original deposit, and we charge off balances which were subsequently charged on the card. Account balances in excess of established credit limits happen as a result of certain VISA membership policies that allow cardholders to incur certain charges even if they exceed their card limits, which include, but are not limited to, rental car charges, gas station charges and hotel deposits. If an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cardholder exceeds his or her credit limit as a result of purchases in one of these categories, we may incur losses for amounts in excess of the collateral deposited if the borrower fails to repay such excess amounts. Customers can also exceed their credit limit by making intra-period payments to replenish their available lines. If the payments are made via the Automated Clearing House (“ACH”) and were fraudulent, we could incur the cost of the payment. Finally, losses to our credit card portfolio may arise if cardholders cease to maintain the account in good standing with timely payments. For example, in the event a secured card becomes more than 90 days past due, or an unsecured card becomes more than 150 days past due, the credit card balance is recovered against any corresponding deposit account and a charge-off is recorded for any related fees, accrued interest or other charges in excess of the deposit account balance. We have invested in technology and systems to prevent and detect fraudulent behavior and mitigate losses but such investments may not be adequate, and our systems may not adequately monitor or mitigate potential losses arising from these risks.</w:t>
      </w:r>
    </w:p>
    <w:p>
      <w:pPr>
        <w:spacing w:after="0" w:line="161"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A high credit loss rate (the rate at which we charge off uncollectible loans) on either our secured, partially secured, or unsecured portfolio could materially and adversely impact our overall financial performance. We maintain an allowance for credit losses, which we believe to be adequate to cover credit losses inherent in our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portfolio, but we cannot be certain that the allowance will be sufficient to cover actual credit losses. If credit losses from our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portfolio exceed our allowance for credit losses, our net income will be reduced by the excess of such credit losses.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i w:val="1"/>
          <w:iCs w:val="1"/>
          <w:color w:val="auto"/>
        </w:rPr>
        <w:t>The inability of our OpenSky</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credit card division to continue its growth rate could adversely affect our earnings.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We do not know if we will be able to retain existing customers or attract new customers, or that we will be able to increase account balances for new or existing customers.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hope the development and expansion of new credit card products and related cardholder service products will be an important contributor to our growth and earnings in the future; however, if we are unable to implement new cardholder products and features, our ability to grow will be negatively impacted. Declining sales of cardholder service products would likely result in reduced income from fees and interest.</w:t>
      </w:r>
    </w:p>
    <w:p>
      <w:pPr>
        <w:spacing w:after="0" w:line="13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business, financial condition and results of operations may be adversely affected by merchants’ increasing focus on the fees charged by credit card networks and by regulation and legislation impacting such fees.</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Credit card interchange fees are generally one of the largest components of the costs that merchants pay in connection with the acceptance of credit cards and are a meaningful source of revenue for our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Division. Interchange fees are the subject of significant and intense legal, regulatory and legislative focus globally, and the resulting decisions, regulations and legislation may have a material adverse impact on our business, financial condition and results of operations.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heightened focus by merchants and regulatory and legislative bodies on the fees charged by credit and debit card networks, and the ability of certain merchants to negotiate discounts to interchange fees with MasterCard and Visa successfully or develop alternative payment systems could result in a reduction of interchange fees. Any resulting loss in income to us could have a material adverse effect on our business,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By engaging in derivative transactions, we are exposed to additional credit and market risk.</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part of our mortgage banking activities, we enter into interest rate lock agreements with the consumer. These are commitments to originate loans at a specified interest rate and lock expiration which is set prior to closing.</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Hedging interest rate risk is a complex process, requiring sophisticated models and routine monitoring. As a result of interest rate fluctuations, hedged assets and liabilities will appreciate or depreciate in market value. The effect of this unrealized appreciation or depreciation in assets (loans) will generally be offset by income or loss in the corresponding MBS derivative instruments that are linked to the hedged assets and liabilities. By engaging in derivative transactions, we are exposed to counterparty credit and market risk. If the counterparty fails to perform, credit risk exists to the extent of the fair value gain in the derivative. Market risk exists to the extent that interest rates change in ways that are significantly different from what was modeled when we entered into the derivative transaction. The existence of credit and market risk associated with our derivative instruments could materially and adversely affect our mortgage banking revenue and, therefore, could have a material adverse effect on our business, financial condition and results of operations.</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interest rate risk as fluctuations in interest rates may adversely affect our earnings.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majority of our banking assets and liabilities are monetary in nature and subject to risk from changes in interest rates. Like most financial institutions, our earnings are significantly dependent on our net interest income, the principal component of our earnings, which is the difference between interest earned by us from our interest earning assets, such as loans and investment securities, and interest paid by us on our interest-bearing liabilities, such as deposits and borrowings. We expect that we will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25" w:name="page26"/>
    <w:bookmarkEnd w:id="25"/>
    <w:p>
      <w:pPr>
        <w:jc w:val="both"/>
        <w:spacing w:after="0" w:line="262" w:lineRule="auto"/>
        <w:rPr>
          <w:sz w:val="20"/>
          <w:szCs w:val="20"/>
          <w:color w:val="auto"/>
        </w:rPr>
      </w:pPr>
      <w:r>
        <w:rPr>
          <w:rFonts w:ascii="Arial" w:cs="Arial" w:eastAsia="Arial" w:hAnsi="Arial"/>
          <w:sz w:val="14"/>
          <w:szCs w:val="14"/>
          <w:color w:val="auto"/>
        </w:rPr>
        <w:t>periodically experience “gaps” in the interest rate sensitivities of our assets and liabilities, meaning that either our interest-bearing liabilities will be more sensitive to changes in market interest rates than our interest earning assets, or vice versa. In either case, if market interest rates move contrary to our position, this gap will negatively impact our earnings. The impact on earnings is more adverse when the slope of the yield curve flattens; that is, when short-term interest rates increase more than long-term interest rates or when long-term interest rates decrease more than short-term interest rates. Many factors impact interest rates, including governmental monetary policies, inflation, recession, changes in unemployment, the money supply, international economic weakness and disorder and instability in domestic and foreign financial markets.</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Interest rate increases often result in larger payment requirements for our borrowers, which increases the potential for default and could result in a decrease in the demand for loans. At the same time, the marketability of the property securing a loan may be adversely affected by any reduced demand resulting from higher interest rates. In a declining interest rate environment, there may be an increase in prepayments on loans as borrowers refinance their loans at lower rates. In addition, in a low interest rate environment, loan customers often pursue long-term fixed rate credits, which could adversely affect our earnings and net interest margin if rates later increase. Changes in interest rates also can affect the value of loans, securities and other assets. An increase in interest rates that adversely affects the ability of borrowers to pay the principal or interest on loans may lead to an increase in nonperforming assets and a reduction of income recognized, which could have a material adverse effect on our results of operations and cash flows. Further, when we place a loan on nonaccrual status, we reverse any accrued but unpaid interest receivable, which decreases interest income. At the same time, we continue to incur costs to fund the loan, which is reflected as interest expense, without any interest income to offset the associated funding expense. Thus, an increase in the amount of nonperforming assets would have a material adverse impact on net interest income.</w:t>
      </w:r>
    </w:p>
    <w:p>
      <w:pPr>
        <w:spacing w:after="0" w:line="148" w:lineRule="exact"/>
        <w:rPr>
          <w:sz w:val="20"/>
          <w:szCs w:val="20"/>
          <w:color w:val="auto"/>
        </w:rPr>
      </w:pPr>
    </w:p>
    <w:p>
      <w:pPr>
        <w:ind w:right="720"/>
        <w:spacing w:after="0" w:line="299" w:lineRule="auto"/>
        <w:rPr>
          <w:sz w:val="20"/>
          <w:szCs w:val="20"/>
          <w:color w:val="auto"/>
        </w:rPr>
      </w:pPr>
      <w:r>
        <w:rPr>
          <w:rFonts w:ascii="Arial" w:cs="Arial" w:eastAsia="Arial" w:hAnsi="Arial"/>
          <w:sz w:val="14"/>
          <w:szCs w:val="14"/>
          <w:b w:val="1"/>
          <w:bCs w:val="1"/>
          <w:i w:val="1"/>
          <w:iCs w:val="1"/>
          <w:color w:val="auto"/>
        </w:rPr>
        <w:t>We could recognize losses on investment securities held in our securities portfolio, particularly if interest rates continue to increase or economic and market conditions deteriorate.</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invest a portion of our total assets (9.4% as of December 31, 2023) in investment securities with the primary objectives of providing a source of liquidity, providing an appropriate return on funds invested and managing interest rate risk. As of December 31, 2023, the fair value of our available-for-sale investment securities portfolio was $208 million, which included unrealized losses of $17.4 million and unrealized gains of $17 thousand. Factors beyond our control can significantly and adversely influence the fair value of securities in our portfolio. Because of changing economic and market conditions affecting interest rates, the financial condition of issuers of the securities and the performance of the underlying collateral, we may recognize realized and/or unrealized losses in future periods, which could have a material adverse effect on our business,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strong competition from financial services companies and other companies that offer banking services.</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operate in the highly competitive financial services industry and face significant competition for customers from financial institutions located both within and beyond our principal markets. We compete with commercial banks, savings banks, credit unions, nonbank financial services companies and other financial institutions operating within or near the areas we serve. In addition, many of our non-bank competitors are not subject to the same extensive regulations that govern our activities and may have greater flexibility in competing for business. Our inability to compete successfully in the markets in which we operate could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color w:val="auto"/>
        </w:rPr>
        <w:t>Risks Related to the Regulation of Our Industry</w:t>
      </w:r>
    </w:p>
    <w:p>
      <w:pPr>
        <w:spacing w:after="0" w:line="18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operate in a highly regulated environment and the laws and regulations that govern our operations, corporate governance, executive compensation and accounting principles, or changes in them, or our failure to comply with them, could adversely affect us.</w:t>
      </w:r>
    </w:p>
    <w:p>
      <w:pPr>
        <w:spacing w:after="0" w:line="10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Banking is highly regulated under federal and state law. As such, we are subject to extensive regulation, supervision and legal requirements that govern almost all aspects of our operations. Compliance with laws and regulations can be difficult and costly, and changes to laws and regulations often impose additional operating costs. Our failure to comply with these laws and regulations, even if the failure follows good faith efforts or reflects a difference in interpretation, could subject us to restrictions on our business activities, enforcement actions and fines and other penalties, any of which could adversely affect our results of operations, regulatory capital levels and the price of our securities. Further, any new laws, rules and regulations could make compliance more difficult or expensive or otherwise materially and adversely affect our business, financial condition and results of operations.</w:t>
      </w:r>
    </w:p>
    <w:p>
      <w:pPr>
        <w:spacing w:after="0" w:line="315"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Legislative and regulatory actions taken now or in the future may increase our costs and impact our business, governance structure, financial condition or results of operations.</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Economic conditions that contributed to the financial crisis in 2008, particularly in the financial markets, resulted in government regulatory agencies and political bodies placing increased focus and scrutiny on the financial services industry. The Dodd-Frank Act, which was enacted in 2010 as a response to the financial crisis, significantly changed the regulation of financial institutions and the financial services industry. Compliance with the Dodd-Frank Act and its implementing regulations has and may continue to result in additional operating and compliance costs that could have a material adverse effect on our business, financial condition, results of operations and growth prospects.</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Federal and state regulatory agencies frequently adopt changes to their regulations or change the manner in which existing regulations are applied. Regulatory or legislative changes to laws applicable to the financial industry,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 material adverse effect on our business, financial condition and results of operations.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legislative and regulatory environment is beyond our control, may change rapidly and unpredictably, and may negatively influence our revenue, costs, earnings, growth, liquidity and capital levels. For example, the CFPB has announced several initiatives related to the amounts and types of fees financial institutions may charge and on March 5, 2024, the CFPB issued a final rule that significantly lowers the safe harbor amount for past due fees that large credit card issuers can charge on consumer credit card accounts. Such changes could affect our ability or willingness to provide certain products or services, necessitate changes to our business practices, or reduce our revenues. There may also be future rulemaking in emerging regulatory areas such as climate-related risks and new technologies. Adoption of new technologies, such as distributed ledger technologies, tokenization, cloud computing, AI and machine learning technologies, can present unforeseen challenges in applying and relying on existing compliance systems. In addition, some laws and regulations may be subject to litigation or other challenges that delay or modify their implementation and impact on us.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27" w:name="page28"/>
    <w:bookmarkEnd w:id="27"/>
    <w:p>
      <w:pPr>
        <w:jc w:val="both"/>
        <w:spacing w:after="0" w:line="299" w:lineRule="auto"/>
        <w:rPr>
          <w:sz w:val="20"/>
          <w:szCs w:val="20"/>
          <w:color w:val="auto"/>
        </w:rPr>
      </w:pPr>
      <w:r>
        <w:rPr>
          <w:rFonts w:ascii="Arial" w:cs="Arial" w:eastAsia="Arial" w:hAnsi="Arial"/>
          <w:sz w:val="14"/>
          <w:szCs w:val="14"/>
          <w:b w:val="1"/>
          <w:bCs w:val="1"/>
          <w:i w:val="1"/>
          <w:iCs w:val="1"/>
          <w:color w:val="auto"/>
        </w:rPr>
        <w:t>Federal banking agencies periodically conduct examinations of our business, including compliance with laws and regulations, and our failure to comply with any supervisory actions to which we are or become subject as a result of such examinations could adversely affect us.</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As part of the bank regulatory process, the OCC and the Federal Reserve, periodically conduct examinations of our business, including compliance with laws and regulations. If, as a result of an examination, one of these federal banking agencies were to determine that the financial condition, capital resources, asset quality, earnings prospects, management, liquidity, asset sensitivity, risk management or other aspects of any of our operations have become unsatisfactory, or that the Company, the Bank or their respective management were in violation of any law or regulation, it may take a number of different remedial actions as it deems appropriate. These actions include the power to enjoin “unsafe or unsound” practices, to require affirmative actions to correct any conditions resulting from any violation or practice, to issue an administrative order that can be judicially enforced, to direct an increase in our capital levels, to restrict our growth, to assess civil monetary penalties against us, the Bank or their respective officers or directors, to remove officers and directors and, if it is concluded that such conditions cannot be corrected or there is an imminent risk of loss to depositors, to terminate the Bank’s deposit insurance. If we become subject to such regulatory actions, our business, financial condition, results of operations and reputation would be materially and adversely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Monetary policies and regulations of the Federal Reserve could adversely affect our business, financial condition and results of operations.</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to being affected by general economic conditions, our earnings and growth are affected by the policies of the Federal Reserve. An important function of the Federal Reserve is to regulate the U.S. money supply and credit conditions. The monetary policies and regulations of the Federal Reserve have had a significant effect on the operating results of commercial banks in the past and are expected to continue to do so in the future. Although we cannot determine the effects of such policies on us at this time, such policies could materially and adversely affect our business, financial condition and results of operations.</w:t>
      </w:r>
    </w:p>
    <w:p>
      <w:pPr>
        <w:spacing w:after="0" w:line="14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Regulatory requirements affecting our loans secured by commercial real estate could limit our ability to leverage our capital and adversely affect our growth and profitability.</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federal bank regulatory agencies have indicated their view that banks with high concentrations of loans secured by commercial real estate are subject to increased risk and should implement robust risk management policies and maintain higher capital than regulatory minimums to maintain an appropriate cushion against loss that is commensurate with the perceived risk. Federal bank regulatory guidelines identify institutions potentially exposed to commercial real estate concentration risk as those that have (i) experienced rapid growth in commercial real estate lending, (ii) notable exposure to a specific type of commercial real estate, (iii) total reported loans for construction, land development and other land loans representing 100% or more of the institution’s capital, or (iv) total non-owner-occupied commercial real estate (including construction) loans representing 300% or more of the institution’s capital if the outstanding balance of the institution’s non-owner-occupied commercial real estate (including construction) loan portfolio has increased 50% or more during the prior 36 months. At December 31, 2023, the Bank’s construction to total capital ratio was 107% which exceeded the 100% regulatory guideline threshold set forth in clause (iii) above and the Bank’s non-owner-occupied commercial real estate (including construction) loans to total capital ratio was 304% which exceeded the 300% regulatory guideline threshold set forth in clause (iv) above. As a result, we are deemed to have a concentration in commercial real estate lending under applicable regulatory guidelines. Because a significant portion of our loan portfolio depends on commercial real estate, a change in the regulatory capital requirements applicable to us or a decline in our regulatory capital could limit our ability to leverage our capital as a result of these policies,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5" w:right="319" w:bottom="1440" w:gutter="0" w:footer="0" w:header="0"/>
        </w:sectPr>
      </w:pPr>
    </w:p>
    <w:bookmarkStart w:id="28" w:name="page29"/>
    <w:bookmarkEnd w:id="28"/>
    <w:p>
      <w:pPr>
        <w:jc w:val="both"/>
        <w:spacing w:after="0" w:line="271" w:lineRule="auto"/>
        <w:rPr>
          <w:sz w:val="20"/>
          <w:szCs w:val="20"/>
          <w:color w:val="auto"/>
        </w:rPr>
      </w:pPr>
      <w:r>
        <w:rPr>
          <w:rFonts w:ascii="Arial" w:cs="Arial" w:eastAsia="Arial" w:hAnsi="Arial"/>
          <w:sz w:val="14"/>
          <w:szCs w:val="14"/>
          <w:color w:val="auto"/>
        </w:rPr>
        <w:t>We cannot guarantee that any risk management practices we implement will be effective to prevent losses relating to our commercial real estate portfolio. Management has implemented controls to monitor our commercial real estate lending concentrations, but we cannot predict the extent to which regulatory guidelines will impact our operations or capital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Common Stock</w:t>
      </w:r>
    </w:p>
    <w:p>
      <w:pPr>
        <w:spacing w:after="0" w:line="181" w:lineRule="exact"/>
        <w:rPr>
          <w:sz w:val="20"/>
          <w:szCs w:val="20"/>
          <w:color w:val="auto"/>
        </w:rPr>
      </w:pPr>
    </w:p>
    <w:p>
      <w:pPr>
        <w:ind w:right="380"/>
        <w:spacing w:after="0" w:line="299" w:lineRule="auto"/>
        <w:rPr>
          <w:sz w:val="20"/>
          <w:szCs w:val="20"/>
          <w:color w:val="auto"/>
        </w:rPr>
      </w:pPr>
      <w:r>
        <w:rPr>
          <w:rFonts w:ascii="Arial" w:cs="Arial" w:eastAsia="Arial" w:hAnsi="Arial"/>
          <w:sz w:val="14"/>
          <w:szCs w:val="14"/>
          <w:b w:val="1"/>
          <w:bCs w:val="1"/>
          <w:i w:val="1"/>
          <w:iCs w:val="1"/>
          <w:color w:val="auto"/>
        </w:rPr>
        <w:t>The market price of our common stock may be subject to substantial fluctuations, which may make it difficult for you to sell your shares at the volume, prices and times desired.</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market price of our common stock may be highly volatile, which may make it difficult for you to resell your shares at the volume, prices and times desired. There are many factors that may affect the market price and trading volume of our common stock, most of which are outside of our control.</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stock market and the market for financial institution stocks has experienced substantial fluctuations in recent years, which in many cases have been unrelated to the operating performance and prospects of particular companies. In addition, significant fluctuations in the trading volume in our common stock may cause significant price variations to occur. Increased market volatility may materially and adversely affect the market price of our common stock, which could make it difficult for you to sell your shares in the volume and at prices and times desired.</w:t>
      </w:r>
    </w:p>
    <w:p>
      <w:pPr>
        <w:spacing w:after="0" w:line="14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market price of our common stock could decline significantly and you may experience future dilution due to actual or anticipated issuances or sales of our common stock in the future.</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board of directors may determine from time to time that we need to raise additional capital by issuing additional shares of our common stock or other securities. We cannot predict the size of future issuances of our common stock or the effect, if any, that future issuances and sales of our common stock will have on the market price of our common stock. To the extent we raise additional capital by issuing additional shares of our common stock or other securities convertible into, or exchangeable for, our common stock, you may experience substantial dilution.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and board of directors have significant control over our business.</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of December 31, 2023, our directors, directors of the Bank, our named executive officers and their respective family members and affiliated entities beneficially owned an aggregate of 5,147,875 shares, or approximately 37.0% of our issued and outstanding common stock. Consequently, our management and board of directors may be able to significantly affect the outcome of the election of directors and the potential outcome of other matters submitted to a vote of our shareholders, such as mergers, the sale of substantially all of our assets and other extraordinary corporate matters. The interests of these insiders could conflict with the interests of our other shareholders.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common stock is subordinate to our existing and future indebtedness and preferred stock.</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Our common stock ranks junior to all of our existing and future indebtedness and other non-equity claims with respect to assets available to satisfy claims against us, including claims in the event of our liquidation. As of December 31, 2023 we had outstanding approximately $10.0 million in aggregate principal amount of subordinated notes and $2.1 million in aggregate principal amount of junior subordinated debentures. We may incur additional indebtedness in the future to increase our capital resources or if our total capital ratio or the total capital ratio of the Bank falls below the required minimums. Furthermore, our common stock is subordinate to any series of preferred stock we may issue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29" w:name="page30"/>
    <w:bookmarkEnd w:id="29"/>
    <w:p>
      <w:pPr>
        <w:jc w:val="both"/>
        <w:spacing w:after="0" w:line="299" w:lineRule="auto"/>
        <w:rPr>
          <w:sz w:val="20"/>
          <w:szCs w:val="20"/>
          <w:color w:val="auto"/>
        </w:rPr>
      </w:pPr>
      <w:r>
        <w:rPr>
          <w:rFonts w:ascii="Arial" w:cs="Arial" w:eastAsia="Arial" w:hAnsi="Arial"/>
          <w:sz w:val="14"/>
          <w:szCs w:val="14"/>
          <w:b w:val="1"/>
          <w:bCs w:val="1"/>
          <w:i w:val="1"/>
          <w:iCs w:val="1"/>
          <w:color w:val="auto"/>
        </w:rPr>
        <w:t>Provisions in our governing documents and Maryland law may have an anti-takeover effect, and there are substantial regulatory limitations on changes of control of bank holding companies.</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corporate organizational documents and provisions of federal and state law to which we are subject contain certain provisions that could have an anti-takeover effect and may delay, make more difficult or prevent an attempted acquisition that you may favor or an attempted replacement of our board of directors or management.</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certain provisions of Maryland law may delay, discourage or prevent an attempted acquisition or change in control. Furthermore, banking laws impose notice, approval, and ongoing regulatory requirements on any shareholder or other party that seeks to acquire direct or indirect “control” of an FDIC-insured depository institution or its holding company. These laws include the BHC Act and the Change in Bank Control Act (“CBCA”). These laws could delay or prevent an acquisition.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common stock is not insured by any governmental entity.</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common stock is not a deposit account or other obligation of any bank and is not insured by the FDIC or any other governmental entity. Investment in our common stock is subject to risk, including possible loss.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5"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auto"/>
        </w:rPr>
        <w:t>ITEM 1B UNRESOLVED STAFF COMMENTS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1C CYBERSECURITY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As a publicly-traded financial institution, we are subject to various cybersecurity risks that could adversely affect our business, financial condition, results of operations and</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reputation, including, but not limited to, cyber-attacks against us or our critical third-party service providers. These cyber-attackers can attempt to gain unauthorized access to our digital systems for purposes including, but not limited to: misappropriation of company assets, accessing Company confidential or sensitive customer non-public information, corrupting data, causing operational disruptions, or as part of a ransom demand for payment. As described below, we believe we have appropriate risk management processes, governance policies, standards, and procedures, a system of internal controls designed to address and mitigate these risks, and experienced internal resources to execute our information security and cybersecurity risk management programs.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In 2020, the Company’s Board of Directors approved the implementation of a three lines of defense enterprise risk management framework upon the hiring of our current Chief Risk</w:t>
      </w:r>
    </w:p>
    <w:p>
      <w:pPr>
        <w:spacing w:after="0" w:line="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Officer/Chief Information Security Officer (“CRO/CISO”). Our three lines of defense enterprise risk management framework includes processes and procedures used to identify, assess, mitigate, and monitor the risks faced by the Company, including cybersecurity risk.</w:t>
      </w:r>
    </w:p>
    <w:p>
      <w:pPr>
        <w:spacing w:after="0" w:line="120"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Within the three lines of defense framework for cybersecurity risk, the first line of defense is provided by the Information Technology department, which is responsible for the design and execution of information security practices and risk mitigation, led by the Company’s Business Information Security Officer (“BISO”). The BISO reports to the Chief Information Officer, who leads the Company’s Information Technology department.</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second line of defense is provided by the Enterprise Risk Management department, which is led by the Company’s CRO/CISO. The department seeks to identify, assesses,</w:t>
      </w:r>
    </w:p>
    <w:p>
      <w:pPr>
        <w:spacing w:after="0" w:line="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and monitors cyber risk, in collaboration with our first line, while maintaining independent oversight of our information security program. The CRO/CISO is independent of management and reports to the Board Risk Committee Chair.</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The third line of defense is independent Internal Audit, led by our Head of Internal Audit, who is responsible for ensuring that the first and second line of defenses are both designed and operationally effective in mitigating cybersecurity risk through internal audits of including but not limited to: cybersecurity, electronic banking, GLBA/Privacy, information security,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information technology, and vendor risk management. The Head of Internal Audit is independent of management and reports to the Board Audit Committee Chair.</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BISO, CRO/CISO, and Head of Internal Audit have nearly seven decades of combined work experience, including six decades in banking and financial services risk management and information security roles, and all maintain several industry licenses and certifications through continuing professional education.</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information security program is designed to preserve the confidentiality, integrity, and availability of Company confidential information, customer non-public personal information, and other data on our systems as well as securing our interfaces with our critical third-party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31" w:name="page32"/>
    <w:bookmarkEnd w:id="31"/>
    <w:p>
      <w:pPr>
        <w:jc w:val="both"/>
        <w:spacing w:after="0" w:line="282" w:lineRule="auto"/>
        <w:rPr>
          <w:sz w:val="20"/>
          <w:szCs w:val="20"/>
          <w:color w:val="auto"/>
        </w:rPr>
      </w:pPr>
      <w:r>
        <w:rPr>
          <w:rFonts w:ascii="Arial" w:cs="Arial" w:eastAsia="Arial" w:hAnsi="Arial"/>
          <w:sz w:val="14"/>
          <w:szCs w:val="14"/>
          <w:color w:val="auto"/>
        </w:rPr>
        <w:t>Our information security program takes a risk-based approach to identifying and assessing the cybersecurity risks that exist within our business and information technology systems. The program addresses the roles and responsibilities of the Board, its committees, management, management’s committees, as well as each individual Company employee.</w:t>
      </w:r>
    </w:p>
    <w:p>
      <w:pPr>
        <w:spacing w:after="0" w:line="30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The Board of Directors is ultimately responsible for the oversight of cybersecurity risk management, with the Board Risk Committee assisting the Board with oversight of the Company’s cybersecurity risk program and reporting. The Board of Directors appoints the CISO, and the CISO is given the full authority of the Board for administering and executing</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Company’s written information security program.. The CRO/CISO delivers an annual report to the full Board of Directors on the status and effectiveness of the Company’s written information security program, and reports to the Board Risk Committee any emerging threats or cyber risks on a periodic basis throughout the year. The Board Risk Committee has also approved an Information Security and Cybersecurity Risk Appetite Statement.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At the management level, the Enterprise Risk Management Committee (“ERMC”) is primarily responsible for cybersecurity risk management. The Committee is comprised of senior</w:t>
      </w:r>
    </w:p>
    <w:p>
      <w:pPr>
        <w:spacing w:after="0" w:line="4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executives with risk management and information security expertise. The Information Technology Steering Committee (“ITSC”) is a sub-committee of ERMC and is also comprised of senior executives and staff with risk management and information security expertise. ITSC governs the first line of defense cybersecurity risk management activities and furnishes</w:t>
      </w:r>
    </w:p>
    <w:p>
      <w:pPr>
        <w:spacing w:after="0" w:line="1" w:lineRule="exact"/>
        <w:rPr>
          <w:sz w:val="20"/>
          <w:szCs w:val="20"/>
          <w:color w:val="auto"/>
        </w:rPr>
      </w:pPr>
    </w:p>
    <w:p>
      <w:pPr>
        <w:jc w:val="both"/>
        <w:spacing w:after="0" w:line="308" w:lineRule="auto"/>
        <w:rPr>
          <w:sz w:val="20"/>
          <w:szCs w:val="20"/>
          <w:color w:val="auto"/>
        </w:rPr>
      </w:pPr>
      <w:r>
        <w:rPr>
          <w:rFonts w:ascii="Arial" w:cs="Arial" w:eastAsia="Arial" w:hAnsi="Arial"/>
          <w:sz w:val="14"/>
          <w:szCs w:val="14"/>
          <w:color w:val="auto"/>
        </w:rPr>
        <w:t>approval items, status reports, and approved Committee minutes to ERMC following a meeting. ERMC governs the second line of defense cybersecurity risk management activities and furnishes key risk indicators, risk assessments, reports, issues and committee minutes to the Board Risk Committee. The CRO/CISO assigns quarterly cyber security training to</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all Company employees and ERMC reviews and approves the training curriculum on an annual basis. Additionally, the CRO/CISO ensures the Board receives annual cyber security training.</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We strive to minimize the occurrence of cybersecurity incidents and the risks resulting from such incidents. However, when a cybersecurity incident does occur, the Company has in place an incident response program to guide our assessment of and response to the incident. The CRO/CISO coordinates the Company’s response to a cybersecurity incident,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including investigating, recording and evaluating any potential, suspected or confirmed incidents involving non-public customer information or Company confidential information. The</w:t>
      </w:r>
    </w:p>
    <w:p>
      <w:pPr>
        <w:spacing w:after="0" w:line="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CRO/CISO informs senior management and the Board Risk Chair and Board Audit Committee Chair as soon as practical if a significant security incident occurs. Formal incident reports, if/when applicable, are reviewed by ITSC, ERMC, and the Board Risk Committee.</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employs third parties in fulfilling certain aspects of its information security and cybersecurity programs. For example, we engage third parties to: monitor our network 24/7/365, escalate security alerts, when applicable, perform penetration testing, conduct social engineering tests and assist management with technology upgrades/installations. The BISO assists the CRO/CISO in assessing and monitoring information risks posed by third parties and any non-compliance with the controls created to address such risks. With respect to cybersecurity incidents affecting our third-party service providers, the CRO/CISO works with our service providers to understand and document any incidents, along with managing the impact to us and reporting such significant incidents to senior management, ITSC, ERMC, and the Board Risk Committee.</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While we believe that our cybersecurity programs are appropriate to our risks, cybersecurity threats are expected to remain high for the foreseeable future due to the rapidly evolving nature and sophistication of these threats, as well as due to the expanding use of Internet banking, mobile banking and other technology-based products and services by us and our customers.</w:t>
      </w:r>
    </w:p>
    <w:p>
      <w:pPr>
        <w:spacing w:after="0" w:line="134"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Notwithstanding the investments made in mitigating our cybersecurity risks, we may not be successful in preventing or mitigating a cybersecurity incident that could have a material adverse effect on the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32" w:name="page33"/>
    <w:bookmarkEnd w:id="32"/>
    <w:p>
      <w:pPr>
        <w:ind w:right="20"/>
        <w:spacing w:after="0" w:line="271" w:lineRule="auto"/>
        <w:rPr>
          <w:sz w:val="20"/>
          <w:szCs w:val="20"/>
          <w:color w:val="auto"/>
        </w:rPr>
      </w:pPr>
      <w:r>
        <w:rPr>
          <w:rFonts w:ascii="Arial" w:cs="Arial" w:eastAsia="Arial" w:hAnsi="Arial"/>
          <w:sz w:val="14"/>
          <w:szCs w:val="14"/>
          <w:color w:val="auto"/>
        </w:rPr>
        <w:t>Company. As of the date of this filing, the Company is not aware of any cybersecurity threats or incidents that have materially affected or are reasonably likely to materially affect the Company, including its business strategy, results of operations, or financial condition. For further discussion, please see Item 1A. “Risk Factors” for a discussion of cybersecurity risks.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2. PROPERTIES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headquarters are currently located at 2275 Research Boulevard, Suite 600, Rockville, Maryland 20850. The following table summarizes pertinent details of our commercial bank branch locations, mortgage banking offices, loan production offices, or LPOs, and our credit card operations office. Our mortgage offices typically contain both origination and operations professionals.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gridSpan w:val="2"/>
          </w:tcPr>
          <w:p>
            <w:pPr>
              <w:ind w:left="1460"/>
              <w:spacing w:after="0"/>
              <w:rPr>
                <w:sz w:val="20"/>
                <w:szCs w:val="20"/>
                <w:color w:val="auto"/>
              </w:rPr>
            </w:pPr>
            <w:r>
              <w:rPr>
                <w:rFonts w:ascii="Arial" w:cs="Arial" w:eastAsia="Arial" w:hAnsi="Arial"/>
                <w:sz w:val="14"/>
                <w:szCs w:val="14"/>
                <w:b w:val="1"/>
                <w:bCs w:val="1"/>
                <w:color w:val="auto"/>
              </w:rPr>
              <w:t>Location</w:t>
            </w:r>
          </w:p>
        </w:tc>
        <w:tc>
          <w:tcPr>
            <w:tcW w:w="2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Owned/Leased</w:t>
            </w:r>
          </w:p>
        </w:tc>
        <w:tc>
          <w:tcPr>
            <w:tcW w:w="2140" w:type="dxa"/>
            <w:vAlign w:val="bottom"/>
            <w:gridSpan w:val="2"/>
          </w:tcPr>
          <w:p>
            <w:pPr>
              <w:ind w:left="460"/>
              <w:spacing w:after="0"/>
              <w:rPr>
                <w:sz w:val="20"/>
                <w:szCs w:val="20"/>
                <w:color w:val="auto"/>
              </w:rPr>
            </w:pPr>
            <w:r>
              <w:rPr>
                <w:rFonts w:ascii="Arial" w:cs="Arial" w:eastAsia="Arial" w:hAnsi="Arial"/>
                <w:sz w:val="14"/>
                <w:szCs w:val="14"/>
                <w:b w:val="1"/>
                <w:bCs w:val="1"/>
                <w:color w:val="auto"/>
              </w:rPr>
              <w:t>Lease Expiration</w:t>
            </w: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8"/>
              </w:rPr>
              <w:t>Type of office</w:t>
            </w:r>
          </w:p>
        </w:tc>
      </w:tr>
      <w:tr>
        <w:trPr>
          <w:trHeight w:val="129"/>
        </w:trPr>
        <w:tc>
          <w:tcPr>
            <w:tcW w:w="35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One Church Street</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4"/>
                <w:szCs w:val="14"/>
                <w:color w:val="auto"/>
              </w:rPr>
              <w:t>Leased</w:t>
            </w:r>
          </w:p>
        </w:tc>
        <w:tc>
          <w:tcPr>
            <w:tcW w:w="100" w:type="dxa"/>
            <w:vAlign w:val="bottom"/>
            <w:tcBorders>
              <w:top w:val="single" w:sz="8" w:color="CCEEFF"/>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4"/>
                <w:szCs w:val="14"/>
                <w:color w:val="auto"/>
                <w:w w:val="99"/>
              </w:rPr>
              <w:t>12/31/2026</w:t>
            </w:r>
          </w:p>
        </w:tc>
        <w:tc>
          <w:tcPr>
            <w:tcW w:w="100" w:type="dxa"/>
            <w:vAlign w:val="bottom"/>
            <w:tcBorders>
              <w:top w:val="single" w:sz="8" w:color="CCEEFF"/>
            </w:tcBorders>
            <w:shd w:val="clear" w:color="auto" w:fill="CCEEFF"/>
          </w:tcPr>
          <w:p>
            <w:pPr>
              <w:spacing w:after="0"/>
              <w:rPr>
                <w:sz w:val="11"/>
                <w:szCs w:val="11"/>
                <w:color w:val="auto"/>
              </w:rPr>
            </w:pPr>
          </w:p>
        </w:tc>
        <w:tc>
          <w:tcPr>
            <w:tcW w:w="30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4"/>
                <w:szCs w:val="14"/>
                <w:color w:val="auto"/>
              </w:rPr>
              <w:t>Commercial Branch</w:t>
            </w:r>
          </w:p>
        </w:tc>
      </w:tr>
      <w:tr>
        <w:trPr>
          <w:trHeight w:val="144"/>
        </w:trPr>
        <w:tc>
          <w:tcPr>
            <w:tcW w:w="360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Suite 100</w:t>
            </w: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r>
      <w:tr>
        <w:trPr>
          <w:trHeight w:val="184"/>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Rockville, MD 20850</w:t>
            </w:r>
          </w:p>
        </w:tc>
        <w:tc>
          <w:tcPr>
            <w:tcW w:w="2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r>
      <w:tr>
        <w:trPr>
          <w:trHeight w:val="138"/>
        </w:trPr>
        <w:tc>
          <w:tcPr>
            <w:tcW w:w="360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2275 Research Blvd.</w:t>
            </w:r>
          </w:p>
        </w:tc>
        <w:tc>
          <w:tcPr>
            <w:tcW w:w="2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rPr>
              <w:t>Sub-Leased</w:t>
            </w:r>
          </w:p>
        </w:tc>
        <w:tc>
          <w:tcPr>
            <w:tcW w:w="2040" w:type="dxa"/>
            <w:vAlign w:val="bottom"/>
          </w:tcPr>
          <w:p>
            <w:pPr>
              <w:jc w:val="center"/>
              <w:spacing w:after="0" w:line="138" w:lineRule="exact"/>
              <w:rPr>
                <w:sz w:val="20"/>
                <w:szCs w:val="20"/>
                <w:color w:val="auto"/>
              </w:rPr>
            </w:pPr>
            <w:r>
              <w:rPr>
                <w:rFonts w:ascii="Arial" w:cs="Arial" w:eastAsia="Arial" w:hAnsi="Arial"/>
                <w:sz w:val="14"/>
                <w:szCs w:val="14"/>
                <w:color w:val="auto"/>
                <w:w w:val="99"/>
              </w:rPr>
              <w:t>10/31/2024</w:t>
            </w:r>
          </w:p>
        </w:tc>
        <w:tc>
          <w:tcPr>
            <w:tcW w:w="100" w:type="dxa"/>
            <w:vAlign w:val="bottom"/>
          </w:tcPr>
          <w:p>
            <w:pPr>
              <w:spacing w:after="0"/>
              <w:rPr>
                <w:sz w:val="11"/>
                <w:szCs w:val="11"/>
                <w:color w:val="auto"/>
              </w:rPr>
            </w:pPr>
          </w:p>
        </w:tc>
        <w:tc>
          <w:tcPr>
            <w:tcW w:w="3020" w:type="dxa"/>
            <w:vAlign w:val="bottom"/>
          </w:tcPr>
          <w:p>
            <w:pPr>
              <w:jc w:val="center"/>
              <w:spacing w:after="0" w:line="138" w:lineRule="exact"/>
              <w:rPr>
                <w:sz w:val="20"/>
                <w:szCs w:val="20"/>
                <w:color w:val="auto"/>
              </w:rPr>
            </w:pPr>
            <w:r>
              <w:rPr>
                <w:rFonts w:ascii="Arial" w:cs="Arial" w:eastAsia="Arial" w:hAnsi="Arial"/>
                <w:sz w:val="14"/>
                <w:szCs w:val="14"/>
                <w:color w:val="auto"/>
                <w:w w:val="99"/>
              </w:rPr>
              <w:t>Corporate</w:t>
            </w:r>
          </w:p>
        </w:tc>
      </w:tr>
      <w:tr>
        <w:trPr>
          <w:trHeight w:val="144"/>
        </w:trPr>
        <w:tc>
          <w:tcPr>
            <w:tcW w:w="36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Suite 600</w:t>
            </w: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spacing w:after="0"/>
              <w:rPr>
                <w:sz w:val="12"/>
                <w:szCs w:val="12"/>
                <w:color w:val="auto"/>
              </w:rPr>
            </w:pPr>
          </w:p>
        </w:tc>
      </w:tr>
      <w:tr>
        <w:trPr>
          <w:trHeight w:val="184"/>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Rockville, MD 20850</w:t>
            </w: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138"/>
        </w:trPr>
        <w:tc>
          <w:tcPr>
            <w:tcW w:w="360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6711 Columbia Gateway Drive</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rPr>
              <w:t>Leased</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11/30/2027</w:t>
            </w:r>
          </w:p>
        </w:tc>
        <w:tc>
          <w:tcPr>
            <w:tcW w:w="100" w:type="dxa"/>
            <w:vAlign w:val="bottom"/>
            <w:shd w:val="clear" w:color="auto" w:fill="CCEEFF"/>
          </w:tcPr>
          <w:p>
            <w:pPr>
              <w:spacing w:after="0"/>
              <w:rPr>
                <w:sz w:val="11"/>
                <w:szCs w:val="11"/>
                <w:color w:val="auto"/>
              </w:rPr>
            </w:pPr>
          </w:p>
        </w:tc>
        <w:tc>
          <w:tcPr>
            <w:tcW w:w="3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rPr>
              <w:t>Commercial Branch/LPO</w:t>
            </w:r>
          </w:p>
        </w:tc>
      </w:tr>
      <w:tr>
        <w:trPr>
          <w:trHeight w:val="144"/>
        </w:trPr>
        <w:tc>
          <w:tcPr>
            <w:tcW w:w="360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Suite 170</w:t>
            </w: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r>
      <w:tr>
        <w:trPr>
          <w:trHeight w:val="184"/>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Columbia, MD 21046</w:t>
            </w:r>
          </w:p>
        </w:tc>
        <w:tc>
          <w:tcPr>
            <w:tcW w:w="2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r>
      <w:tr>
        <w:trPr>
          <w:trHeight w:val="138"/>
        </w:trPr>
        <w:tc>
          <w:tcPr>
            <w:tcW w:w="360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110 Gibraltar Road</w:t>
            </w:r>
          </w:p>
        </w:tc>
        <w:tc>
          <w:tcPr>
            <w:tcW w:w="2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rPr>
              <w:t>Leased</w:t>
            </w:r>
          </w:p>
        </w:tc>
        <w:tc>
          <w:tcPr>
            <w:tcW w:w="2040" w:type="dxa"/>
            <w:vAlign w:val="bottom"/>
          </w:tcPr>
          <w:p>
            <w:pPr>
              <w:jc w:val="center"/>
              <w:spacing w:after="0" w:line="138" w:lineRule="exact"/>
              <w:rPr>
                <w:sz w:val="20"/>
                <w:szCs w:val="20"/>
                <w:color w:val="auto"/>
              </w:rPr>
            </w:pPr>
            <w:r>
              <w:rPr>
                <w:rFonts w:ascii="Arial" w:cs="Arial" w:eastAsia="Arial" w:hAnsi="Arial"/>
                <w:sz w:val="14"/>
                <w:szCs w:val="14"/>
                <w:color w:val="auto"/>
              </w:rPr>
              <w:t>8/31/2026</w:t>
            </w:r>
          </w:p>
        </w:tc>
        <w:tc>
          <w:tcPr>
            <w:tcW w:w="100" w:type="dxa"/>
            <w:vAlign w:val="bottom"/>
          </w:tcPr>
          <w:p>
            <w:pPr>
              <w:spacing w:after="0"/>
              <w:rPr>
                <w:sz w:val="11"/>
                <w:szCs w:val="11"/>
                <w:color w:val="auto"/>
              </w:rPr>
            </w:pPr>
          </w:p>
        </w:tc>
        <w:tc>
          <w:tcPr>
            <w:tcW w:w="3020" w:type="dxa"/>
            <w:vAlign w:val="bottom"/>
          </w:tcPr>
          <w:p>
            <w:pPr>
              <w:jc w:val="center"/>
              <w:spacing w:after="0" w:line="138" w:lineRule="exact"/>
              <w:rPr>
                <w:sz w:val="20"/>
                <w:szCs w:val="20"/>
                <w:color w:val="auto"/>
              </w:rPr>
            </w:pPr>
            <w:r>
              <w:rPr>
                <w:rFonts w:ascii="Arial" w:cs="Arial" w:eastAsia="Arial" w:hAnsi="Arial"/>
                <w:sz w:val="12"/>
                <w:szCs w:val="12"/>
                <w:color w:val="auto"/>
              </w:rPr>
              <w:t>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Operations</w:t>
            </w:r>
          </w:p>
        </w:tc>
      </w:tr>
      <w:tr>
        <w:trPr>
          <w:trHeight w:val="144"/>
        </w:trPr>
        <w:tc>
          <w:tcPr>
            <w:tcW w:w="36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Suite 130</w:t>
            </w: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spacing w:after="0"/>
              <w:rPr>
                <w:sz w:val="12"/>
                <w:szCs w:val="12"/>
                <w:color w:val="auto"/>
              </w:rPr>
            </w:pPr>
          </w:p>
        </w:tc>
      </w:tr>
      <w:tr>
        <w:trPr>
          <w:trHeight w:val="184"/>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Horsham, PA 19044</w:t>
            </w: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138"/>
        </w:trPr>
        <w:tc>
          <w:tcPr>
            <w:tcW w:w="360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185 Harry S. Truman Parkway</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rPr>
              <w:t>Leased</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11/30/2026</w:t>
            </w:r>
          </w:p>
        </w:tc>
        <w:tc>
          <w:tcPr>
            <w:tcW w:w="100" w:type="dxa"/>
            <w:vAlign w:val="bottom"/>
            <w:shd w:val="clear" w:color="auto" w:fill="CCEEFF"/>
          </w:tcPr>
          <w:p>
            <w:pPr>
              <w:spacing w:after="0"/>
              <w:rPr>
                <w:sz w:val="11"/>
                <w:szCs w:val="11"/>
                <w:color w:val="auto"/>
              </w:rPr>
            </w:pPr>
          </w:p>
        </w:tc>
        <w:tc>
          <w:tcPr>
            <w:tcW w:w="3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rPr>
              <w:t>Mortgage Office</w:t>
            </w:r>
          </w:p>
        </w:tc>
      </w:tr>
      <w:tr>
        <w:trPr>
          <w:trHeight w:val="144"/>
        </w:trPr>
        <w:tc>
          <w:tcPr>
            <w:tcW w:w="360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Suite 100</w:t>
            </w: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r>
      <w:tr>
        <w:trPr>
          <w:trHeight w:val="184"/>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Annapolis, MD 21401</w:t>
            </w:r>
          </w:p>
        </w:tc>
        <w:tc>
          <w:tcPr>
            <w:tcW w:w="2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r>
      <w:tr>
        <w:trPr>
          <w:trHeight w:val="138"/>
        </w:trPr>
        <w:tc>
          <w:tcPr>
            <w:tcW w:w="360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10700 Parkridge Boulevard</w:t>
            </w:r>
          </w:p>
        </w:tc>
        <w:tc>
          <w:tcPr>
            <w:tcW w:w="2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rPr>
              <w:t>Leased</w:t>
            </w:r>
          </w:p>
        </w:tc>
        <w:tc>
          <w:tcPr>
            <w:tcW w:w="2040" w:type="dxa"/>
            <w:vAlign w:val="bottom"/>
          </w:tcPr>
          <w:p>
            <w:pPr>
              <w:jc w:val="center"/>
              <w:spacing w:after="0" w:line="138" w:lineRule="exact"/>
              <w:rPr>
                <w:sz w:val="20"/>
                <w:szCs w:val="20"/>
                <w:color w:val="auto"/>
              </w:rPr>
            </w:pPr>
            <w:r>
              <w:rPr>
                <w:rFonts w:ascii="Arial" w:cs="Arial" w:eastAsia="Arial" w:hAnsi="Arial"/>
                <w:sz w:val="14"/>
                <w:szCs w:val="14"/>
                <w:color w:val="auto"/>
              </w:rPr>
              <w:t>5/31/2024</w:t>
            </w:r>
          </w:p>
        </w:tc>
        <w:tc>
          <w:tcPr>
            <w:tcW w:w="100" w:type="dxa"/>
            <w:vAlign w:val="bottom"/>
          </w:tcPr>
          <w:p>
            <w:pPr>
              <w:spacing w:after="0"/>
              <w:rPr>
                <w:sz w:val="11"/>
                <w:szCs w:val="11"/>
                <w:color w:val="auto"/>
              </w:rPr>
            </w:pPr>
          </w:p>
        </w:tc>
        <w:tc>
          <w:tcPr>
            <w:tcW w:w="3020" w:type="dxa"/>
            <w:vAlign w:val="bottom"/>
          </w:tcPr>
          <w:p>
            <w:pPr>
              <w:jc w:val="center"/>
              <w:spacing w:after="0" w:line="138" w:lineRule="exact"/>
              <w:rPr>
                <w:sz w:val="20"/>
                <w:szCs w:val="20"/>
                <w:color w:val="auto"/>
              </w:rPr>
            </w:pPr>
            <w:r>
              <w:rPr>
                <w:rFonts w:ascii="Arial" w:cs="Arial" w:eastAsia="Arial" w:hAnsi="Arial"/>
                <w:sz w:val="14"/>
                <w:szCs w:val="14"/>
                <w:color w:val="auto"/>
              </w:rPr>
              <w:t>Commercial Branch, Mortgage Office, and</w:t>
            </w:r>
          </w:p>
        </w:tc>
      </w:tr>
      <w:tr>
        <w:trPr>
          <w:trHeight w:val="144"/>
        </w:trPr>
        <w:tc>
          <w:tcPr>
            <w:tcW w:w="36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Suite 180</w:t>
            </w: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jc w:val="center"/>
              <w:spacing w:after="0" w:line="145" w:lineRule="exact"/>
              <w:rPr>
                <w:sz w:val="20"/>
                <w:szCs w:val="20"/>
                <w:color w:val="auto"/>
              </w:rPr>
            </w:pPr>
            <w:r>
              <w:rPr>
                <w:rFonts w:ascii="Arial" w:cs="Arial" w:eastAsia="Arial" w:hAnsi="Arial"/>
                <w:sz w:val="13"/>
                <w:szCs w:val="13"/>
                <w:color w:val="auto"/>
              </w:rPr>
              <w:t>OpenSky</w:t>
            </w:r>
            <w:r>
              <w:rPr>
                <w:rFonts w:ascii="Arial" w:cs="Arial" w:eastAsia="Arial" w:hAnsi="Arial"/>
                <w:sz w:val="16"/>
                <w:szCs w:val="16"/>
                <w:color w:val="auto"/>
                <w:vertAlign w:val="superscript"/>
              </w:rPr>
              <w:t>™</w:t>
            </w:r>
            <w:r>
              <w:rPr>
                <w:rFonts w:ascii="Arial" w:cs="Arial" w:eastAsia="Arial" w:hAnsi="Arial"/>
                <w:sz w:val="13"/>
                <w:szCs w:val="13"/>
                <w:color w:val="auto"/>
              </w:rPr>
              <w:t xml:space="preserve"> Headquarters</w:t>
            </w:r>
          </w:p>
        </w:tc>
      </w:tr>
      <w:tr>
        <w:trPr>
          <w:trHeight w:val="184"/>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Reston, VA 20191</w:t>
            </w: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138"/>
        </w:trPr>
        <w:tc>
          <w:tcPr>
            <w:tcW w:w="360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1400 W Street, NW</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rPr>
              <w:t>Leased</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rPr>
              <w:t>2/28/2033</w:t>
            </w:r>
          </w:p>
        </w:tc>
        <w:tc>
          <w:tcPr>
            <w:tcW w:w="100" w:type="dxa"/>
            <w:vAlign w:val="bottom"/>
            <w:shd w:val="clear" w:color="auto" w:fill="CCEEFF"/>
          </w:tcPr>
          <w:p>
            <w:pPr>
              <w:spacing w:after="0"/>
              <w:rPr>
                <w:sz w:val="11"/>
                <w:szCs w:val="11"/>
                <w:color w:val="auto"/>
              </w:rPr>
            </w:pPr>
          </w:p>
        </w:tc>
        <w:tc>
          <w:tcPr>
            <w:tcW w:w="3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rPr>
              <w:t>Commercial Branch</w:t>
            </w:r>
          </w:p>
        </w:tc>
      </w:tr>
      <w:tr>
        <w:trPr>
          <w:trHeight w:val="191"/>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Suite 170 Washington, DC 20009</w:t>
            </w:r>
          </w:p>
        </w:tc>
        <w:tc>
          <w:tcPr>
            <w:tcW w:w="2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r>
      <w:tr>
        <w:trPr>
          <w:trHeight w:val="138"/>
        </w:trPr>
        <w:tc>
          <w:tcPr>
            <w:tcW w:w="360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1900 Campus Commons Drive</w:t>
            </w:r>
          </w:p>
        </w:tc>
        <w:tc>
          <w:tcPr>
            <w:tcW w:w="2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rPr>
              <w:t>Leased</w:t>
            </w:r>
          </w:p>
        </w:tc>
        <w:tc>
          <w:tcPr>
            <w:tcW w:w="2040" w:type="dxa"/>
            <w:vAlign w:val="bottom"/>
          </w:tcPr>
          <w:p>
            <w:pPr>
              <w:jc w:val="center"/>
              <w:spacing w:after="0" w:line="138" w:lineRule="exact"/>
              <w:rPr>
                <w:sz w:val="20"/>
                <w:szCs w:val="20"/>
                <w:color w:val="auto"/>
              </w:rPr>
            </w:pPr>
            <w:r>
              <w:rPr>
                <w:rFonts w:ascii="Arial" w:cs="Arial" w:eastAsia="Arial" w:hAnsi="Arial"/>
                <w:sz w:val="14"/>
                <w:szCs w:val="14"/>
                <w:color w:val="auto"/>
              </w:rPr>
              <w:t>9/30/2031</w:t>
            </w:r>
          </w:p>
        </w:tc>
        <w:tc>
          <w:tcPr>
            <w:tcW w:w="100" w:type="dxa"/>
            <w:vAlign w:val="bottom"/>
          </w:tcPr>
          <w:p>
            <w:pPr>
              <w:spacing w:after="0"/>
              <w:rPr>
                <w:sz w:val="11"/>
                <w:szCs w:val="11"/>
                <w:color w:val="auto"/>
              </w:rPr>
            </w:pPr>
          </w:p>
        </w:tc>
        <w:tc>
          <w:tcPr>
            <w:tcW w:w="3020" w:type="dxa"/>
            <w:vAlign w:val="bottom"/>
          </w:tcPr>
          <w:p>
            <w:pPr>
              <w:jc w:val="center"/>
              <w:spacing w:after="0" w:line="138" w:lineRule="exact"/>
              <w:rPr>
                <w:sz w:val="20"/>
                <w:szCs w:val="20"/>
                <w:color w:val="auto"/>
              </w:rPr>
            </w:pPr>
            <w:r>
              <w:rPr>
                <w:rFonts w:ascii="Arial" w:cs="Arial" w:eastAsia="Arial" w:hAnsi="Arial"/>
                <w:sz w:val="14"/>
                <w:szCs w:val="14"/>
                <w:color w:val="auto"/>
              </w:rPr>
              <w:t>Commercial Branch, Mortgage Office, and</w:t>
            </w:r>
          </w:p>
        </w:tc>
      </w:tr>
      <w:tr>
        <w:trPr>
          <w:trHeight w:val="144"/>
        </w:trPr>
        <w:tc>
          <w:tcPr>
            <w:tcW w:w="36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Suite 130</w:t>
            </w: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jc w:val="center"/>
              <w:spacing w:after="0" w:line="145" w:lineRule="exact"/>
              <w:rPr>
                <w:sz w:val="20"/>
                <w:szCs w:val="20"/>
                <w:color w:val="auto"/>
              </w:rPr>
            </w:pPr>
            <w:r>
              <w:rPr>
                <w:rFonts w:ascii="Arial" w:cs="Arial" w:eastAsia="Arial" w:hAnsi="Arial"/>
                <w:sz w:val="13"/>
                <w:szCs w:val="13"/>
                <w:color w:val="auto"/>
              </w:rPr>
              <w:t>OpenSky</w:t>
            </w:r>
            <w:r>
              <w:rPr>
                <w:rFonts w:ascii="Arial" w:cs="Arial" w:eastAsia="Arial" w:hAnsi="Arial"/>
                <w:sz w:val="16"/>
                <w:szCs w:val="16"/>
                <w:color w:val="auto"/>
                <w:vertAlign w:val="superscript"/>
              </w:rPr>
              <w:t>™</w:t>
            </w:r>
            <w:r>
              <w:rPr>
                <w:rFonts w:ascii="Arial" w:cs="Arial" w:eastAsia="Arial" w:hAnsi="Arial"/>
                <w:sz w:val="13"/>
                <w:szCs w:val="13"/>
                <w:color w:val="auto"/>
              </w:rPr>
              <w:t xml:space="preserve"> Headquarters</w:t>
            </w:r>
          </w:p>
        </w:tc>
      </w:tr>
      <w:tr>
        <w:trPr>
          <w:trHeight w:val="184"/>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Reston, VA 20191</w:t>
            </w: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138"/>
        </w:trPr>
        <w:tc>
          <w:tcPr>
            <w:tcW w:w="360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1104 Kenilworth Drive</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rPr>
              <w:t>Leased</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rPr>
              <w:t>1/31/2027</w:t>
            </w:r>
          </w:p>
        </w:tc>
        <w:tc>
          <w:tcPr>
            <w:tcW w:w="100" w:type="dxa"/>
            <w:vAlign w:val="bottom"/>
            <w:shd w:val="clear" w:color="auto" w:fill="CCEEFF"/>
          </w:tcPr>
          <w:p>
            <w:pPr>
              <w:spacing w:after="0"/>
              <w:rPr>
                <w:sz w:val="11"/>
                <w:szCs w:val="11"/>
                <w:color w:val="auto"/>
              </w:rPr>
            </w:pPr>
          </w:p>
        </w:tc>
        <w:tc>
          <w:tcPr>
            <w:tcW w:w="3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LPO</w:t>
            </w:r>
          </w:p>
        </w:tc>
      </w:tr>
      <w:tr>
        <w:trPr>
          <w:trHeight w:val="191"/>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Suite 210 Towson, MD 21204</w:t>
            </w:r>
          </w:p>
        </w:tc>
        <w:tc>
          <w:tcPr>
            <w:tcW w:w="2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auto"/>
        </w:rPr>
        <w:t>ITEM 3. LEGAL PROCEEDINGS.</w:t>
      </w:r>
    </w:p>
    <w:p>
      <w:pPr>
        <w:spacing w:after="0" w:line="20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From time to time, we are a party to various litigation matters incidental to the ordinary conduct of our business. We are not presently a party to any legal proceedings likely to result in a material adverse effect on our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4. MINE SAFETY DISCLOSURES.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34" w:name="page35"/>
    <w:bookmarkEnd w:id="34"/>
    <w:p>
      <w:pPr>
        <w:jc w:val="center"/>
        <w:spacing w:after="0"/>
        <w:rPr>
          <w:sz w:val="20"/>
          <w:szCs w:val="20"/>
          <w:color w:val="auto"/>
        </w:rPr>
      </w:pPr>
      <w:r>
        <w:rPr>
          <w:rFonts w:ascii="Arial" w:cs="Arial" w:eastAsia="Arial" w:hAnsi="Arial"/>
          <w:sz w:val="14"/>
          <w:szCs w:val="14"/>
          <w:b w:val="1"/>
          <w:bCs w:val="1"/>
          <w:color w:val="auto"/>
        </w:rPr>
        <w:t>PART II</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5. MARKET FOR THE REGISTRANT’S COMMON EQUITY,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Shareholder Information</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common stock of the Company has been publicly traded since September 2018 and is currently traded on the Nasdaq Global Select Market under the symbol CBNK. As of March 13, 2024, there were approximately 158 holders of record of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Commencing with the third quarter of 2021, shareholders have received quarterly cash dividends on shares of common stock. Dividends paid in 2023 totaled $3.9 million. As a general matter, the payment of dividends is at the discretion of the Company’s board of directors, based on such factors as operating results, financial condition, capital adequacy and regulatory requirements. Although we have no obligation to pay dividends and we may change our dividend policy at any time without notice to shareholders, the Company anticipates continuing a regular quarterly cash dividend. Any future determination to pay dividends to holders of our common stock will depend on our results of operations, financial condition, capital requirements, banking regulations, contractual restrictions and any other factors that our board of directors may deem relevant.</w:t>
      </w:r>
    </w:p>
    <w:p>
      <w:pPr>
        <w:spacing w:after="0" w:line="4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ability to pay dividends on our common stock is dependent on the Bank’s ability to pay dividends to the Company. Various statutory provisions restrict the amount of dividends that the Bank can pay without regulatory approval.</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 Plan Information</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provides information as of December 31, 2023, with respect to options and restricted stock units (“RSUs”) outstanding and shares available for future awards under the Company’s active equity incentive plans.</w:t>
      </w:r>
    </w:p>
    <w:p>
      <w:pPr>
        <w:spacing w:after="0" w:line="143" w:lineRule="exact"/>
        <w:rPr>
          <w:sz w:val="20"/>
          <w:szCs w:val="20"/>
          <w:color w:val="auto"/>
        </w:rPr>
      </w:pPr>
    </w:p>
    <w:tbl>
      <w:tblPr>
        <w:tblLayout w:type="fixed"/>
        <w:tblInd w:w="2060" w:type="dxa"/>
        <w:tblCellMar>
          <w:top w:w="0" w:type="dxa"/>
          <w:left w:w="0" w:type="dxa"/>
          <w:bottom w:w="0" w:type="dxa"/>
          <w:right w:w="0" w:type="dxa"/>
        </w:tblCellMar>
      </w:tblPr>
      <w:tr>
        <w:trPr>
          <w:trHeight w:val="115"/>
        </w:trPr>
        <w:tc>
          <w:tcPr>
            <w:tcW w:w="1720" w:type="dxa"/>
            <w:vAlign w:val="bottom"/>
          </w:tcPr>
          <w:p>
            <w:pPr>
              <w:spacing w:after="0"/>
              <w:rPr>
                <w:sz w:val="10"/>
                <w:szCs w:val="10"/>
                <w:color w:val="auto"/>
              </w:rPr>
            </w:pPr>
          </w:p>
        </w:tc>
        <w:tc>
          <w:tcPr>
            <w:tcW w:w="3140" w:type="dxa"/>
            <w:vAlign w:val="bottom"/>
            <w:vMerge w:val="restart"/>
          </w:tcPr>
          <w:p>
            <w:pPr>
              <w:jc w:val="center"/>
              <w:ind w:left="971"/>
              <w:spacing w:after="0"/>
              <w:rPr>
                <w:sz w:val="20"/>
                <w:szCs w:val="20"/>
                <w:color w:val="auto"/>
              </w:rPr>
            </w:pPr>
            <w:r>
              <w:rPr>
                <w:rFonts w:ascii="Arial" w:cs="Arial" w:eastAsia="Arial" w:hAnsi="Arial"/>
                <w:sz w:val="10"/>
                <w:szCs w:val="10"/>
                <w:b w:val="1"/>
                <w:bCs w:val="1"/>
                <w:color w:val="auto"/>
                <w:w w:val="98"/>
              </w:rPr>
              <w:t>Number of Securities to be Issued Upon</w:t>
            </w:r>
          </w:p>
        </w:tc>
        <w:tc>
          <w:tcPr>
            <w:tcW w:w="2100" w:type="dxa"/>
            <w:vAlign w:val="bottom"/>
          </w:tcPr>
          <w:p>
            <w:pPr>
              <w:spacing w:after="0"/>
              <w:rPr>
                <w:sz w:val="10"/>
                <w:szCs w:val="10"/>
                <w:color w:val="auto"/>
              </w:rPr>
            </w:pPr>
          </w:p>
        </w:tc>
        <w:tc>
          <w:tcPr>
            <w:tcW w:w="2240" w:type="dxa"/>
            <w:vAlign w:val="bottom"/>
          </w:tcPr>
          <w:p>
            <w:pPr>
              <w:jc w:val="center"/>
              <w:spacing w:after="0"/>
              <w:rPr>
                <w:sz w:val="20"/>
                <w:szCs w:val="20"/>
                <w:color w:val="auto"/>
              </w:rPr>
            </w:pPr>
            <w:r>
              <w:rPr>
                <w:rFonts w:ascii="Arial" w:cs="Arial" w:eastAsia="Arial" w:hAnsi="Arial"/>
                <w:sz w:val="10"/>
                <w:szCs w:val="10"/>
                <w:b w:val="1"/>
                <w:bCs w:val="1"/>
                <w:color w:val="auto"/>
                <w:w w:val="98"/>
              </w:rPr>
              <w:t>Number of Securities Remaining Available for</w:t>
            </w:r>
          </w:p>
        </w:tc>
        <w:tc>
          <w:tcPr>
            <w:tcW w:w="0" w:type="dxa"/>
            <w:vAlign w:val="bottom"/>
          </w:tcPr>
          <w:p>
            <w:pPr>
              <w:spacing w:after="0"/>
              <w:rPr>
                <w:sz w:val="1"/>
                <w:szCs w:val="1"/>
                <w:color w:val="auto"/>
              </w:rPr>
            </w:pPr>
          </w:p>
        </w:tc>
      </w:tr>
      <w:tr>
        <w:trPr>
          <w:trHeight w:val="100"/>
        </w:trPr>
        <w:tc>
          <w:tcPr>
            <w:tcW w:w="1720" w:type="dxa"/>
            <w:vAlign w:val="bottom"/>
          </w:tcPr>
          <w:p>
            <w:pPr>
              <w:spacing w:after="0"/>
              <w:rPr>
                <w:sz w:val="8"/>
                <w:szCs w:val="8"/>
                <w:color w:val="auto"/>
              </w:rPr>
            </w:pPr>
          </w:p>
        </w:tc>
        <w:tc>
          <w:tcPr>
            <w:tcW w:w="3140" w:type="dxa"/>
            <w:vAlign w:val="bottom"/>
            <w:vMerge w:val="continue"/>
          </w:tcPr>
          <w:p>
            <w:pPr>
              <w:spacing w:after="0"/>
              <w:rPr>
                <w:sz w:val="8"/>
                <w:szCs w:val="8"/>
                <w:color w:val="auto"/>
              </w:rPr>
            </w:pPr>
          </w:p>
        </w:tc>
        <w:tc>
          <w:tcPr>
            <w:tcW w:w="21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Weighted-Average Exercise Price of</w:t>
            </w:r>
          </w:p>
        </w:tc>
        <w:tc>
          <w:tcPr>
            <w:tcW w:w="22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98"/>
              </w:rPr>
              <w:t>Future Issuance under Equity Compensation</w:t>
            </w:r>
          </w:p>
        </w:tc>
        <w:tc>
          <w:tcPr>
            <w:tcW w:w="0" w:type="dxa"/>
            <w:vAlign w:val="bottom"/>
          </w:tcPr>
          <w:p>
            <w:pPr>
              <w:spacing w:after="0"/>
              <w:rPr>
                <w:sz w:val="1"/>
                <w:szCs w:val="1"/>
                <w:color w:val="auto"/>
              </w:rPr>
            </w:pPr>
          </w:p>
        </w:tc>
      </w:tr>
      <w:tr>
        <w:trPr>
          <w:trHeight w:val="95"/>
        </w:trPr>
        <w:tc>
          <w:tcPr>
            <w:tcW w:w="1720" w:type="dxa"/>
            <w:vAlign w:val="bottom"/>
            <w:vMerge w:val="restart"/>
          </w:tcPr>
          <w:p>
            <w:pPr>
              <w:spacing w:after="0"/>
              <w:rPr>
                <w:sz w:val="20"/>
                <w:szCs w:val="20"/>
                <w:color w:val="auto"/>
              </w:rPr>
            </w:pPr>
            <w:r>
              <w:rPr>
                <w:rFonts w:ascii="Arial" w:cs="Arial" w:eastAsia="Arial" w:hAnsi="Arial"/>
                <w:sz w:val="10"/>
                <w:szCs w:val="10"/>
                <w:b w:val="1"/>
                <w:bCs w:val="1"/>
                <w:color w:val="auto"/>
              </w:rPr>
              <w:t>Plan Category</w:t>
            </w:r>
          </w:p>
        </w:tc>
        <w:tc>
          <w:tcPr>
            <w:tcW w:w="3140" w:type="dxa"/>
            <w:vAlign w:val="bottom"/>
          </w:tcPr>
          <w:p>
            <w:pPr>
              <w:jc w:val="center"/>
              <w:ind w:left="991"/>
              <w:spacing w:after="0" w:line="96" w:lineRule="exact"/>
              <w:rPr>
                <w:sz w:val="20"/>
                <w:szCs w:val="20"/>
                <w:color w:val="auto"/>
              </w:rPr>
            </w:pPr>
            <w:r>
              <w:rPr>
                <w:rFonts w:ascii="Arial" w:cs="Arial" w:eastAsia="Arial" w:hAnsi="Arial"/>
                <w:sz w:val="10"/>
                <w:szCs w:val="10"/>
                <w:b w:val="1"/>
                <w:bCs w:val="1"/>
                <w:color w:val="auto"/>
                <w:w w:val="98"/>
              </w:rPr>
              <w:t>Exercise of Outstanding Options, Warrants</w:t>
            </w:r>
          </w:p>
        </w:tc>
        <w:tc>
          <w:tcPr>
            <w:tcW w:w="2100" w:type="dxa"/>
            <w:vAlign w:val="bottom"/>
            <w:vMerge w:val="continue"/>
          </w:tcPr>
          <w:p>
            <w:pPr>
              <w:spacing w:after="0"/>
              <w:rPr>
                <w:sz w:val="8"/>
                <w:szCs w:val="8"/>
                <w:color w:val="auto"/>
              </w:rPr>
            </w:pPr>
          </w:p>
        </w:tc>
        <w:tc>
          <w:tcPr>
            <w:tcW w:w="224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99"/>
              </w:rPr>
              <w:t>Plans (excluding securities reflected in column</w:t>
            </w:r>
          </w:p>
        </w:tc>
        <w:tc>
          <w:tcPr>
            <w:tcW w:w="0" w:type="dxa"/>
            <w:vAlign w:val="bottom"/>
          </w:tcPr>
          <w:p>
            <w:pPr>
              <w:spacing w:after="0"/>
              <w:rPr>
                <w:sz w:val="1"/>
                <w:szCs w:val="1"/>
                <w:color w:val="auto"/>
              </w:rPr>
            </w:pPr>
          </w:p>
        </w:tc>
      </w:tr>
      <w:tr>
        <w:trPr>
          <w:trHeight w:val="136"/>
        </w:trPr>
        <w:tc>
          <w:tcPr>
            <w:tcW w:w="1720" w:type="dxa"/>
            <w:vAlign w:val="bottom"/>
            <w:vMerge w:val="continue"/>
          </w:tcPr>
          <w:p>
            <w:pPr>
              <w:spacing w:after="0"/>
              <w:rPr>
                <w:sz w:val="11"/>
                <w:szCs w:val="11"/>
                <w:color w:val="auto"/>
              </w:rPr>
            </w:pPr>
          </w:p>
        </w:tc>
        <w:tc>
          <w:tcPr>
            <w:tcW w:w="3140" w:type="dxa"/>
            <w:vAlign w:val="bottom"/>
          </w:tcPr>
          <w:p>
            <w:pPr>
              <w:jc w:val="center"/>
              <w:ind w:left="971"/>
              <w:spacing w:after="0"/>
              <w:rPr>
                <w:sz w:val="20"/>
                <w:szCs w:val="20"/>
                <w:color w:val="auto"/>
              </w:rPr>
            </w:pPr>
            <w:r>
              <w:rPr>
                <w:rFonts w:ascii="Arial" w:cs="Arial" w:eastAsia="Arial" w:hAnsi="Arial"/>
                <w:sz w:val="10"/>
                <w:szCs w:val="10"/>
                <w:b w:val="1"/>
                <w:bCs w:val="1"/>
                <w:color w:val="auto"/>
              </w:rPr>
              <w:t>and Rights</w:t>
            </w:r>
          </w:p>
        </w:tc>
        <w:tc>
          <w:tcPr>
            <w:tcW w:w="2100" w:type="dxa"/>
            <w:vAlign w:val="bottom"/>
          </w:tcPr>
          <w:p>
            <w:pPr>
              <w:jc w:val="center"/>
              <w:spacing w:after="0"/>
              <w:rPr>
                <w:sz w:val="20"/>
                <w:szCs w:val="20"/>
                <w:color w:val="auto"/>
              </w:rPr>
            </w:pPr>
            <w:r>
              <w:rPr>
                <w:rFonts w:ascii="Arial" w:cs="Arial" w:eastAsia="Arial" w:hAnsi="Arial"/>
                <w:sz w:val="10"/>
                <w:szCs w:val="10"/>
                <w:b w:val="1"/>
                <w:bCs w:val="1"/>
                <w:color w:val="auto"/>
                <w:w w:val="98"/>
              </w:rPr>
              <w:t>Outstanding Options, Warrants and Rights</w:t>
            </w:r>
          </w:p>
        </w:tc>
        <w:tc>
          <w:tcPr>
            <w:tcW w:w="2240" w:type="dxa"/>
            <w:vAlign w:val="bottom"/>
          </w:tcPr>
          <w:p>
            <w:pPr>
              <w:jc w:val="center"/>
              <w:spacing w:after="0"/>
              <w:rPr>
                <w:sz w:val="20"/>
                <w:szCs w:val="20"/>
                <w:color w:val="auto"/>
              </w:rPr>
            </w:pPr>
            <w:r>
              <w:rPr>
                <w:rFonts w:ascii="Arial" w:cs="Arial" w:eastAsia="Arial" w:hAnsi="Arial"/>
                <w:sz w:val="10"/>
                <w:szCs w:val="10"/>
                <w:b w:val="1"/>
                <w:bCs w:val="1"/>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61530" cy="114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p>
      <w:pPr>
        <w:spacing w:after="0" w:line="183" w:lineRule="exact"/>
        <w:rPr>
          <w:sz w:val="20"/>
          <w:szCs w:val="20"/>
          <w:color w:val="auto"/>
        </w:rPr>
      </w:pPr>
    </w:p>
    <w:p>
      <w:pPr>
        <w:ind w:left="20"/>
        <w:spacing w:after="0"/>
        <w:rPr>
          <w:sz w:val="20"/>
          <w:szCs w:val="20"/>
          <w:color w:val="auto"/>
        </w:rPr>
      </w:pPr>
      <w:r>
        <w:rPr>
          <w:rFonts w:ascii="Arial" w:cs="Arial" w:eastAsia="Arial" w:hAnsi="Arial"/>
          <w:sz w:val="13"/>
          <w:szCs w:val="13"/>
          <w:color w:val="auto"/>
        </w:rPr>
        <w:t>Equity compensation plans approved by security holders:</w:t>
      </w:r>
    </w:p>
    <w:p>
      <w:pPr>
        <w:spacing w:after="0" w:line="20" w:lineRule="exact"/>
        <w:rPr>
          <w:sz w:val="20"/>
          <w:szCs w:val="20"/>
          <w:color w:val="auto"/>
        </w:rPr>
      </w:pPr>
    </w:p>
    <w:p>
      <w:pPr>
        <w:ind w:left="20" w:right="160" w:firstLine="85"/>
        <w:spacing w:after="0" w:line="315" w:lineRule="auto"/>
        <w:rPr>
          <w:sz w:val="20"/>
          <w:szCs w:val="20"/>
          <w:color w:val="auto"/>
        </w:rPr>
      </w:pPr>
      <w:r>
        <w:rPr>
          <w:rFonts w:ascii="Arial" w:cs="Arial" w:eastAsia="Arial" w:hAnsi="Arial"/>
          <w:sz w:val="13"/>
          <w:szCs w:val="13"/>
          <w:color w:val="auto"/>
        </w:rPr>
        <w:t>Capital Bancorp, Inc. 2017 Stock and Incentive Compensation Plan Equity compensation plans not approved by security holders</w:t>
      </w:r>
    </w:p>
    <w:p>
      <w:pPr>
        <w:ind w:left="28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jc w:val="right"/>
              <w:ind w:right="916"/>
              <w:spacing w:after="0"/>
              <w:rPr>
                <w:sz w:val="20"/>
                <w:szCs w:val="20"/>
                <w:color w:val="auto"/>
              </w:rPr>
            </w:pPr>
            <w:r>
              <w:rPr>
                <w:rFonts w:ascii="Arial" w:cs="Arial" w:eastAsia="Arial" w:hAnsi="Arial"/>
                <w:sz w:val="13"/>
                <w:szCs w:val="13"/>
                <w:color w:val="auto"/>
              </w:rPr>
              <w:t>(a)</w:t>
            </w:r>
          </w:p>
        </w:tc>
        <w:tc>
          <w:tcPr>
            <w:tcW w:w="540" w:type="dxa"/>
            <w:vAlign w:val="bottom"/>
          </w:tcPr>
          <w:p>
            <w:pPr>
              <w:spacing w:after="0"/>
              <w:rPr>
                <w:sz w:val="14"/>
                <w:szCs w:val="14"/>
                <w:color w:val="auto"/>
              </w:rPr>
            </w:pPr>
          </w:p>
        </w:tc>
        <w:tc>
          <w:tcPr>
            <w:tcW w:w="2060" w:type="dxa"/>
            <w:vAlign w:val="bottom"/>
          </w:tcPr>
          <w:p>
            <w:pPr>
              <w:jc w:val="right"/>
              <w:ind w:right="1396"/>
              <w:spacing w:after="0"/>
              <w:rPr>
                <w:sz w:val="20"/>
                <w:szCs w:val="20"/>
                <w:color w:val="auto"/>
              </w:rPr>
            </w:pPr>
            <w:r>
              <w:rPr>
                <w:rFonts w:ascii="Arial" w:cs="Arial" w:eastAsia="Arial" w:hAnsi="Arial"/>
                <w:sz w:val="13"/>
                <w:szCs w:val="13"/>
                <w:color w:val="auto"/>
              </w:rPr>
              <w:t>(b)</w:t>
            </w:r>
          </w:p>
        </w:tc>
        <w:tc>
          <w:tcPr>
            <w:tcW w:w="1760" w:type="dxa"/>
            <w:vAlign w:val="bottom"/>
          </w:tcPr>
          <w:p>
            <w:pPr>
              <w:jc w:val="right"/>
              <w:ind w:right="996"/>
              <w:spacing w:after="0"/>
              <w:rPr>
                <w:sz w:val="20"/>
                <w:szCs w:val="20"/>
                <w:color w:val="auto"/>
              </w:rPr>
            </w:pPr>
            <w:r>
              <w:rPr>
                <w:rFonts w:ascii="Arial" w:cs="Arial" w:eastAsia="Arial" w:hAnsi="Arial"/>
                <w:sz w:val="13"/>
                <w:szCs w:val="13"/>
                <w:color w:val="auto"/>
              </w:rPr>
              <w:t>(c)</w:t>
            </w:r>
          </w:p>
        </w:tc>
      </w:tr>
      <w:tr>
        <w:trPr>
          <w:trHeight w:val="361"/>
        </w:trPr>
        <w:tc>
          <w:tcPr>
            <w:tcW w:w="2140" w:type="dxa"/>
            <w:vAlign w:val="bottom"/>
          </w:tcPr>
          <w:p>
            <w:pPr>
              <w:jc w:val="right"/>
              <w:spacing w:after="0"/>
              <w:rPr>
                <w:sz w:val="20"/>
                <w:szCs w:val="20"/>
                <w:color w:val="auto"/>
              </w:rPr>
            </w:pPr>
            <w:r>
              <w:rPr>
                <w:rFonts w:ascii="Arial" w:cs="Arial" w:eastAsia="Arial" w:hAnsi="Arial"/>
                <w:sz w:val="13"/>
                <w:szCs w:val="13"/>
                <w:color w:val="auto"/>
              </w:rPr>
              <w:t>550,718</w:t>
            </w:r>
          </w:p>
        </w:tc>
        <w:tc>
          <w:tcPr>
            <w:tcW w:w="54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2060" w:type="dxa"/>
            <w:vAlign w:val="bottom"/>
          </w:tcPr>
          <w:p>
            <w:pPr>
              <w:jc w:val="right"/>
              <w:ind w:right="496"/>
              <w:spacing w:after="0"/>
              <w:rPr>
                <w:sz w:val="20"/>
                <w:szCs w:val="20"/>
                <w:color w:val="auto"/>
              </w:rPr>
            </w:pPr>
            <w:r>
              <w:rPr>
                <w:rFonts w:ascii="Arial" w:cs="Arial" w:eastAsia="Arial" w:hAnsi="Arial"/>
                <w:sz w:val="13"/>
                <w:szCs w:val="13"/>
                <w:color w:val="auto"/>
              </w:rPr>
              <w:t>19.21</w:t>
            </w:r>
          </w:p>
        </w:tc>
        <w:tc>
          <w:tcPr>
            <w:tcW w:w="1760" w:type="dxa"/>
            <w:vAlign w:val="bottom"/>
          </w:tcPr>
          <w:p>
            <w:pPr>
              <w:jc w:val="right"/>
              <w:spacing w:after="0"/>
              <w:rPr>
                <w:sz w:val="20"/>
                <w:szCs w:val="20"/>
                <w:color w:val="auto"/>
              </w:rPr>
            </w:pPr>
            <w:r>
              <w:rPr>
                <w:rFonts w:ascii="Arial" w:cs="Arial" w:eastAsia="Arial" w:hAnsi="Arial"/>
                <w:sz w:val="13"/>
                <w:szCs w:val="13"/>
                <w:color w:val="auto"/>
              </w:rPr>
              <w:t>792,846</w:t>
            </w:r>
          </w:p>
        </w:tc>
      </w:tr>
      <w:tr>
        <w:trPr>
          <w:trHeight w:val="171"/>
        </w:trPr>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550,718</w:t>
            </w:r>
          </w:p>
        </w:tc>
        <w:tc>
          <w:tcPr>
            <w:tcW w:w="5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w:t>
            </w:r>
          </w:p>
        </w:tc>
        <w:tc>
          <w:tcPr>
            <w:tcW w:w="20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19.21</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792,846</w:t>
            </w: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-370205</wp:posOffset>
            </wp:positionV>
            <wp:extent cx="7161530" cy="1212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-140970</wp:posOffset>
            </wp:positionV>
            <wp:extent cx="7161530"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60" w:space="720"/>
            <w:col w:w="6500"/>
          </w:cols>
          <w:pgMar w:left="300" w:top="131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b w:val="1"/>
          <w:bCs w:val="1"/>
          <w:color w:val="auto"/>
        </w:rPr>
        <w:t>Unregistered Sales and Issuer Repurchases of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There were no unregistered sales of the Company’s stock during the year ended December 31, 2023.</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July 25, 2022, the Company announced a new stock repurchase program. Under the new program, the Company is authorized to repurchase up to $10.0 million of its outstanding common stock, or 500,000 shares of Common Stock, par value $0.01 per share (“Common Stock”). On April 13, 2023, the Company announced approval of up to an additional $5.0 million or 175,000 shares of Common Stock incremental to the July 2022 announcement. The program will expire on December 31, 2024. There were no stock repurchases by the Company under the repurchase program announced on July 25, 2022, prior to the quarter ended March 31, 2023. Shares repurchased and retired for the year ended December 31, 2023 as part of the Company's stock repurchase program totaled 475,346 shares at an average price of $18.57, for a total cost of $8.8 million including commissions.</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months ended December 31, 2023, the Company repurchased Common Stock under the stock repurchase program as reflected in the following table.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80" w:type="dxa"/>
            <w:vAlign w:val="bottom"/>
          </w:tcPr>
          <w:p>
            <w:pPr>
              <w:spacing w:after="0"/>
              <w:rPr>
                <w:sz w:val="10"/>
                <w:szCs w:val="10"/>
                <w:color w:val="auto"/>
              </w:rPr>
            </w:pPr>
          </w:p>
        </w:tc>
        <w:tc>
          <w:tcPr>
            <w:tcW w:w="2320" w:type="dxa"/>
            <w:vAlign w:val="bottom"/>
            <w:vMerge w:val="restart"/>
          </w:tcPr>
          <w:p>
            <w:pPr>
              <w:jc w:val="right"/>
              <w:ind w:right="103"/>
              <w:spacing w:after="0"/>
              <w:rPr>
                <w:sz w:val="20"/>
                <w:szCs w:val="20"/>
                <w:color w:val="auto"/>
              </w:rPr>
            </w:pPr>
            <w:r>
              <w:rPr>
                <w:rFonts w:ascii="Arial" w:cs="Arial" w:eastAsia="Arial" w:hAnsi="Arial"/>
                <w:sz w:val="11"/>
                <w:szCs w:val="11"/>
                <w:b w:val="1"/>
                <w:bCs w:val="1"/>
                <w:color w:val="auto"/>
              </w:rPr>
              <w:t>Total Number of Shares</w:t>
            </w: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Arial" w:cs="Arial" w:eastAsia="Arial" w:hAnsi="Arial"/>
                <w:sz w:val="11"/>
                <w:szCs w:val="11"/>
                <w:b w:val="1"/>
                <w:bCs w:val="1"/>
                <w:color w:val="auto"/>
              </w:rPr>
              <w:t>Total Number of Shares Purchased as</w:t>
            </w:r>
          </w:p>
        </w:tc>
        <w:tc>
          <w:tcPr>
            <w:tcW w:w="100" w:type="dxa"/>
            <w:vAlign w:val="bottom"/>
          </w:tcPr>
          <w:p>
            <w:pPr>
              <w:spacing w:after="0"/>
              <w:rPr>
                <w:sz w:val="10"/>
                <w:szCs w:val="10"/>
                <w:color w:val="auto"/>
              </w:rPr>
            </w:pPr>
          </w:p>
        </w:tc>
        <w:tc>
          <w:tcPr>
            <w:tcW w:w="2100" w:type="dxa"/>
            <w:vAlign w:val="bottom"/>
          </w:tcPr>
          <w:p>
            <w:pPr>
              <w:jc w:val="center"/>
              <w:ind w:right="23"/>
              <w:spacing w:after="0"/>
              <w:rPr>
                <w:sz w:val="20"/>
                <w:szCs w:val="20"/>
                <w:color w:val="auto"/>
              </w:rPr>
            </w:pPr>
            <w:r>
              <w:rPr>
                <w:rFonts w:ascii="Arial" w:cs="Arial" w:eastAsia="Arial" w:hAnsi="Arial"/>
                <w:sz w:val="11"/>
                <w:szCs w:val="11"/>
                <w:b w:val="1"/>
                <w:bCs w:val="1"/>
                <w:color w:val="auto"/>
              </w:rPr>
              <w:t>Maximum Dollar Value of Shares that</w:t>
            </w:r>
          </w:p>
        </w:tc>
        <w:tc>
          <w:tcPr>
            <w:tcW w:w="0" w:type="dxa"/>
            <w:vAlign w:val="bottom"/>
          </w:tcPr>
          <w:p>
            <w:pPr>
              <w:spacing w:after="0"/>
              <w:rPr>
                <w:sz w:val="1"/>
                <w:szCs w:val="1"/>
                <w:color w:val="auto"/>
              </w:rPr>
            </w:pPr>
          </w:p>
        </w:tc>
      </w:tr>
      <w:tr>
        <w:trPr>
          <w:trHeight w:val="112"/>
        </w:trPr>
        <w:tc>
          <w:tcPr>
            <w:tcW w:w="2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Period</w:t>
            </w:r>
          </w:p>
        </w:tc>
        <w:tc>
          <w:tcPr>
            <w:tcW w:w="2320" w:type="dxa"/>
            <w:vAlign w:val="bottom"/>
            <w:vMerge w:val="continue"/>
          </w:tcPr>
          <w:p>
            <w:pPr>
              <w:spacing w:after="0"/>
              <w:rPr>
                <w:sz w:val="9"/>
                <w:szCs w:val="9"/>
                <w:color w:val="auto"/>
              </w:rPr>
            </w:pPr>
          </w:p>
        </w:tc>
        <w:tc>
          <w:tcPr>
            <w:tcW w:w="16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Average Price Paid Per Share</w:t>
            </w:r>
          </w:p>
        </w:tc>
        <w:tc>
          <w:tcPr>
            <w:tcW w:w="212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rPr>
              <w:t>Part of Publicly Announced Plans or</w:t>
            </w:r>
          </w:p>
        </w:tc>
        <w:tc>
          <w:tcPr>
            <w:tcW w:w="2200" w:type="dxa"/>
            <w:vAlign w:val="bottom"/>
            <w:gridSpan w:val="2"/>
          </w:tcPr>
          <w:p>
            <w:pPr>
              <w:jc w:val="center"/>
              <w:spacing w:after="0" w:line="113" w:lineRule="exact"/>
              <w:rPr>
                <w:sz w:val="20"/>
                <w:szCs w:val="20"/>
                <w:color w:val="auto"/>
              </w:rPr>
            </w:pPr>
            <w:r>
              <w:rPr>
                <w:rFonts w:ascii="Arial" w:cs="Arial" w:eastAsia="Arial" w:hAnsi="Arial"/>
                <w:sz w:val="11"/>
                <w:szCs w:val="11"/>
                <w:b w:val="1"/>
                <w:bCs w:val="1"/>
                <w:color w:val="auto"/>
              </w:rPr>
              <w:t>May Yet Be Purchased Under the Plans</w:t>
            </w:r>
          </w:p>
        </w:tc>
        <w:tc>
          <w:tcPr>
            <w:tcW w:w="0" w:type="dxa"/>
            <w:vAlign w:val="bottom"/>
          </w:tcPr>
          <w:p>
            <w:pPr>
              <w:spacing w:after="0"/>
              <w:rPr>
                <w:sz w:val="1"/>
                <w:szCs w:val="1"/>
                <w:color w:val="auto"/>
              </w:rPr>
            </w:pPr>
          </w:p>
        </w:tc>
      </w:tr>
      <w:tr>
        <w:trPr>
          <w:trHeight w:val="149"/>
        </w:trPr>
        <w:tc>
          <w:tcPr>
            <w:tcW w:w="2980" w:type="dxa"/>
            <w:vAlign w:val="bottom"/>
            <w:vMerge w:val="continue"/>
          </w:tcPr>
          <w:p>
            <w:pPr>
              <w:spacing w:after="0"/>
              <w:rPr>
                <w:sz w:val="12"/>
                <w:szCs w:val="12"/>
                <w:color w:val="auto"/>
              </w:rPr>
            </w:pPr>
          </w:p>
        </w:tc>
        <w:tc>
          <w:tcPr>
            <w:tcW w:w="2320" w:type="dxa"/>
            <w:vAlign w:val="bottom"/>
          </w:tcPr>
          <w:p>
            <w:pPr>
              <w:jc w:val="right"/>
              <w:ind w:right="463"/>
              <w:spacing w:after="0"/>
              <w:rPr>
                <w:sz w:val="20"/>
                <w:szCs w:val="20"/>
                <w:color w:val="auto"/>
              </w:rPr>
            </w:pPr>
            <w:r>
              <w:rPr>
                <w:rFonts w:ascii="Arial" w:cs="Arial" w:eastAsia="Arial" w:hAnsi="Arial"/>
                <w:sz w:val="11"/>
                <w:szCs w:val="11"/>
                <w:b w:val="1"/>
                <w:bCs w:val="1"/>
                <w:color w:val="auto"/>
              </w:rPr>
              <w:t>Purchased</w:t>
            </w:r>
          </w:p>
        </w:tc>
        <w:tc>
          <w:tcPr>
            <w:tcW w:w="1660" w:type="dxa"/>
            <w:vAlign w:val="bottom"/>
            <w:gridSpan w:val="2"/>
            <w:vMerge w:val="continue"/>
          </w:tcPr>
          <w:p>
            <w:pPr>
              <w:spacing w:after="0"/>
              <w:rPr>
                <w:sz w:val="12"/>
                <w:szCs w:val="12"/>
                <w:color w:val="auto"/>
              </w:rPr>
            </w:pPr>
          </w:p>
        </w:tc>
        <w:tc>
          <w:tcPr>
            <w:tcW w:w="2120" w:type="dxa"/>
            <w:vAlign w:val="bottom"/>
          </w:tcPr>
          <w:p>
            <w:pPr>
              <w:jc w:val="center"/>
              <w:spacing w:after="0"/>
              <w:rPr>
                <w:sz w:val="20"/>
                <w:szCs w:val="20"/>
                <w:color w:val="auto"/>
              </w:rPr>
            </w:pPr>
            <w:r>
              <w:rPr>
                <w:rFonts w:ascii="Arial" w:cs="Arial" w:eastAsia="Arial" w:hAnsi="Arial"/>
                <w:sz w:val="11"/>
                <w:szCs w:val="11"/>
                <w:b w:val="1"/>
                <w:bCs w:val="1"/>
                <w:color w:val="auto"/>
              </w:rPr>
              <w:t>Programs</w:t>
            </w:r>
          </w:p>
        </w:tc>
        <w:tc>
          <w:tcPr>
            <w:tcW w:w="100" w:type="dxa"/>
            <w:vAlign w:val="bottom"/>
          </w:tcPr>
          <w:p>
            <w:pPr>
              <w:spacing w:after="0"/>
              <w:rPr>
                <w:sz w:val="12"/>
                <w:szCs w:val="12"/>
                <w:color w:val="auto"/>
              </w:rPr>
            </w:pPr>
          </w:p>
        </w:tc>
        <w:tc>
          <w:tcPr>
            <w:tcW w:w="2100" w:type="dxa"/>
            <w:vAlign w:val="bottom"/>
          </w:tcPr>
          <w:p>
            <w:pPr>
              <w:jc w:val="center"/>
              <w:ind w:right="23"/>
              <w:spacing w:after="0"/>
              <w:rPr>
                <w:sz w:val="20"/>
                <w:szCs w:val="20"/>
                <w:color w:val="auto"/>
              </w:rPr>
            </w:pPr>
            <w:r>
              <w:rPr>
                <w:rFonts w:ascii="Arial" w:cs="Arial" w:eastAsia="Arial" w:hAnsi="Arial"/>
                <w:sz w:val="11"/>
                <w:szCs w:val="11"/>
                <w:b w:val="1"/>
                <w:bCs w:val="1"/>
                <w:color w:val="auto"/>
              </w:rPr>
              <w:t>or Programs</w:t>
            </w:r>
          </w:p>
        </w:tc>
        <w:tc>
          <w:tcPr>
            <w:tcW w:w="0" w:type="dxa"/>
            <w:vAlign w:val="bottom"/>
          </w:tcPr>
          <w:p>
            <w:pPr>
              <w:spacing w:after="0"/>
              <w:rPr>
                <w:sz w:val="1"/>
                <w:szCs w:val="1"/>
                <w:color w:val="auto"/>
              </w:rPr>
            </w:pPr>
          </w:p>
        </w:tc>
      </w:tr>
      <w:tr>
        <w:trPr>
          <w:trHeight w:val="159"/>
        </w:trPr>
        <w:tc>
          <w:tcPr>
            <w:tcW w:w="2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October 1, 2023 to October 31, 2023</w:t>
            </w:r>
          </w:p>
        </w:tc>
        <w:tc>
          <w:tcPr>
            <w:tcW w:w="2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19,830</w:t>
            </w:r>
          </w:p>
        </w:tc>
        <w:tc>
          <w:tcPr>
            <w:tcW w:w="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19.75</w:t>
            </w:r>
          </w:p>
        </w:tc>
        <w:tc>
          <w:tcPr>
            <w:tcW w:w="2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405,749</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7,615,183</w:t>
            </w:r>
          </w:p>
        </w:tc>
        <w:tc>
          <w:tcPr>
            <w:tcW w:w="0" w:type="dxa"/>
            <w:vAlign w:val="bottom"/>
          </w:tcPr>
          <w:p>
            <w:pPr>
              <w:spacing w:after="0"/>
              <w:rPr>
                <w:sz w:val="1"/>
                <w:szCs w:val="1"/>
                <w:color w:val="auto"/>
              </w:rPr>
            </w:pPr>
          </w:p>
        </w:tc>
      </w:tr>
      <w:tr>
        <w:trPr>
          <w:trHeight w:val="156"/>
        </w:trPr>
        <w:tc>
          <w:tcPr>
            <w:tcW w:w="2980" w:type="dxa"/>
            <w:vAlign w:val="bottom"/>
          </w:tcPr>
          <w:p>
            <w:pPr>
              <w:ind w:left="20"/>
              <w:spacing w:after="0"/>
              <w:rPr>
                <w:sz w:val="20"/>
                <w:szCs w:val="20"/>
                <w:color w:val="auto"/>
              </w:rPr>
            </w:pPr>
            <w:r>
              <w:rPr>
                <w:rFonts w:ascii="Arial" w:cs="Arial" w:eastAsia="Arial" w:hAnsi="Arial"/>
                <w:sz w:val="11"/>
                <w:szCs w:val="11"/>
                <w:color w:val="auto"/>
              </w:rPr>
              <w:t>November 1, 2023 to November 30, 2023</w:t>
            </w:r>
          </w:p>
        </w:tc>
        <w:tc>
          <w:tcPr>
            <w:tcW w:w="2320" w:type="dxa"/>
            <w:vAlign w:val="bottom"/>
          </w:tcPr>
          <w:p>
            <w:pPr>
              <w:jc w:val="right"/>
              <w:spacing w:after="0"/>
              <w:rPr>
                <w:sz w:val="20"/>
                <w:szCs w:val="20"/>
                <w:color w:val="auto"/>
              </w:rPr>
            </w:pPr>
            <w:r>
              <w:rPr>
                <w:rFonts w:ascii="Arial" w:cs="Arial" w:eastAsia="Arial" w:hAnsi="Arial"/>
                <w:sz w:val="11"/>
                <w:szCs w:val="11"/>
                <w:color w:val="auto"/>
              </w:rPr>
              <w:t>53,562</w:t>
            </w:r>
          </w:p>
        </w:tc>
        <w:tc>
          <w:tcPr>
            <w:tcW w:w="700" w:type="dxa"/>
            <w:vAlign w:val="bottom"/>
          </w:tcPr>
          <w:p>
            <w:pPr>
              <w:spacing w:after="0"/>
              <w:rPr>
                <w:sz w:val="13"/>
                <w:szCs w:val="13"/>
                <w:color w:val="auto"/>
              </w:rPr>
            </w:pPr>
          </w:p>
        </w:tc>
        <w:tc>
          <w:tcPr>
            <w:tcW w:w="960" w:type="dxa"/>
            <w:vAlign w:val="bottom"/>
          </w:tcPr>
          <w:p>
            <w:pPr>
              <w:jc w:val="right"/>
              <w:ind w:right="23"/>
              <w:spacing w:after="0"/>
              <w:rPr>
                <w:sz w:val="20"/>
                <w:szCs w:val="20"/>
                <w:color w:val="auto"/>
              </w:rPr>
            </w:pPr>
            <w:r>
              <w:rPr>
                <w:rFonts w:ascii="Arial" w:cs="Arial" w:eastAsia="Arial" w:hAnsi="Arial"/>
                <w:sz w:val="11"/>
                <w:szCs w:val="11"/>
                <w:color w:val="auto"/>
              </w:rPr>
              <w:t>20.40</w:t>
            </w:r>
          </w:p>
        </w:tc>
        <w:tc>
          <w:tcPr>
            <w:tcW w:w="2120" w:type="dxa"/>
            <w:vAlign w:val="bottom"/>
          </w:tcPr>
          <w:p>
            <w:pPr>
              <w:jc w:val="right"/>
              <w:spacing w:after="0"/>
              <w:rPr>
                <w:sz w:val="20"/>
                <w:szCs w:val="20"/>
                <w:color w:val="auto"/>
              </w:rPr>
            </w:pPr>
            <w:r>
              <w:rPr>
                <w:rFonts w:ascii="Arial" w:cs="Arial" w:eastAsia="Arial" w:hAnsi="Arial"/>
                <w:sz w:val="11"/>
                <w:szCs w:val="11"/>
                <w:color w:val="auto"/>
              </w:rPr>
              <w:t>459,311</w:t>
            </w:r>
          </w:p>
        </w:tc>
        <w:tc>
          <w:tcPr>
            <w:tcW w:w="100" w:type="dxa"/>
            <w:vAlign w:val="bottom"/>
          </w:tcPr>
          <w:p>
            <w:pPr>
              <w:spacing w:after="0"/>
              <w:rPr>
                <w:sz w:val="13"/>
                <w:szCs w:val="13"/>
                <w:color w:val="auto"/>
              </w:rPr>
            </w:pPr>
          </w:p>
        </w:tc>
        <w:tc>
          <w:tcPr>
            <w:tcW w:w="2100" w:type="dxa"/>
            <w:vAlign w:val="bottom"/>
          </w:tcPr>
          <w:p>
            <w:pPr>
              <w:jc w:val="right"/>
              <w:ind w:right="3"/>
              <w:spacing w:after="0"/>
              <w:rPr>
                <w:sz w:val="20"/>
                <w:szCs w:val="20"/>
                <w:color w:val="auto"/>
              </w:rPr>
            </w:pPr>
            <w:r>
              <w:rPr>
                <w:rFonts w:ascii="Arial" w:cs="Arial" w:eastAsia="Arial" w:hAnsi="Arial"/>
                <w:sz w:val="11"/>
                <w:szCs w:val="11"/>
                <w:color w:val="auto"/>
              </w:rPr>
              <w:t>6,522,616</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December 1, 2023 to December 31, 2023</w:t>
            </w:r>
          </w:p>
        </w:tc>
        <w:tc>
          <w:tcPr>
            <w:tcW w:w="2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16,035</w:t>
            </w: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21.86</w:t>
            </w:r>
          </w:p>
        </w:tc>
        <w:tc>
          <w:tcPr>
            <w:tcW w:w="2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475,346</w:t>
            </w:r>
          </w:p>
        </w:tc>
        <w:tc>
          <w:tcPr>
            <w:tcW w:w="100" w:type="dxa"/>
            <w:vAlign w:val="bottom"/>
            <w:shd w:val="clear" w:color="auto" w:fill="CCEEFF"/>
          </w:tcPr>
          <w:p>
            <w:pPr>
              <w:spacing w:after="0"/>
              <w:rPr>
                <w:sz w:val="14"/>
                <w:szCs w:val="14"/>
                <w:color w:val="auto"/>
              </w:rPr>
            </w:pPr>
          </w:p>
        </w:tc>
        <w:tc>
          <w:tcPr>
            <w:tcW w:w="2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6,172,016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6. [Reserved]</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7. MANAGEMENT’S DISCUSSION AND ANALYSIS OF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Introduction</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This Management’s Discussion and Analysis of Financial Condition and Results of Operations (“MD&amp;A”) is intended as a review of significant factors affecting the Company’s financial condition and results of operations for the periods indicated. This discussion and analysis should be read in conjunction with the accompanying consolidated financial statements and the related notes.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This document contains non-GAAP financial measures denoted throughout our MD&amp;A by reference to “non-GAAP.” We believe these non-GAAP financial measures provide useful information to investors because they are used by management to evaluate our operating performance and make day-to-day operating decisions. In addition, we believe our non-GAAP results in any given reporting period reflect our on-going financial performance in that period and, accordingly, are useful to consider in addition to our GAAP financial results. We further believe the presentation of non-GAAP results increases comparability of period-to-period results.</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Other companies may use similarly titled non-GAAP financial measures that may be calculated differently from the way we calculate such measures. Accordingly, our non-GAAP financial measures may not be comparable to similar measures used by such companies. We caution investors not to place undue reliance on such non-GAAP financial measures, but to consider them with the most directly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36" w:name="page37"/>
    <w:bookmarkEnd w:id="36"/>
    <w:p>
      <w:pPr>
        <w:jc w:val="both"/>
        <w:spacing w:after="0" w:line="290" w:lineRule="auto"/>
        <w:rPr>
          <w:sz w:val="20"/>
          <w:szCs w:val="20"/>
          <w:color w:val="auto"/>
        </w:rPr>
      </w:pPr>
      <w:r>
        <w:rPr>
          <w:rFonts w:ascii="Arial" w:cs="Arial" w:eastAsia="Arial" w:hAnsi="Arial"/>
          <w:sz w:val="14"/>
          <w:szCs w:val="14"/>
          <w:color w:val="auto"/>
        </w:rPr>
        <w:t>comparable GAAP measures. Non-GAAP financial measures have limitations as analytical tools and should not be considered in isolation or as a substitute for our results reported under GAAP.</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on the computation of non-GAAP financial measures, see “Non-GAAP Financial Measures and Reconciliations.”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Performance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summary should be read in conjunction with the MD&amp;A section in its entirety.</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Net income of $35.9 million for the year ended December 31, 2023 decreased $5.9 million, or 14.2% when compared to the prior year. Net interest income of $141.5 million increased $0.9 million from the prior year primarily due to increased average balances of $235.9 million in portfolio loans combined with a 71 basis point increase in yield for portfolio loans, offset by significant increases in the cost of funding.</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net interest margin decreased 32 basis points to 6.60% for the year ended December 31, 2023 compared to 6.92% for the prior year as the elevated interest rate environment increased the overall cost of interest-bearing liabilities decreasing the net interest spread to 5.25% for the year ended December 31, 2023 compared to 6.46% for the prior year. Net interest margin, as adjusted (non-GAAP, excluding credit card and SBA-PPP loans), was 3.96% for the year ended December 31, 2023, compared to 3.93% for the prior year. For the year ended December 31, 2023, average interest earning assets increased $112.0 million, or 5.5%, to $2.1 billion as compared to the same period in 2022, and the average yield on interest earning assets increased 113 basis points. The yield on portfolio loans, as adjusted (non-GAAP, excluding credit card loans) was 6.66% for the year ended December 31, 2023, compared to 5.31% for the prior year. Compared to the same period in the prior year, average interest-bearing liabilities increased $209.1 million, or 19.7%, while the average cost of interest-bearing liabilities increased 234 basis points to 3.29% from 0.95%. For additional details, see “Non-GAAP Financial Measures and Reconciliations.”</w:t>
      </w:r>
    </w:p>
    <w:p>
      <w:pPr>
        <w:spacing w:after="0" w:line="31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For the year ended December 31, 2023, the provision for credit losses was $9.6 million, an increase of $3.0 million from the prior year, attributable primarily to the credit card portfolio. Net charge-offs for the year ended December 31, 2023 were $8.5 million, or 0.47% of average portfolio loans, compared to $5.4 million, or 0.34% of average portfolio loans, for the same period in 2022. The $8.5 million in net charge-offs during the year ended December 31, 2023 was comprised primarily of credit card portfolio net charge-offs, with $5.5 million related to secured and partially secured cards while $1.4 million was related to unsecured cards.</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For the year ended December 31, 2023, noninterest income of $25.0 million decreased $4.4 million, or 15.0%, from the same period in 2022. The decrease was primarily driven by the decline in credit card fees of $4.7 million as the number of open customer accounts declined to 525,314 at December 31, 2023 from 533,855 year over year, which resulted in lower interchange and other fee income recognized compared to the prior year.</w:t>
      </w:r>
    </w:p>
    <w:p>
      <w:pPr>
        <w:spacing w:after="0" w:line="13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For the year ended December 31, 2023, noninterest expense of $110.8 million increased $1.7 million, or 1.5%, from the same period in 2022. The increase was primarily driven by a $5.9 million, or 13.7%, increase in salaries and employee benefits and a $0.8 million, or 16.6%, increase in occupancy and equipment, partially offset by a $3.7 million, or 12.7%, decrease in data processing expense and a $1.7 million, or 15.8%, decrease in professional fees due to a reduction in third party consulting fees. The decrease in data processing expense was the result of a contract renegotiation entered into in the first quarter 2022 in the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Division as well as fewer average open cards during the period.</w:t>
      </w:r>
    </w:p>
    <w:p>
      <w:pPr>
        <w:spacing w:after="0" w:line="8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Total assets at December 31, 2023 were $2.2 billion, an increase of $102.5 million, or 4.8%, from the balance at December 31, 2022. Net portfolio loans, which exclude mortgage loans held for sale and SBA-PPP loans, totaled $1.9 billion at December 31, 2023, an increase of $174.1 million, or 10.1%, compared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37" w:name="page38"/>
    <w:bookmarkEnd w:id="37"/>
    <w:p>
      <w:pPr>
        <w:jc w:val="both"/>
        <w:spacing w:after="0" w:line="271" w:lineRule="auto"/>
        <w:rPr>
          <w:sz w:val="20"/>
          <w:szCs w:val="20"/>
          <w:color w:val="auto"/>
        </w:rPr>
      </w:pPr>
      <w:r>
        <w:rPr>
          <w:rFonts w:ascii="Arial" w:cs="Arial" w:eastAsia="Arial" w:hAnsi="Arial"/>
          <w:sz w:val="14"/>
          <w:szCs w:val="14"/>
          <w:color w:val="auto"/>
        </w:rPr>
        <w:t>to $1.7 billion at December 31, 2022. Total liabilities at December 31, 2023 were $ 2.0 billion, an increase of $71.7 million, or 3.8%, from the balance at December 31, 2022. Total liability growth was primarily due to a $137.9 million increase in deposits partially offset by a decrease in Federal Home Loan Bank advances of $85.0 million when comparing December 31, 2023 to December 31, 2022. Stockholders’ equity increased to $254.9 million as of December 31, 2023, compared to $224.0 million at December 31, 2022.</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Deposits were $1.9 billion at December 31, 2023, an increase of $ 137.9 million, or 7.8%, from the balance at December 31, 2022. Average deposits of $1.9 billion for the year ended December 31, 2023 increased $100.4 million, or 5.7%, as compared to the prior year. Rising interest rates have resulted in some customers moving balances from noninterest-bearing deposit accounts to interest-bearing deposit accounts. As a result of the migration, average noninterest-bearing deposit balances decreased $127.0 million to $655.0 million, or 35.1% of total average deposits for the year ended December 31, 2023, as compared to $782.0 million, or 44.3% of total average deposits for the prior year.</w:t>
      </w:r>
    </w:p>
    <w:p>
      <w:pPr>
        <w:spacing w:after="0" w:line="136"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 Bank’s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Division contributed $29.3 million of income before taxes for the year ended December 31, 2023, a decrease of $2.2 million for the segment from the prior year. Average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loan balances, net of reserves and deferred fees of $114.5 million for the year ended December 31, 2023 decreased $12.0 million, or 9.5%, as compared to the prior year.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loan balances, net of reserves, of $123.3 million at December 31, 2023 decreased by $5.1 million, or 4.0%, compared to $128.4 million at December 31, 2022. Corresponding deposit balances of $173.9 million at December 31, 2023 decreased $13.6 million, or 7.2%, compared to $187.4 million at December 31, 2022. Gross unsecured loan balances of $ 30.8 million at December 31, 2023 increased $4.0 million, or 15.0%, compared to $26.8 million at December 31, 2022. For the year ended December 31, 2023, noninterest income of $17.3 million decreased $4.6 million due to a decline in credit card fees as compared to the prior year. Active customer accounts of 525,314 at December 31, 2023 decreased from 533,855 at December 31, 2022 leading to a decline in revenues earned from interchange and other fees.</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Bank’s Capital Bank Home Loans division contributed a net loss before taxes of $0.8 million for the year ended December 31, 2023 as compared to a net loss before taxes of $3.0 million in the prior year. The Bank’s Capital Bank Home Loans division saw a decline in mortgage originations during the year ended December 31, 2023 when compared to the prior year. A rising interest rate environment dampened home loan sales and home loan refinances. Gain on sale margins, were up from 2.34% for the twelve months ended December 31, 2022, to 2.76% for the twelve months ended December 31, 2023. Historically-low housing inventory and increasing interest rates are likely to continue suppressing origination volumes.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accounting and reporting policies of the Company are in accordance with GAAP and conform to general practices within the banking industry. The Company’s financial position and results of operations are affected by management’s application of accounting policies, including estimates, assumptions, and judgments made to arrive at the carrying value of assets and liabilities and amounts reported for revenues, expenses, and related disclosures. Different assumptions in the application of these policies could result in material changes in the Company’s consolidated financial position and/or results of operations. The Company evaluates its critical accounting estimates and assumptions on an ongoing basis and updates them, as deemed necessary. Management has discussed the Company’s critical accounting policies and estimates with the Audit Committee of the Company’s Board of Directors.</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Company’s accounting policies are fundamental to understanding the Company’s consolidated financial position and consolidated results of operations. Accordingly, the Company’s significant accounting policies are discussed in detail in “Note 1 - Nature of Business and Basis of Presentation” in the “Notes to the Consolidated Financial Statements” contained in Part II, 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38" w:name="page39"/>
    <w:bookmarkEnd w:id="38"/>
    <w:p>
      <w:pPr>
        <w:jc w:val="both"/>
        <w:spacing w:after="0" w:line="290" w:lineRule="auto"/>
        <w:rPr>
          <w:sz w:val="20"/>
          <w:szCs w:val="20"/>
          <w:color w:val="auto"/>
        </w:rPr>
      </w:pPr>
      <w:r>
        <w:rPr>
          <w:rFonts w:ascii="Arial" w:cs="Arial" w:eastAsia="Arial" w:hAnsi="Arial"/>
          <w:sz w:val="14"/>
          <w:szCs w:val="14"/>
          <w:color w:val="auto"/>
        </w:rPr>
        <w:t>The critical accounting and reporting policies include the Company’s accounting for the ACL. The Company provides additional information on its ACL in “Note 1 - Nature of Business and Basis of Presentation” in the “Notes to the Consolidated Financial Statements” contained in Part II, Item 8 "Financial Statements and Supplementary Data.”</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For a discussion of Recent Accounting Pronouncements, see “Part II, Item 8. Financial Statements and Supplementary Data - Notes to Financial Statements - Note 1. Summary of Significant Accounting Policies.”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for the Years Ended December 31, 2023 and 2022</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Income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principal components of net income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177"/>
              <w:spacing w:after="0"/>
              <w:rPr>
                <w:sz w:val="20"/>
                <w:szCs w:val="20"/>
                <w:color w:val="auto"/>
              </w:rPr>
            </w:pPr>
            <w:r>
              <w:rPr>
                <w:rFonts w:ascii="Arial" w:cs="Arial" w:eastAsia="Arial" w:hAnsi="Arial"/>
                <w:sz w:val="11"/>
                <w:szCs w:val="11"/>
                <w:b w:val="1"/>
                <w:bCs w:val="1"/>
                <w:color w:val="auto"/>
              </w:rPr>
              <w:t>Years Ended December 31,</w:t>
            </w: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50"/>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57"/>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 Change</w:t>
            </w:r>
          </w:p>
        </w:tc>
      </w:tr>
      <w:tr>
        <w:trPr>
          <w:trHeight w:val="161"/>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183,206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150,646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21.6 %</w:t>
            </w:r>
          </w:p>
        </w:tc>
      </w:tr>
      <w:tr>
        <w:trPr>
          <w:trHeight w:val="16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Interest expense</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41,680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10,039</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315.2 %</w:t>
            </w:r>
          </w:p>
        </w:tc>
      </w:tr>
      <w:tr>
        <w:trPr>
          <w:trHeight w:val="162"/>
        </w:trPr>
        <w:tc>
          <w:tcPr>
            <w:tcW w:w="64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Net interest income</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141,526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140,607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0.7 %</w:t>
            </w:r>
          </w:p>
        </w:tc>
      </w:tr>
      <w:tr>
        <w:trPr>
          <w:trHeight w:val="169"/>
        </w:trPr>
        <w:tc>
          <w:tcPr>
            <w:tcW w:w="6420" w:type="dxa"/>
            <w:vAlign w:val="bottom"/>
          </w:tcPr>
          <w:p>
            <w:pPr>
              <w:ind w:left="20"/>
              <w:spacing w:after="0"/>
              <w:rPr>
                <w:sz w:val="20"/>
                <w:szCs w:val="20"/>
                <w:color w:val="auto"/>
              </w:rPr>
            </w:pPr>
            <w:r>
              <w:rPr>
                <w:rFonts w:ascii="Arial" w:cs="Arial" w:eastAsia="Arial" w:hAnsi="Arial"/>
                <w:sz w:val="13"/>
                <w:szCs w:val="13"/>
                <w:color w:val="auto"/>
              </w:rPr>
              <w:t>Provision for credit losses</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9,610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6,631</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44.9 %</w:t>
            </w:r>
          </w:p>
        </w:tc>
      </w:tr>
      <w:tr>
        <w:trPr>
          <w:trHeight w:val="171"/>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Release of credit losses on unfunded commitments</w:t>
            </w: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0.0 %</w:t>
            </w:r>
          </w:p>
        </w:tc>
      </w:tr>
      <w:tr>
        <w:trPr>
          <w:trHeight w:val="160"/>
        </w:trPr>
        <w:tc>
          <w:tcPr>
            <w:tcW w:w="6420" w:type="dxa"/>
            <w:vAlign w:val="bottom"/>
          </w:tcPr>
          <w:p>
            <w:pPr>
              <w:ind w:left="180"/>
              <w:spacing w:after="0"/>
              <w:rPr>
                <w:sz w:val="20"/>
                <w:szCs w:val="20"/>
                <w:color w:val="auto"/>
              </w:rPr>
            </w:pPr>
            <w:r>
              <w:rPr>
                <w:rFonts w:ascii="Arial" w:cs="Arial" w:eastAsia="Arial" w:hAnsi="Arial"/>
                <w:sz w:val="13"/>
                <w:szCs w:val="13"/>
                <w:b w:val="1"/>
                <w:bCs w:val="1"/>
                <w:color w:val="auto"/>
              </w:rPr>
              <w:t>Net interest income after provision for credit losses</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132,017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133,976</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-1.5 %</w:t>
            </w:r>
          </w:p>
        </w:tc>
      </w:tr>
      <w:tr>
        <w:trPr>
          <w:trHeight w:val="170"/>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Noninterest income</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24,975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29,372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-15.0 %</w:t>
            </w:r>
          </w:p>
        </w:tc>
      </w:tr>
      <w:tr>
        <w:trPr>
          <w:trHeight w:val="16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Noninterest expense</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110,767</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109,114</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1.5 %</w:t>
            </w:r>
          </w:p>
        </w:tc>
      </w:tr>
      <w:tr>
        <w:trPr>
          <w:trHeight w:val="162"/>
        </w:trPr>
        <w:tc>
          <w:tcPr>
            <w:tcW w:w="64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Net income before income taxes</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46,225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54,234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-14.8 %</w:t>
            </w:r>
          </w:p>
        </w:tc>
      </w:tr>
      <w:tr>
        <w:trPr>
          <w:trHeight w:val="16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10,354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12,430</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(16.7)%</w:t>
            </w:r>
          </w:p>
        </w:tc>
      </w:tr>
      <w:tr>
        <w:trPr>
          <w:trHeight w:val="182"/>
        </w:trPr>
        <w:tc>
          <w:tcPr>
            <w:tcW w:w="64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Net income</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35,871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41,804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-14.2 %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Net income of $35.9 million for the year ended December 31, 2023 decreased $5.9 million, compared to net income of $41.8 million for the year ended December 31, 2022. The increase in net interest income was primarily due to the increase in average loans outstanding in the loan portfolio year over year offset by significant increases in the cost of funding. The increase in the provision for credit losses was primarily related to credit card portfolio net charge-offs. Noninterest income decreased year over year primarily driven by a decline in credit card fees of $4.7 million as the number of open accounts declined resulting in lower comparable interchange and other fee income recognized in 2023. Noninterest expense remained stable increasing 1.5% year over year as salaries and employee benefits increased $5.9 million partially offset by a $3.7 million decrease in data processing expense and a $1.7 million decrease in professional fees.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Interest Income and Net Margin Analysis</w:t>
      </w:r>
    </w:p>
    <w:p>
      <w:pPr>
        <w:spacing w:after="0" w:line="177" w:lineRule="exact"/>
        <w:rPr>
          <w:sz w:val="20"/>
          <w:szCs w:val="20"/>
          <w:color w:val="auto"/>
        </w:rPr>
      </w:pPr>
    </w:p>
    <w:p>
      <w:pPr>
        <w:jc w:val="both"/>
        <w:ind w:right="40"/>
        <w:spacing w:after="0" w:line="265" w:lineRule="auto"/>
        <w:rPr>
          <w:sz w:val="20"/>
          <w:szCs w:val="20"/>
          <w:color w:val="auto"/>
        </w:rPr>
      </w:pPr>
      <w:r>
        <w:rPr>
          <w:rFonts w:ascii="Arial" w:cs="Arial" w:eastAsia="Arial" w:hAnsi="Arial"/>
          <w:sz w:val="14"/>
          <w:szCs w:val="14"/>
          <w:color w:val="auto"/>
        </w:rPr>
        <w:t>Net interest income is the difference between interest income on earning assets and the cost of funds supporting those assets. Interest earning assets are composed primarily of loans, loans held for sale, investment securities, and interest-bearing deposits with banks. The cost of funds represents interest expense on deposits and borrowings, which consist of federal funds purchased, advances from the Federal Home Loan Bank (“FHLB”), advances from the Federal Reserve Bank’s Bank Term Funding Program (“BTFP”) and subordinated notes. Noninterest-bearing deposits and capital also provide sources of funding.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We analyze our ability to maximize income generated from interest earning assets and control the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39" w:name="page40"/>
    <w:bookmarkEnd w:id="39"/>
    <w:p>
      <w:pPr>
        <w:jc w:val="both"/>
        <w:ind w:right="40"/>
        <w:spacing w:after="0" w:line="271" w:lineRule="auto"/>
        <w:rPr>
          <w:sz w:val="20"/>
          <w:szCs w:val="20"/>
          <w:color w:val="auto"/>
        </w:rPr>
      </w:pPr>
      <w:r>
        <w:rPr>
          <w:rFonts w:ascii="Arial" w:cs="Arial" w:eastAsia="Arial" w:hAnsi="Arial"/>
          <w:sz w:val="14"/>
          <w:szCs w:val="14"/>
          <w:color w:val="auto"/>
        </w:rPr>
        <w:t>interest expenses associated with our liabilities, measured as net interest income, through our net interest margin and net interest spread. Net interest margin is a ratio calculated as net interest income divided by average interest earning assets for the same period. Net interest spread is the difference between average interest rates earned on interest earning assets and average interest rates paid on interest-bearing liabilities.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Changes in market interest rates and the interest rates we earn on interest earning assets or pay on interest-bearing liabilities, as well as in the volume and mix of interest earning assets, interest-bearing and noninterest-bearing liabilities and stockholders’ equity, are usually the largest drivers of periodic changes in net interest income, net interest margin and net interest spread. Fluctuations in market interest rates are driven by many factors, including governmental monetary policies, inflation, deflation, macroeconomic 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the Washington, D.C. and Baltimore metropolitan areas, as well as developments affecting the real estate, technology, government services, hospitality and tourism and financial services sectors within our target markets and throughout the Washington, D.C. and Baltimore metropolitan areas. Our ability to respond to changes in these factors by using effective asset-liability management techniques is critical to maintaining the stability of net interest income and net interest margin.</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table below presents the average balances and weighted average rates of the major categories of the Company’s assets, liabilities and stockholders’ equity for the years ended December 31, 2023 and 2022. Weighted average yields are derived by dividing income by the average balance of the related assets, and weighted average rates are derived by dividing expense by the average balance of the related liabilities, for the periods shown. Average outstanding balances are derived by utilizing average daily balances for the time periods shown. The weighted average yields and rates include amortization of fees, costs, premiums and discounts, which are considered adjustments to yield/rates. Weighted average yields on tax-exempt securities are not calculated on a fully taxable equivalent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40" w:name="page41"/>
    <w:bookmarkEnd w:id="40"/>
    <w:p>
      <w:pPr>
        <w:jc w:val="center"/>
        <w:spacing w:after="0"/>
        <w:rPr>
          <w:sz w:val="20"/>
          <w:szCs w:val="20"/>
          <w:color w:val="auto"/>
        </w:rPr>
      </w:pPr>
      <w:r>
        <w:rPr>
          <w:rFonts w:ascii="Arial" w:cs="Arial" w:eastAsia="Arial" w:hAnsi="Arial"/>
          <w:sz w:val="14"/>
          <w:szCs w:val="14"/>
          <w:b w:val="1"/>
          <w:bCs w:val="1"/>
          <w:color w:val="auto"/>
        </w:rPr>
        <w:t>AVERAGE BALANCE SHEET AND NET INTEREST ANALYSIS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5"/>
          </w:tcPr>
          <w:p>
            <w:pPr>
              <w:ind w:left="440"/>
              <w:spacing w:after="0"/>
              <w:rPr>
                <w:sz w:val="20"/>
                <w:szCs w:val="20"/>
                <w:color w:val="auto"/>
              </w:rPr>
            </w:pPr>
            <w:r>
              <w:rPr>
                <w:rFonts w:ascii="Arial" w:cs="Arial" w:eastAsia="Arial" w:hAnsi="Arial"/>
                <w:sz w:val="11"/>
                <w:szCs w:val="11"/>
                <w:b w:val="1"/>
                <w:bCs w:val="1"/>
                <w:color w:val="auto"/>
              </w:rPr>
              <w:t>Years Ended December 31,</w:t>
            </w: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2023</w:t>
            </w: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gridSpan w:val="2"/>
          </w:tcPr>
          <w:p>
            <w:pPr>
              <w:jc w:val="center"/>
              <w:ind w:right="340"/>
              <w:spacing w:after="0" w:line="112" w:lineRule="exact"/>
              <w:rPr>
                <w:sz w:val="20"/>
                <w:szCs w:val="20"/>
                <w:color w:val="auto"/>
              </w:rPr>
            </w:pPr>
            <w:r>
              <w:rPr>
                <w:rFonts w:ascii="Arial" w:cs="Arial" w:eastAsia="Arial" w:hAnsi="Arial"/>
                <w:sz w:val="11"/>
                <w:szCs w:val="11"/>
                <w:b w:val="1"/>
                <w:bCs w:val="1"/>
                <w:color w:val="auto"/>
              </w:rPr>
              <w:t>Average</w:t>
            </w:r>
          </w:p>
        </w:tc>
        <w:tc>
          <w:tcPr>
            <w:tcW w:w="80" w:type="dxa"/>
            <w:vAlign w:val="bottom"/>
          </w:tcPr>
          <w:p>
            <w:pPr>
              <w:spacing w:after="0"/>
              <w:rPr>
                <w:sz w:val="9"/>
                <w:szCs w:val="9"/>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Interest Income/</w:t>
            </w:r>
          </w:p>
        </w:tc>
        <w:tc>
          <w:tcPr>
            <w:tcW w:w="1180" w:type="dxa"/>
            <w:vAlign w:val="bottom"/>
          </w:tcPr>
          <w:p>
            <w:pPr>
              <w:jc w:val="center"/>
              <w:ind w:right="3"/>
              <w:spacing w:after="0" w:line="112" w:lineRule="exact"/>
              <w:rPr>
                <w:sz w:val="20"/>
                <w:szCs w:val="20"/>
                <w:color w:val="auto"/>
              </w:rPr>
            </w:pPr>
            <w:r>
              <w:rPr>
                <w:rFonts w:ascii="Arial" w:cs="Arial" w:eastAsia="Arial" w:hAnsi="Arial"/>
                <w:sz w:val="11"/>
                <w:szCs w:val="11"/>
                <w:b w:val="1"/>
                <w:bCs w:val="1"/>
                <w:color w:val="auto"/>
              </w:rPr>
              <w:t>Average</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tcPr>
          <w:p>
            <w:pPr>
              <w:jc w:val="center"/>
              <w:ind w:right="340"/>
              <w:spacing w:after="0" w:line="112" w:lineRule="exact"/>
              <w:rPr>
                <w:sz w:val="20"/>
                <w:szCs w:val="20"/>
                <w:color w:val="auto"/>
              </w:rPr>
            </w:pPr>
            <w:r>
              <w:rPr>
                <w:rFonts w:ascii="Arial" w:cs="Arial" w:eastAsia="Arial" w:hAnsi="Arial"/>
                <w:sz w:val="11"/>
                <w:szCs w:val="11"/>
                <w:b w:val="1"/>
                <w:bCs w:val="1"/>
                <w:color w:val="auto"/>
              </w:rPr>
              <w:t>Average</w:t>
            </w:r>
          </w:p>
        </w:tc>
        <w:tc>
          <w:tcPr>
            <w:tcW w:w="80" w:type="dxa"/>
            <w:vAlign w:val="bottom"/>
          </w:tcPr>
          <w:p>
            <w:pPr>
              <w:spacing w:after="0"/>
              <w:rPr>
                <w:sz w:val="9"/>
                <w:szCs w:val="9"/>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Interest Income/</w:t>
            </w:r>
          </w:p>
        </w:tc>
        <w:tc>
          <w:tcPr>
            <w:tcW w:w="118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12"/>
        </w:trPr>
        <w:tc>
          <w:tcPr>
            <w:tcW w:w="352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 in thousands)</w:t>
            </w:r>
          </w:p>
        </w:tc>
        <w:tc>
          <w:tcPr>
            <w:tcW w:w="220" w:type="dxa"/>
            <w:vAlign w:val="bottom"/>
          </w:tcPr>
          <w:p>
            <w:pPr>
              <w:spacing w:after="0"/>
              <w:rPr>
                <w:sz w:val="9"/>
                <w:szCs w:val="9"/>
                <w:color w:val="auto"/>
              </w:rPr>
            </w:pPr>
          </w:p>
        </w:tc>
        <w:tc>
          <w:tcPr>
            <w:tcW w:w="1300" w:type="dxa"/>
            <w:vAlign w:val="bottom"/>
            <w:gridSpan w:val="2"/>
          </w:tcPr>
          <w:p>
            <w:pPr>
              <w:jc w:val="center"/>
              <w:ind w:right="340"/>
              <w:spacing w:after="0" w:line="113" w:lineRule="exact"/>
              <w:rPr>
                <w:sz w:val="20"/>
                <w:szCs w:val="20"/>
                <w:color w:val="auto"/>
              </w:rPr>
            </w:pPr>
            <w:r>
              <w:rPr>
                <w:rFonts w:ascii="Arial" w:cs="Arial" w:eastAsia="Arial" w:hAnsi="Arial"/>
                <w:sz w:val="11"/>
                <w:szCs w:val="11"/>
                <w:b w:val="1"/>
                <w:bCs w:val="1"/>
                <w:color w:val="auto"/>
              </w:rPr>
              <w:t>Outstanding</w:t>
            </w: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8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rPr>
              <w:t>Yield/</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tcPr>
          <w:p>
            <w:pPr>
              <w:jc w:val="center"/>
              <w:ind w:right="320"/>
              <w:spacing w:after="0" w:line="113" w:lineRule="exact"/>
              <w:rPr>
                <w:sz w:val="20"/>
                <w:szCs w:val="20"/>
                <w:color w:val="auto"/>
              </w:rPr>
            </w:pPr>
            <w:r>
              <w:rPr>
                <w:rFonts w:ascii="Arial" w:cs="Arial" w:eastAsia="Arial" w:hAnsi="Arial"/>
                <w:sz w:val="11"/>
                <w:szCs w:val="11"/>
                <w:b w:val="1"/>
                <w:bCs w:val="1"/>
                <w:color w:val="auto"/>
              </w:rPr>
              <w:t>Outstanding</w:t>
            </w:r>
          </w:p>
        </w:tc>
        <w:tc>
          <w:tcPr>
            <w:tcW w:w="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8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rPr>
              <w:t>Yield/</w:t>
            </w:r>
          </w:p>
        </w:tc>
        <w:tc>
          <w:tcPr>
            <w:tcW w:w="0" w:type="dxa"/>
            <w:vAlign w:val="bottom"/>
          </w:tcPr>
          <w:p>
            <w:pPr>
              <w:spacing w:after="0"/>
              <w:rPr>
                <w:sz w:val="1"/>
                <w:szCs w:val="1"/>
                <w:color w:val="auto"/>
              </w:rPr>
            </w:pPr>
          </w:p>
        </w:tc>
      </w:tr>
      <w:tr>
        <w:trPr>
          <w:trHeight w:val="149"/>
        </w:trPr>
        <w:tc>
          <w:tcPr>
            <w:tcW w:w="3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9"/>
              </w:rPr>
              <w:t>Balance</w:t>
            </w:r>
          </w:p>
        </w:tc>
        <w:tc>
          <w:tcPr>
            <w:tcW w:w="8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Expense</w:t>
            </w: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rPr>
              <w:t>Rate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Balance</w:t>
            </w:r>
          </w:p>
        </w:tc>
        <w:tc>
          <w:tcPr>
            <w:tcW w:w="8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Expense</w:t>
            </w: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139"/>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2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20" w:type="dxa"/>
            <w:vAlign w:val="bottom"/>
          </w:tcPr>
          <w:p>
            <w:pPr>
              <w:ind w:left="20"/>
              <w:spacing w:after="0"/>
              <w:rPr>
                <w:sz w:val="20"/>
                <w:szCs w:val="20"/>
                <w:color w:val="auto"/>
              </w:rPr>
            </w:pPr>
            <w:r>
              <w:rPr>
                <w:rFonts w:ascii="Arial" w:cs="Arial" w:eastAsia="Arial" w:hAnsi="Arial"/>
                <w:sz w:val="11"/>
                <w:szCs w:val="11"/>
                <w:color w:val="auto"/>
              </w:rPr>
              <w:t>Interest earning assets:</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Interest-bearing deposits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70,407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3,211</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ind w:left="800"/>
              <w:spacing w:after="0"/>
              <w:rPr>
                <w:sz w:val="20"/>
                <w:szCs w:val="20"/>
                <w:color w:val="auto"/>
              </w:rPr>
            </w:pPr>
            <w:r>
              <w:rPr>
                <w:rFonts w:ascii="Arial" w:cs="Arial" w:eastAsia="Arial" w:hAnsi="Arial"/>
                <w:sz w:val="11"/>
                <w:szCs w:val="11"/>
                <w:color w:val="auto"/>
              </w:rPr>
              <w:t>4.56 %</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156,751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2,007</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1.28 %</w:t>
            </w:r>
          </w:p>
        </w:tc>
        <w:tc>
          <w:tcPr>
            <w:tcW w:w="0" w:type="dxa"/>
            <w:vAlign w:val="bottom"/>
          </w:tcPr>
          <w:p>
            <w:pPr>
              <w:spacing w:after="0"/>
              <w:rPr>
                <w:sz w:val="1"/>
                <w:szCs w:val="1"/>
                <w:color w:val="auto"/>
              </w:rPr>
            </w:pPr>
          </w:p>
        </w:tc>
      </w:tr>
      <w:tr>
        <w:trPr>
          <w:trHeight w:val="156"/>
        </w:trPr>
        <w:tc>
          <w:tcPr>
            <w:tcW w:w="3520" w:type="dxa"/>
            <w:vAlign w:val="bottom"/>
          </w:tcPr>
          <w:p>
            <w:pPr>
              <w:ind w:left="280"/>
              <w:spacing w:after="0"/>
              <w:rPr>
                <w:sz w:val="20"/>
                <w:szCs w:val="20"/>
                <w:color w:val="auto"/>
              </w:rPr>
            </w:pPr>
            <w:r>
              <w:rPr>
                <w:rFonts w:ascii="Arial" w:cs="Arial" w:eastAsia="Arial" w:hAnsi="Arial"/>
                <w:sz w:val="11"/>
                <w:szCs w:val="11"/>
                <w:color w:val="auto"/>
              </w:rPr>
              <w:t>Federal funds sold</w:t>
            </w:r>
          </w:p>
        </w:tc>
        <w:tc>
          <w:tcPr>
            <w:tcW w:w="22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1,597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13"/>
                <w:szCs w:val="13"/>
                <w:color w:val="auto"/>
              </w:rPr>
            </w:pPr>
          </w:p>
        </w:tc>
        <w:tc>
          <w:tcPr>
            <w:tcW w:w="1180" w:type="dxa"/>
            <w:vAlign w:val="bottom"/>
          </w:tcPr>
          <w:p>
            <w:pPr>
              <w:ind w:left="800"/>
              <w:spacing w:after="0"/>
              <w:rPr>
                <w:sz w:val="20"/>
                <w:szCs w:val="20"/>
                <w:color w:val="auto"/>
              </w:rPr>
            </w:pPr>
            <w:r>
              <w:rPr>
                <w:rFonts w:ascii="Arial" w:cs="Arial" w:eastAsia="Arial" w:hAnsi="Arial"/>
                <w:sz w:val="11"/>
                <w:szCs w:val="11"/>
                <w:color w:val="auto"/>
              </w:rPr>
              <w:t>4.63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2,959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13"/>
                <w:szCs w:val="13"/>
                <w:color w:val="auto"/>
              </w:rPr>
            </w:pPr>
          </w:p>
        </w:tc>
        <w:tc>
          <w:tcPr>
            <w:tcW w:w="1180" w:type="dxa"/>
            <w:vAlign w:val="bottom"/>
          </w:tcPr>
          <w:p>
            <w:pPr>
              <w:jc w:val="right"/>
              <w:ind w:right="83"/>
              <w:spacing w:after="0"/>
              <w:rPr>
                <w:sz w:val="20"/>
                <w:szCs w:val="20"/>
                <w:color w:val="auto"/>
              </w:rPr>
            </w:pPr>
            <w:r>
              <w:rPr>
                <w:rFonts w:ascii="Arial" w:cs="Arial" w:eastAsia="Arial" w:hAnsi="Arial"/>
                <w:sz w:val="11"/>
                <w:szCs w:val="11"/>
                <w:color w:val="auto"/>
              </w:rPr>
              <w:t>1.49</w:t>
            </w:r>
          </w:p>
        </w:tc>
        <w:tc>
          <w:tcPr>
            <w:tcW w:w="0" w:type="dxa"/>
            <w:vAlign w:val="bottom"/>
          </w:tcPr>
          <w:p>
            <w:pPr>
              <w:spacing w:after="0"/>
              <w:rPr>
                <w:sz w:val="1"/>
                <w:szCs w:val="1"/>
                <w:color w:val="auto"/>
              </w:rPr>
            </w:pPr>
          </w:p>
        </w:tc>
      </w:tr>
      <w:tr>
        <w:trPr>
          <w:trHeight w:val="162"/>
        </w:trPr>
        <w:tc>
          <w:tcPr>
            <w:tcW w:w="3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Investment securities</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245,466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4,815</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ind w:left="800"/>
              <w:spacing w:after="0"/>
              <w:rPr>
                <w:sz w:val="20"/>
                <w:szCs w:val="20"/>
                <w:color w:val="auto"/>
              </w:rPr>
            </w:pPr>
            <w:r>
              <w:rPr>
                <w:rFonts w:ascii="Arial" w:cs="Arial" w:eastAsia="Arial" w:hAnsi="Arial"/>
                <w:sz w:val="11"/>
                <w:szCs w:val="11"/>
                <w:color w:val="auto"/>
              </w:rPr>
              <w:t>1.96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248,869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3,912</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1.57</w:t>
            </w:r>
          </w:p>
        </w:tc>
        <w:tc>
          <w:tcPr>
            <w:tcW w:w="0" w:type="dxa"/>
            <w:vAlign w:val="bottom"/>
          </w:tcPr>
          <w:p>
            <w:pPr>
              <w:spacing w:after="0"/>
              <w:rPr>
                <w:sz w:val="1"/>
                <w:szCs w:val="1"/>
                <w:color w:val="auto"/>
              </w:rPr>
            </w:pPr>
          </w:p>
        </w:tc>
      </w:tr>
      <w:tr>
        <w:trPr>
          <w:trHeight w:val="156"/>
        </w:trPr>
        <w:tc>
          <w:tcPr>
            <w:tcW w:w="3520" w:type="dxa"/>
            <w:vAlign w:val="bottom"/>
          </w:tcPr>
          <w:p>
            <w:pPr>
              <w:ind w:left="280"/>
              <w:spacing w:after="0"/>
              <w:rPr>
                <w:sz w:val="20"/>
                <w:szCs w:val="20"/>
                <w:color w:val="auto"/>
              </w:rPr>
            </w:pPr>
            <w:r>
              <w:rPr>
                <w:rFonts w:ascii="Arial" w:cs="Arial" w:eastAsia="Arial" w:hAnsi="Arial"/>
                <w:sz w:val="11"/>
                <w:szCs w:val="11"/>
                <w:color w:val="auto"/>
              </w:rPr>
              <w:t>Restricted investments</w:t>
            </w:r>
          </w:p>
        </w:tc>
        <w:tc>
          <w:tcPr>
            <w:tcW w:w="22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5,016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346</w:t>
            </w:r>
          </w:p>
        </w:tc>
        <w:tc>
          <w:tcPr>
            <w:tcW w:w="120" w:type="dxa"/>
            <w:vAlign w:val="bottom"/>
          </w:tcPr>
          <w:p>
            <w:pPr>
              <w:spacing w:after="0"/>
              <w:rPr>
                <w:sz w:val="13"/>
                <w:szCs w:val="13"/>
                <w:color w:val="auto"/>
              </w:rPr>
            </w:pPr>
          </w:p>
        </w:tc>
        <w:tc>
          <w:tcPr>
            <w:tcW w:w="1180" w:type="dxa"/>
            <w:vAlign w:val="bottom"/>
          </w:tcPr>
          <w:p>
            <w:pPr>
              <w:ind w:left="800"/>
              <w:spacing w:after="0"/>
              <w:rPr>
                <w:sz w:val="20"/>
                <w:szCs w:val="20"/>
                <w:color w:val="auto"/>
              </w:rPr>
            </w:pPr>
            <w:r>
              <w:rPr>
                <w:rFonts w:ascii="Arial" w:cs="Arial" w:eastAsia="Arial" w:hAnsi="Arial"/>
                <w:sz w:val="11"/>
                <w:szCs w:val="11"/>
                <w:color w:val="auto"/>
              </w:rPr>
              <w:t>6.90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5,475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275</w:t>
            </w:r>
          </w:p>
        </w:tc>
        <w:tc>
          <w:tcPr>
            <w:tcW w:w="100" w:type="dxa"/>
            <w:vAlign w:val="bottom"/>
          </w:tcPr>
          <w:p>
            <w:pPr>
              <w:spacing w:after="0"/>
              <w:rPr>
                <w:sz w:val="13"/>
                <w:szCs w:val="13"/>
                <w:color w:val="auto"/>
              </w:rPr>
            </w:pPr>
          </w:p>
        </w:tc>
        <w:tc>
          <w:tcPr>
            <w:tcW w:w="1180" w:type="dxa"/>
            <w:vAlign w:val="bottom"/>
          </w:tcPr>
          <w:p>
            <w:pPr>
              <w:jc w:val="right"/>
              <w:ind w:right="83"/>
              <w:spacing w:after="0"/>
              <w:rPr>
                <w:sz w:val="20"/>
                <w:szCs w:val="20"/>
                <w:color w:val="auto"/>
              </w:rPr>
            </w:pPr>
            <w:r>
              <w:rPr>
                <w:rFonts w:ascii="Arial" w:cs="Arial" w:eastAsia="Arial" w:hAnsi="Arial"/>
                <w:sz w:val="11"/>
                <w:szCs w:val="11"/>
                <w:color w:val="auto"/>
              </w:rPr>
              <w:t>5.02</w:t>
            </w:r>
          </w:p>
        </w:tc>
        <w:tc>
          <w:tcPr>
            <w:tcW w:w="0" w:type="dxa"/>
            <w:vAlign w:val="bottom"/>
          </w:tcPr>
          <w:p>
            <w:pPr>
              <w:spacing w:after="0"/>
              <w:rPr>
                <w:sz w:val="1"/>
                <w:szCs w:val="1"/>
                <w:color w:val="auto"/>
              </w:rPr>
            </w:pPr>
          </w:p>
        </w:tc>
      </w:tr>
      <w:tr>
        <w:trPr>
          <w:trHeight w:val="162"/>
        </w:trPr>
        <w:tc>
          <w:tcPr>
            <w:tcW w:w="3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Loans held for sale</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5,755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382</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ind w:left="800"/>
              <w:spacing w:after="0"/>
              <w:rPr>
                <w:sz w:val="20"/>
                <w:szCs w:val="20"/>
                <w:color w:val="auto"/>
              </w:rPr>
            </w:pPr>
            <w:r>
              <w:rPr>
                <w:rFonts w:ascii="Arial" w:cs="Arial" w:eastAsia="Arial" w:hAnsi="Arial"/>
                <w:sz w:val="11"/>
                <w:szCs w:val="11"/>
                <w:color w:val="auto"/>
              </w:rPr>
              <w:t>6.64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9,696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435</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4.49</w:t>
            </w:r>
          </w:p>
        </w:tc>
        <w:tc>
          <w:tcPr>
            <w:tcW w:w="0" w:type="dxa"/>
            <w:vAlign w:val="bottom"/>
          </w:tcPr>
          <w:p>
            <w:pPr>
              <w:spacing w:after="0"/>
              <w:rPr>
                <w:sz w:val="1"/>
                <w:szCs w:val="1"/>
                <w:color w:val="auto"/>
              </w:rPr>
            </w:pPr>
          </w:p>
        </w:tc>
      </w:tr>
      <w:tr>
        <w:trPr>
          <w:trHeight w:val="156"/>
        </w:trPr>
        <w:tc>
          <w:tcPr>
            <w:tcW w:w="3520" w:type="dxa"/>
            <w:vAlign w:val="bottom"/>
          </w:tcPr>
          <w:p>
            <w:pPr>
              <w:ind w:left="280"/>
              <w:spacing w:after="0"/>
              <w:rPr>
                <w:sz w:val="20"/>
                <w:szCs w:val="20"/>
                <w:color w:val="auto"/>
              </w:rPr>
            </w:pPr>
            <w:r>
              <w:rPr>
                <w:rFonts w:ascii="Arial" w:cs="Arial" w:eastAsia="Arial" w:hAnsi="Arial"/>
                <w:sz w:val="11"/>
                <w:szCs w:val="11"/>
                <w:color w:val="auto"/>
              </w:rPr>
              <w:t>SBA-PPP loans receivable</w:t>
            </w:r>
          </w:p>
        </w:tc>
        <w:tc>
          <w:tcPr>
            <w:tcW w:w="22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1,373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13"/>
                <w:szCs w:val="13"/>
                <w:color w:val="auto"/>
              </w:rPr>
            </w:pPr>
          </w:p>
        </w:tc>
        <w:tc>
          <w:tcPr>
            <w:tcW w:w="1180" w:type="dxa"/>
            <w:vAlign w:val="bottom"/>
          </w:tcPr>
          <w:p>
            <w:pPr>
              <w:ind w:left="800"/>
              <w:spacing w:after="0"/>
              <w:rPr>
                <w:sz w:val="20"/>
                <w:szCs w:val="20"/>
                <w:color w:val="auto"/>
              </w:rPr>
            </w:pPr>
            <w:r>
              <w:rPr>
                <w:rFonts w:ascii="Arial" w:cs="Arial" w:eastAsia="Arial" w:hAnsi="Arial"/>
                <w:sz w:val="11"/>
                <w:szCs w:val="11"/>
                <w:color w:val="auto"/>
              </w:rPr>
              <w:t>2.18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29,831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3,477</w:t>
            </w:r>
          </w:p>
        </w:tc>
        <w:tc>
          <w:tcPr>
            <w:tcW w:w="100" w:type="dxa"/>
            <w:vAlign w:val="bottom"/>
          </w:tcPr>
          <w:p>
            <w:pPr>
              <w:spacing w:after="0"/>
              <w:rPr>
                <w:sz w:val="13"/>
                <w:szCs w:val="13"/>
                <w:color w:val="auto"/>
              </w:rPr>
            </w:pPr>
          </w:p>
        </w:tc>
        <w:tc>
          <w:tcPr>
            <w:tcW w:w="1180" w:type="dxa"/>
            <w:vAlign w:val="bottom"/>
          </w:tcPr>
          <w:p>
            <w:pPr>
              <w:jc w:val="right"/>
              <w:ind w:right="83"/>
              <w:spacing w:after="0"/>
              <w:rPr>
                <w:sz w:val="20"/>
                <w:szCs w:val="20"/>
                <w:color w:val="auto"/>
              </w:rPr>
            </w:pPr>
            <w:r>
              <w:rPr>
                <w:rFonts w:ascii="Arial" w:cs="Arial" w:eastAsia="Arial" w:hAnsi="Arial"/>
                <w:sz w:val="11"/>
                <w:szCs w:val="11"/>
                <w:color w:val="auto"/>
              </w:rPr>
              <w:t>11.66</w:t>
            </w:r>
          </w:p>
        </w:tc>
        <w:tc>
          <w:tcPr>
            <w:tcW w:w="0" w:type="dxa"/>
            <w:vAlign w:val="bottom"/>
          </w:tcPr>
          <w:p>
            <w:pPr>
              <w:spacing w:after="0"/>
              <w:rPr>
                <w:sz w:val="1"/>
                <w:szCs w:val="1"/>
                <w:color w:val="auto"/>
              </w:rPr>
            </w:pPr>
          </w:p>
        </w:tc>
      </w:tr>
      <w:tr>
        <w:trPr>
          <w:trHeight w:val="162"/>
        </w:trPr>
        <w:tc>
          <w:tcPr>
            <w:tcW w:w="3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Portfolio loans receivable</w:t>
            </w:r>
            <w:r>
              <w:rPr>
                <w:rFonts w:ascii="Arial" w:cs="Arial" w:eastAsia="Arial" w:hAnsi="Arial"/>
                <w:sz w:val="14"/>
                <w:szCs w:val="14"/>
                <w:color w:val="auto"/>
                <w:vertAlign w:val="superscript"/>
              </w:rPr>
              <w:t>(1)(2)</w:t>
            </w: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1,815,595</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174,348</w:t>
            </w:r>
          </w:p>
        </w:tc>
        <w:tc>
          <w:tcPr>
            <w:tcW w:w="12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1"/>
                <w:szCs w:val="11"/>
                <w:color w:val="auto"/>
              </w:rPr>
              <w:t>9.60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1,579,661</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140,496</w:t>
            </w:r>
          </w:p>
        </w:tc>
        <w:tc>
          <w:tcPr>
            <w:tcW w:w="10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8.89</w:t>
            </w:r>
          </w:p>
        </w:tc>
        <w:tc>
          <w:tcPr>
            <w:tcW w:w="0" w:type="dxa"/>
            <w:vAlign w:val="bottom"/>
          </w:tcPr>
          <w:p>
            <w:pPr>
              <w:spacing w:after="0"/>
              <w:rPr>
                <w:sz w:val="1"/>
                <w:szCs w:val="1"/>
                <w:color w:val="auto"/>
              </w:rPr>
            </w:pPr>
          </w:p>
        </w:tc>
      </w:tr>
      <w:tr>
        <w:trPr>
          <w:trHeight w:val="147"/>
        </w:trPr>
        <w:tc>
          <w:tcPr>
            <w:tcW w:w="352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Total interest earning assets</w:t>
            </w:r>
          </w:p>
        </w:tc>
        <w:tc>
          <w:tcPr>
            <w:tcW w:w="22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2,145,209</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183,206</w:t>
            </w:r>
          </w:p>
        </w:tc>
        <w:tc>
          <w:tcPr>
            <w:tcW w:w="12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ind w:left="800"/>
              <w:spacing w:after="0"/>
              <w:rPr>
                <w:sz w:val="20"/>
                <w:szCs w:val="20"/>
                <w:color w:val="auto"/>
              </w:rPr>
            </w:pPr>
            <w:r>
              <w:rPr>
                <w:rFonts w:ascii="Arial" w:cs="Arial" w:eastAsia="Arial" w:hAnsi="Arial"/>
                <w:sz w:val="11"/>
                <w:szCs w:val="11"/>
                <w:color w:val="auto"/>
              </w:rPr>
              <w:t>8.54</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2,033,242</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150,646</w:t>
            </w:r>
          </w:p>
        </w:tc>
        <w:tc>
          <w:tcPr>
            <w:tcW w:w="10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jc w:val="right"/>
              <w:ind w:right="83"/>
              <w:spacing w:after="0"/>
              <w:rPr>
                <w:sz w:val="20"/>
                <w:szCs w:val="20"/>
                <w:color w:val="auto"/>
              </w:rPr>
            </w:pPr>
            <w:r>
              <w:rPr>
                <w:rFonts w:ascii="Arial" w:cs="Arial" w:eastAsia="Arial" w:hAnsi="Arial"/>
                <w:sz w:val="11"/>
                <w:szCs w:val="11"/>
                <w:color w:val="auto"/>
              </w:rPr>
              <w:t>7.41</w:t>
            </w:r>
          </w:p>
        </w:tc>
        <w:tc>
          <w:tcPr>
            <w:tcW w:w="0" w:type="dxa"/>
            <w:vAlign w:val="bottom"/>
          </w:tcPr>
          <w:p>
            <w:pPr>
              <w:spacing w:after="0"/>
              <w:rPr>
                <w:sz w:val="1"/>
                <w:szCs w:val="1"/>
                <w:color w:val="auto"/>
              </w:rPr>
            </w:pPr>
          </w:p>
        </w:tc>
      </w:tr>
      <w:tr>
        <w:trPr>
          <w:trHeight w:val="139"/>
        </w:trPr>
        <w:tc>
          <w:tcPr>
            <w:tcW w:w="3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Noninterest earning assets</w:t>
            </w: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43,090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44,559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20" w:type="dxa"/>
            <w:vAlign w:val="bottom"/>
          </w:tcPr>
          <w:p>
            <w:pPr>
              <w:ind w:left="280"/>
              <w:spacing w:after="0"/>
              <w:rPr>
                <w:sz w:val="20"/>
                <w:szCs w:val="20"/>
                <w:color w:val="auto"/>
              </w:rPr>
            </w:pPr>
            <w:r>
              <w:rPr>
                <w:rFonts w:ascii="Arial" w:cs="Arial" w:eastAsia="Arial" w:hAnsi="Arial"/>
                <w:sz w:val="11"/>
                <w:szCs w:val="11"/>
                <w:color w:val="auto"/>
              </w:rPr>
              <w:t>Total assets</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2,188,299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2,077,801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520" w:type="dxa"/>
            <w:vAlign w:val="bottom"/>
          </w:tcPr>
          <w:p>
            <w:pPr>
              <w:ind w:left="20"/>
              <w:spacing w:after="0"/>
              <w:rPr>
                <w:sz w:val="20"/>
                <w:szCs w:val="20"/>
                <w:color w:val="auto"/>
              </w:rPr>
            </w:pPr>
            <w:r>
              <w:rPr>
                <w:rFonts w:ascii="Arial" w:cs="Arial" w:eastAsia="Arial" w:hAnsi="Arial"/>
                <w:sz w:val="11"/>
                <w:szCs w:val="11"/>
                <w:b w:val="1"/>
                <w:bCs w:val="1"/>
                <w:color w:val="auto"/>
              </w:rPr>
              <w:t>Liabilities and Stockholders’ Equity</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Interest-bearing liabilities: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20" w:type="dxa"/>
            <w:vAlign w:val="bottom"/>
          </w:tcPr>
          <w:p>
            <w:pPr>
              <w:ind w:left="280"/>
              <w:spacing w:after="0"/>
              <w:rPr>
                <w:sz w:val="20"/>
                <w:szCs w:val="20"/>
                <w:color w:val="auto"/>
              </w:rPr>
            </w:pPr>
            <w:r>
              <w:rPr>
                <w:rFonts w:ascii="Arial" w:cs="Arial" w:eastAsia="Arial" w:hAnsi="Arial"/>
                <w:sz w:val="11"/>
                <w:szCs w:val="11"/>
                <w:color w:val="auto"/>
              </w:rPr>
              <w:t>Interest-bearing demand accounts</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201,194</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298</w:t>
            </w:r>
          </w:p>
        </w:tc>
        <w:tc>
          <w:tcPr>
            <w:tcW w:w="120" w:type="dxa"/>
            <w:vAlign w:val="bottom"/>
          </w:tcPr>
          <w:p>
            <w:pPr>
              <w:spacing w:after="0"/>
              <w:rPr>
                <w:sz w:val="13"/>
                <w:szCs w:val="13"/>
                <w:color w:val="auto"/>
              </w:rPr>
            </w:pPr>
          </w:p>
        </w:tc>
        <w:tc>
          <w:tcPr>
            <w:tcW w:w="1180" w:type="dxa"/>
            <w:vAlign w:val="bottom"/>
          </w:tcPr>
          <w:p>
            <w:pPr>
              <w:ind w:left="800"/>
              <w:spacing w:after="0"/>
              <w:rPr>
                <w:sz w:val="20"/>
                <w:szCs w:val="20"/>
                <w:color w:val="auto"/>
              </w:rPr>
            </w:pPr>
            <w:r>
              <w:rPr>
                <w:rFonts w:ascii="Arial" w:cs="Arial" w:eastAsia="Arial" w:hAnsi="Arial"/>
                <w:sz w:val="11"/>
                <w:szCs w:val="11"/>
                <w:color w:val="auto"/>
              </w:rPr>
              <w:t>0.15 %</w:t>
            </w: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253,923</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174</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0.07 %</w:t>
            </w:r>
          </w:p>
        </w:tc>
        <w:tc>
          <w:tcPr>
            <w:tcW w:w="0" w:type="dxa"/>
            <w:vAlign w:val="bottom"/>
          </w:tcPr>
          <w:p>
            <w:pPr>
              <w:spacing w:after="0"/>
              <w:rPr>
                <w:sz w:val="1"/>
                <w:szCs w:val="1"/>
                <w:color w:val="auto"/>
              </w:rPr>
            </w:pPr>
          </w:p>
        </w:tc>
      </w:tr>
      <w:tr>
        <w:trPr>
          <w:trHeight w:val="162"/>
        </w:trPr>
        <w:tc>
          <w:tcPr>
            <w:tcW w:w="3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Savings</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5,768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ind w:left="800"/>
              <w:spacing w:after="0"/>
              <w:rPr>
                <w:sz w:val="20"/>
                <w:szCs w:val="20"/>
                <w:color w:val="auto"/>
              </w:rPr>
            </w:pPr>
            <w:r>
              <w:rPr>
                <w:rFonts w:ascii="Arial" w:cs="Arial" w:eastAsia="Arial" w:hAnsi="Arial"/>
                <w:sz w:val="11"/>
                <w:szCs w:val="11"/>
                <w:color w:val="auto"/>
              </w:rPr>
              <w:t>0.14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8,917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0.06</w:t>
            </w:r>
          </w:p>
        </w:tc>
        <w:tc>
          <w:tcPr>
            <w:tcW w:w="0" w:type="dxa"/>
            <w:vAlign w:val="bottom"/>
          </w:tcPr>
          <w:p>
            <w:pPr>
              <w:spacing w:after="0"/>
              <w:rPr>
                <w:sz w:val="1"/>
                <w:szCs w:val="1"/>
                <w:color w:val="auto"/>
              </w:rPr>
            </w:pPr>
          </w:p>
        </w:tc>
      </w:tr>
      <w:tr>
        <w:trPr>
          <w:trHeight w:val="156"/>
        </w:trPr>
        <w:tc>
          <w:tcPr>
            <w:tcW w:w="3520" w:type="dxa"/>
            <w:vAlign w:val="bottom"/>
          </w:tcPr>
          <w:p>
            <w:pPr>
              <w:ind w:left="280"/>
              <w:spacing w:after="0"/>
              <w:rPr>
                <w:sz w:val="20"/>
                <w:szCs w:val="20"/>
                <w:color w:val="auto"/>
              </w:rPr>
            </w:pPr>
            <w:r>
              <w:rPr>
                <w:rFonts w:ascii="Arial" w:cs="Arial" w:eastAsia="Arial" w:hAnsi="Arial"/>
                <w:sz w:val="11"/>
                <w:szCs w:val="11"/>
                <w:color w:val="auto"/>
              </w:rPr>
              <w:t>Money market accounts</w:t>
            </w:r>
          </w:p>
        </w:tc>
        <w:tc>
          <w:tcPr>
            <w:tcW w:w="22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642,013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23,510</w:t>
            </w:r>
          </w:p>
        </w:tc>
        <w:tc>
          <w:tcPr>
            <w:tcW w:w="120" w:type="dxa"/>
            <w:vAlign w:val="bottom"/>
          </w:tcPr>
          <w:p>
            <w:pPr>
              <w:spacing w:after="0"/>
              <w:rPr>
                <w:sz w:val="13"/>
                <w:szCs w:val="13"/>
                <w:color w:val="auto"/>
              </w:rPr>
            </w:pPr>
          </w:p>
        </w:tc>
        <w:tc>
          <w:tcPr>
            <w:tcW w:w="1180" w:type="dxa"/>
            <w:vAlign w:val="bottom"/>
          </w:tcPr>
          <w:p>
            <w:pPr>
              <w:ind w:left="800"/>
              <w:spacing w:after="0"/>
              <w:rPr>
                <w:sz w:val="20"/>
                <w:szCs w:val="20"/>
                <w:color w:val="auto"/>
              </w:rPr>
            </w:pPr>
            <w:r>
              <w:rPr>
                <w:rFonts w:ascii="Arial" w:cs="Arial" w:eastAsia="Arial" w:hAnsi="Arial"/>
                <w:sz w:val="11"/>
                <w:szCs w:val="11"/>
                <w:color w:val="auto"/>
              </w:rPr>
              <w:t>3.66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553,388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4,529</w:t>
            </w:r>
          </w:p>
        </w:tc>
        <w:tc>
          <w:tcPr>
            <w:tcW w:w="100" w:type="dxa"/>
            <w:vAlign w:val="bottom"/>
          </w:tcPr>
          <w:p>
            <w:pPr>
              <w:spacing w:after="0"/>
              <w:rPr>
                <w:sz w:val="13"/>
                <w:szCs w:val="13"/>
                <w:color w:val="auto"/>
              </w:rPr>
            </w:pPr>
          </w:p>
        </w:tc>
        <w:tc>
          <w:tcPr>
            <w:tcW w:w="1180" w:type="dxa"/>
            <w:vAlign w:val="bottom"/>
          </w:tcPr>
          <w:p>
            <w:pPr>
              <w:jc w:val="right"/>
              <w:ind w:right="83"/>
              <w:spacing w:after="0"/>
              <w:rPr>
                <w:sz w:val="20"/>
                <w:szCs w:val="20"/>
                <w:color w:val="auto"/>
              </w:rPr>
            </w:pPr>
            <w:r>
              <w:rPr>
                <w:rFonts w:ascii="Arial" w:cs="Arial" w:eastAsia="Arial" w:hAnsi="Arial"/>
                <w:sz w:val="11"/>
                <w:szCs w:val="11"/>
                <w:color w:val="auto"/>
              </w:rPr>
              <w:t>0.82</w:t>
            </w:r>
          </w:p>
        </w:tc>
        <w:tc>
          <w:tcPr>
            <w:tcW w:w="0" w:type="dxa"/>
            <w:vAlign w:val="bottom"/>
          </w:tcPr>
          <w:p>
            <w:pPr>
              <w:spacing w:after="0"/>
              <w:rPr>
                <w:sz w:val="1"/>
                <w:szCs w:val="1"/>
                <w:color w:val="auto"/>
              </w:rPr>
            </w:pPr>
          </w:p>
        </w:tc>
      </w:tr>
      <w:tr>
        <w:trPr>
          <w:trHeight w:val="162"/>
        </w:trPr>
        <w:tc>
          <w:tcPr>
            <w:tcW w:w="3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Time deposits</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360,464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15,809</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ind w:left="800"/>
              <w:spacing w:after="0"/>
              <w:rPr>
                <w:sz w:val="20"/>
                <w:szCs w:val="20"/>
                <w:color w:val="auto"/>
              </w:rPr>
            </w:pPr>
            <w:r>
              <w:rPr>
                <w:rFonts w:ascii="Arial" w:cs="Arial" w:eastAsia="Arial" w:hAnsi="Arial"/>
                <w:sz w:val="11"/>
                <w:szCs w:val="11"/>
                <w:color w:val="auto"/>
              </w:rPr>
              <w:t>4.39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165,854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2,903</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1.75</w:t>
            </w:r>
          </w:p>
        </w:tc>
        <w:tc>
          <w:tcPr>
            <w:tcW w:w="0" w:type="dxa"/>
            <w:vAlign w:val="bottom"/>
          </w:tcPr>
          <w:p>
            <w:pPr>
              <w:spacing w:after="0"/>
              <w:rPr>
                <w:sz w:val="1"/>
                <w:szCs w:val="1"/>
                <w:color w:val="auto"/>
              </w:rPr>
            </w:pPr>
          </w:p>
        </w:tc>
      </w:tr>
      <w:tr>
        <w:trPr>
          <w:trHeight w:val="156"/>
        </w:trPr>
        <w:tc>
          <w:tcPr>
            <w:tcW w:w="352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Borrowed funds</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59,302</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2,055</w:t>
            </w:r>
          </w:p>
        </w:tc>
        <w:tc>
          <w:tcPr>
            <w:tcW w:w="1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ind w:left="800"/>
              <w:spacing w:after="0"/>
              <w:rPr>
                <w:sz w:val="20"/>
                <w:szCs w:val="20"/>
                <w:color w:val="auto"/>
              </w:rPr>
            </w:pPr>
            <w:r>
              <w:rPr>
                <w:rFonts w:ascii="Arial" w:cs="Arial" w:eastAsia="Arial" w:hAnsi="Arial"/>
                <w:sz w:val="11"/>
                <w:szCs w:val="11"/>
                <w:color w:val="auto"/>
              </w:rPr>
              <w:t>3.47</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77,556</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2,428</w:t>
            </w:r>
          </w:p>
        </w:tc>
        <w:tc>
          <w:tcPr>
            <w:tcW w:w="1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3.13</w:t>
            </w:r>
          </w:p>
        </w:tc>
        <w:tc>
          <w:tcPr>
            <w:tcW w:w="0" w:type="dxa"/>
            <w:vAlign w:val="bottom"/>
          </w:tcPr>
          <w:p>
            <w:pPr>
              <w:spacing w:after="0"/>
              <w:rPr>
                <w:sz w:val="1"/>
                <w:szCs w:val="1"/>
                <w:color w:val="auto"/>
              </w:rPr>
            </w:pPr>
          </w:p>
        </w:tc>
      </w:tr>
      <w:tr>
        <w:trPr>
          <w:trHeight w:val="153"/>
        </w:trPr>
        <w:tc>
          <w:tcPr>
            <w:tcW w:w="35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interest-bearing liabilities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1,268,741</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41,680</w:t>
            </w: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ind w:left="800"/>
              <w:spacing w:after="0"/>
              <w:rPr>
                <w:sz w:val="20"/>
                <w:szCs w:val="20"/>
                <w:color w:val="auto"/>
              </w:rPr>
            </w:pPr>
            <w:r>
              <w:rPr>
                <w:rFonts w:ascii="Arial" w:cs="Arial" w:eastAsia="Arial" w:hAnsi="Arial"/>
                <w:sz w:val="11"/>
                <w:szCs w:val="11"/>
                <w:color w:val="auto"/>
              </w:rPr>
              <w:t>3.29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1,059,638</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10,039</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0.95</w:t>
            </w:r>
          </w:p>
        </w:tc>
        <w:tc>
          <w:tcPr>
            <w:tcW w:w="0" w:type="dxa"/>
            <w:vAlign w:val="bottom"/>
          </w:tcPr>
          <w:p>
            <w:pPr>
              <w:spacing w:after="0"/>
              <w:rPr>
                <w:sz w:val="1"/>
                <w:szCs w:val="1"/>
                <w:color w:val="auto"/>
              </w:rPr>
            </w:pPr>
          </w:p>
        </w:tc>
      </w:tr>
      <w:tr>
        <w:trPr>
          <w:trHeight w:val="136"/>
        </w:trPr>
        <w:tc>
          <w:tcPr>
            <w:tcW w:w="3520" w:type="dxa"/>
            <w:vAlign w:val="bottom"/>
          </w:tcPr>
          <w:p>
            <w:pPr>
              <w:ind w:left="140"/>
              <w:spacing w:after="0"/>
              <w:rPr>
                <w:sz w:val="20"/>
                <w:szCs w:val="20"/>
                <w:color w:val="auto"/>
              </w:rPr>
            </w:pPr>
            <w:r>
              <w:rPr>
                <w:rFonts w:ascii="Arial" w:cs="Arial" w:eastAsia="Arial" w:hAnsi="Arial"/>
                <w:sz w:val="11"/>
                <w:szCs w:val="11"/>
                <w:color w:val="auto"/>
              </w:rPr>
              <w:t>Noninterest-bearing liabilities:</w:t>
            </w: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Noninterest-bearing liabilities</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24,026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23,797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tcPr>
          <w:p>
            <w:pPr>
              <w:ind w:left="280"/>
              <w:spacing w:after="0"/>
              <w:rPr>
                <w:sz w:val="20"/>
                <w:szCs w:val="20"/>
                <w:color w:val="auto"/>
              </w:rPr>
            </w:pPr>
            <w:r>
              <w:rPr>
                <w:rFonts w:ascii="Arial" w:cs="Arial" w:eastAsia="Arial" w:hAnsi="Arial"/>
                <w:sz w:val="11"/>
                <w:szCs w:val="11"/>
                <w:color w:val="auto"/>
              </w:rPr>
              <w:t>Noninterest-bearing deposits</w:t>
            </w:r>
          </w:p>
        </w:tc>
        <w:tc>
          <w:tcPr>
            <w:tcW w:w="22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655,013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781,971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Stockholders’ equity</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240,519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212,395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20" w:type="dxa"/>
            <w:vAlign w:val="bottom"/>
          </w:tcPr>
          <w:p>
            <w:pPr>
              <w:ind w:left="280"/>
              <w:spacing w:after="0"/>
              <w:rPr>
                <w:sz w:val="20"/>
                <w:szCs w:val="20"/>
                <w:color w:val="auto"/>
              </w:rPr>
            </w:pPr>
            <w:r>
              <w:rPr>
                <w:rFonts w:ascii="Arial" w:cs="Arial" w:eastAsia="Arial" w:hAnsi="Arial"/>
                <w:sz w:val="11"/>
                <w:szCs w:val="11"/>
                <w:color w:val="auto"/>
              </w:rPr>
              <w:t>Total liabilities and stockholders’ equity</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2,188,299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2,077,801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520" w:type="dxa"/>
            <w:vAlign w:val="bottom"/>
          </w:tcPr>
          <w:p>
            <w:pPr>
              <w:ind w:left="20"/>
              <w:spacing w:after="0"/>
              <w:rPr>
                <w:sz w:val="20"/>
                <w:szCs w:val="20"/>
                <w:color w:val="auto"/>
              </w:rPr>
            </w:pPr>
            <w:r>
              <w:rPr>
                <w:rFonts w:ascii="Arial" w:cs="Arial" w:eastAsia="Arial" w:hAnsi="Arial"/>
                <w:sz w:val="11"/>
                <w:szCs w:val="11"/>
                <w:color w:val="auto"/>
              </w:rPr>
              <w:t>Net interest spread</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Borders>
              <w:bottom w:val="single" w:sz="8" w:color="auto"/>
            </w:tcBorders>
          </w:tcPr>
          <w:p>
            <w:pPr>
              <w:ind w:left="800"/>
              <w:spacing w:after="0"/>
              <w:rPr>
                <w:sz w:val="20"/>
                <w:szCs w:val="20"/>
                <w:color w:val="auto"/>
              </w:rPr>
            </w:pPr>
            <w:r>
              <w:rPr>
                <w:rFonts w:ascii="Arial" w:cs="Arial" w:eastAsia="Arial" w:hAnsi="Arial"/>
                <w:sz w:val="11"/>
                <w:szCs w:val="11"/>
                <w:color w:val="auto"/>
              </w:rPr>
              <w:t>5.25 %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6.46 %</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520" w:type="dxa"/>
            <w:vAlign w:val="bottom"/>
            <w:tcBorders>
              <w:bottom w:val="single" w:sz="8" w:color="CCEEFF"/>
            </w:tcBorders>
            <w:shd w:val="clear" w:color="auto" w:fill="CCEEFF"/>
          </w:tcPr>
          <w:p>
            <w:pPr>
              <w:ind w:left="20"/>
              <w:spacing w:after="0" w:line="121" w:lineRule="exact"/>
              <w:rPr>
                <w:sz w:val="20"/>
                <w:szCs w:val="20"/>
                <w:color w:val="auto"/>
              </w:rPr>
            </w:pPr>
            <w:r>
              <w:rPr>
                <w:rFonts w:ascii="Arial" w:cs="Arial" w:eastAsia="Arial" w:hAnsi="Arial"/>
                <w:sz w:val="11"/>
                <w:szCs w:val="11"/>
                <w:color w:val="auto"/>
              </w:rPr>
              <w:t>Net interest income</w:t>
            </w:r>
          </w:p>
        </w:tc>
        <w:tc>
          <w:tcPr>
            <w:tcW w:w="2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141,526</w:t>
            </w:r>
          </w:p>
        </w:tc>
        <w:tc>
          <w:tcPr>
            <w:tcW w:w="12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ind w:right="3"/>
              <w:spacing w:after="0" w:line="121" w:lineRule="exact"/>
              <w:rPr>
                <w:sz w:val="20"/>
                <w:szCs w:val="20"/>
                <w:color w:val="auto"/>
              </w:rPr>
            </w:pPr>
            <w:r>
              <w:rPr>
                <w:rFonts w:ascii="Arial" w:cs="Arial" w:eastAsia="Arial" w:hAnsi="Arial"/>
                <w:sz w:val="11"/>
                <w:szCs w:val="11"/>
                <w:color w:val="auto"/>
              </w:rPr>
              <w:t>140,607</w:t>
            </w:r>
          </w:p>
        </w:tc>
        <w:tc>
          <w:tcPr>
            <w:tcW w:w="1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line="141" w:lineRule="exact"/>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4"/>
                <w:szCs w:val="14"/>
                <w:color w:val="auto"/>
                <w:vertAlign w:val="superscript"/>
              </w:rPr>
              <w:t>(3)</w:t>
            </w: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1"/>
                <w:szCs w:val="11"/>
                <w:color w:val="auto"/>
              </w:rPr>
              <w:t>6.60 %</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1"/>
                <w:szCs w:val="11"/>
                <w:color w:val="auto"/>
              </w:rPr>
              <w:t>6.92 %</w:t>
            </w:r>
          </w:p>
        </w:tc>
        <w:tc>
          <w:tcPr>
            <w:tcW w:w="0" w:type="dxa"/>
            <w:vAlign w:val="bottom"/>
          </w:tcPr>
          <w:p>
            <w:pPr>
              <w:spacing w:after="0" w:line="20" w:lineRule="exact"/>
              <w:rPr>
                <w:sz w:val="1"/>
                <w:szCs w:val="1"/>
                <w:color w:val="auto"/>
              </w:rPr>
            </w:pPr>
          </w:p>
        </w:tc>
      </w:tr>
      <w:tr>
        <w:trPr>
          <w:trHeight w:val="100"/>
        </w:trPr>
        <w:tc>
          <w:tcPr>
            <w:tcW w:w="35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260" w:hanging="255"/>
        <w:spacing w:after="0" w:line="214" w:lineRule="auto"/>
        <w:tabs>
          <w:tab w:leader="none" w:pos="260" w:val="left"/>
        </w:tabs>
        <w:numPr>
          <w:ilvl w:val="0"/>
          <w:numId w:val="12"/>
        </w:numPr>
        <w:rPr>
          <w:rFonts w:ascii="Arial" w:cs="Arial" w:eastAsia="Arial" w:hAnsi="Arial"/>
          <w:sz w:val="15"/>
          <w:szCs w:val="15"/>
          <w:color w:val="auto"/>
          <w:vertAlign w:val="superscript"/>
        </w:rPr>
      </w:pPr>
      <w:r>
        <w:rPr>
          <w:rFonts w:ascii="Arial" w:cs="Arial" w:eastAsia="Arial" w:hAnsi="Arial"/>
          <w:sz w:val="11"/>
          <w:szCs w:val="11"/>
          <w:color w:val="auto"/>
        </w:rPr>
        <w:t>Includes nonaccrual loans.</w:t>
      </w:r>
    </w:p>
    <w:p>
      <w:pPr>
        <w:ind w:left="260" w:hanging="255"/>
        <w:spacing w:after="0"/>
        <w:tabs>
          <w:tab w:leader="none" w:pos="260" w:val="left"/>
        </w:tabs>
        <w:numPr>
          <w:ilvl w:val="0"/>
          <w:numId w:val="12"/>
        </w:numPr>
        <w:rPr>
          <w:rFonts w:ascii="Arial" w:cs="Arial" w:eastAsia="Arial" w:hAnsi="Arial"/>
          <w:sz w:val="7"/>
          <w:szCs w:val="7"/>
          <w:color w:val="auto"/>
        </w:rPr>
      </w:pPr>
      <w:r>
        <w:rPr>
          <w:rFonts w:ascii="Arial" w:cs="Arial" w:eastAsia="Arial" w:hAnsi="Arial"/>
          <w:sz w:val="11"/>
          <w:szCs w:val="11"/>
          <w:color w:val="auto"/>
        </w:rPr>
        <w:t>For the years ended December 31, 2023 and 2022, collectively, portfolio loans yield excluding credit card loans was 6.66% and 5.31%, respectively.</w:t>
      </w:r>
    </w:p>
    <w:p>
      <w:pPr>
        <w:spacing w:after="0" w:line="11" w:lineRule="exact"/>
        <w:rPr>
          <w:rFonts w:ascii="Arial" w:cs="Arial" w:eastAsia="Arial" w:hAnsi="Arial"/>
          <w:sz w:val="7"/>
          <w:szCs w:val="7"/>
          <w:color w:val="auto"/>
        </w:rPr>
      </w:pPr>
    </w:p>
    <w:p>
      <w:pPr>
        <w:ind w:left="260" w:hanging="255"/>
        <w:spacing w:after="0"/>
        <w:tabs>
          <w:tab w:leader="none" w:pos="260" w:val="left"/>
        </w:tabs>
        <w:numPr>
          <w:ilvl w:val="0"/>
          <w:numId w:val="12"/>
        </w:numPr>
        <w:rPr>
          <w:rFonts w:ascii="Arial" w:cs="Arial" w:eastAsia="Arial" w:hAnsi="Arial"/>
          <w:sz w:val="6"/>
          <w:szCs w:val="6"/>
          <w:color w:val="auto"/>
        </w:rPr>
      </w:pPr>
      <w:r>
        <w:rPr>
          <w:rFonts w:ascii="Arial" w:cs="Arial" w:eastAsia="Arial" w:hAnsi="Arial"/>
          <w:sz w:val="11"/>
          <w:szCs w:val="11"/>
          <w:color w:val="auto"/>
        </w:rPr>
        <w:t>For the years ended December 31, 2023 and 2022, SBA-PPP loans and credit card loans accounted for 264 and 299 basis points of the reported net interest margin,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auto"/>
        </w:rPr>
        <w:t>Rate/Volume Analysis of Net Interest Income</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rate/volume table below presents the composition of the change in net interest income for the periods indicated, as allocated between the change in net interest income due to changes in the volume of average earning assets and interest-bearing liabilities, and the changes in net interest income due to changes in interest rates.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6"/>
          </w:tcPr>
          <w:p>
            <w:pPr>
              <w:jc w:val="center"/>
              <w:ind w:left="396"/>
              <w:spacing w:after="0"/>
              <w:rPr>
                <w:sz w:val="20"/>
                <w:szCs w:val="20"/>
                <w:color w:val="auto"/>
              </w:rPr>
            </w:pPr>
            <w:r>
              <w:rPr>
                <w:rFonts w:ascii="Arial" w:cs="Arial" w:eastAsia="Arial" w:hAnsi="Arial"/>
                <w:sz w:val="13"/>
                <w:szCs w:val="13"/>
                <w:b w:val="1"/>
                <w:bCs w:val="1"/>
                <w:color w:val="auto"/>
                <w:w w:val="96"/>
              </w:rPr>
              <w:t>Year Ended December 31, 2023</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6"/>
          </w:tcPr>
          <w:p>
            <w:pPr>
              <w:jc w:val="center"/>
              <w:ind w:left="376"/>
              <w:spacing w:after="0"/>
              <w:rPr>
                <w:sz w:val="20"/>
                <w:szCs w:val="20"/>
                <w:color w:val="auto"/>
              </w:rPr>
            </w:pPr>
            <w:r>
              <w:rPr>
                <w:rFonts w:ascii="Arial" w:cs="Arial" w:eastAsia="Arial" w:hAnsi="Arial"/>
                <w:sz w:val="13"/>
                <w:szCs w:val="13"/>
                <w:b w:val="1"/>
                <w:bCs w:val="1"/>
                <w:color w:val="auto"/>
                <w:w w:val="96"/>
              </w:rPr>
              <w:t>Year Ended December 31, 2022</w:t>
            </w:r>
          </w:p>
        </w:tc>
        <w:tc>
          <w:tcPr>
            <w:tcW w:w="680" w:type="dxa"/>
            <w:vAlign w:val="bottom"/>
          </w:tcPr>
          <w:p>
            <w:pPr>
              <w:spacing w:after="0"/>
              <w:rPr>
                <w:sz w:val="14"/>
                <w:szCs w:val="14"/>
                <w:color w:val="auto"/>
              </w:rPr>
            </w:pPr>
          </w:p>
        </w:tc>
      </w:tr>
      <w:tr>
        <w:trPr>
          <w:trHeight w:val="173"/>
        </w:trPr>
        <w:tc>
          <w:tcPr>
            <w:tcW w:w="3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Compared to</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Compared to</w:t>
            </w: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9"/>
        </w:trPr>
        <w:tc>
          <w:tcPr>
            <w:tcW w:w="3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7"/>
              </w:rPr>
              <w:t>December 31, 2022</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97"/>
              </w:rPr>
              <w:t>December 31, 2021</w:t>
            </w: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164"/>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tcPr>
          <w:p>
            <w:pPr>
              <w:ind w:left="520"/>
              <w:spacing w:after="0"/>
              <w:rPr>
                <w:sz w:val="20"/>
                <w:szCs w:val="20"/>
                <w:color w:val="auto"/>
              </w:rPr>
            </w:pPr>
            <w:r>
              <w:rPr>
                <w:rFonts w:ascii="Arial" w:cs="Arial" w:eastAsia="Arial" w:hAnsi="Arial"/>
                <w:sz w:val="13"/>
                <w:szCs w:val="13"/>
                <w:b w:val="1"/>
                <w:bCs w:val="1"/>
                <w:color w:val="auto"/>
              </w:rPr>
              <w:t>Change Due To</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ind w:left="520"/>
              <w:spacing w:after="0"/>
              <w:rPr>
                <w:sz w:val="20"/>
                <w:szCs w:val="20"/>
                <w:color w:val="auto"/>
              </w:rPr>
            </w:pPr>
            <w:r>
              <w:rPr>
                <w:rFonts w:ascii="Arial" w:cs="Arial" w:eastAsia="Arial" w:hAnsi="Arial"/>
                <w:sz w:val="13"/>
                <w:szCs w:val="13"/>
                <w:b w:val="1"/>
                <w:bCs w:val="1"/>
                <w:color w:val="auto"/>
              </w:rPr>
              <w:t>Change Due To</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9"/>
        </w:trPr>
        <w:tc>
          <w:tcPr>
            <w:tcW w:w="37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r>
      <w:tr>
        <w:trPr>
          <w:trHeight w:val="195"/>
        </w:trPr>
        <w:tc>
          <w:tcPr>
            <w:tcW w:w="374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22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Arial" w:cs="Arial" w:eastAsia="Arial" w:hAnsi="Arial"/>
                <w:sz w:val="13"/>
                <w:szCs w:val="13"/>
                <w:b w:val="1"/>
                <w:bCs w:val="1"/>
                <w:color w:val="auto"/>
              </w:rPr>
              <w:t>Volume</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Rate</w:t>
            </w:r>
          </w:p>
        </w:tc>
        <w:tc>
          <w:tcPr>
            <w:tcW w:w="1240" w:type="dxa"/>
            <w:vAlign w:val="bottom"/>
            <w:gridSpan w:val="3"/>
          </w:tcPr>
          <w:p>
            <w:pPr>
              <w:ind w:left="80"/>
              <w:spacing w:after="0"/>
              <w:rPr>
                <w:sz w:val="20"/>
                <w:szCs w:val="20"/>
                <w:color w:val="auto"/>
              </w:rPr>
            </w:pPr>
            <w:r>
              <w:rPr>
                <w:rFonts w:ascii="Arial" w:cs="Arial" w:eastAsia="Arial" w:hAnsi="Arial"/>
                <w:sz w:val="13"/>
                <w:szCs w:val="13"/>
                <w:b w:val="1"/>
                <w:bCs w:val="1"/>
                <w:color w:val="auto"/>
              </w:rPr>
              <w:t>Interest Variance</w:t>
            </w:r>
          </w:p>
        </w:tc>
        <w:tc>
          <w:tcPr>
            <w:tcW w:w="24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3"/>
                <w:szCs w:val="13"/>
                <w:b w:val="1"/>
                <w:bCs w:val="1"/>
                <w:color w:val="auto"/>
              </w:rPr>
              <w:t>Volume</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Rate</w:t>
            </w:r>
          </w:p>
        </w:tc>
        <w:tc>
          <w:tcPr>
            <w:tcW w:w="118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Interest Variance</w:t>
            </w:r>
          </w:p>
        </w:tc>
      </w:tr>
      <w:tr>
        <w:trPr>
          <w:trHeight w:val="158"/>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Interest Income:</w:t>
            </w: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r>
      <w:tr>
        <w:trPr>
          <w:trHeight w:val="169"/>
        </w:trPr>
        <w:tc>
          <w:tcPr>
            <w:tcW w:w="3740" w:type="dxa"/>
            <w:vAlign w:val="bottom"/>
          </w:tcPr>
          <w:p>
            <w:pPr>
              <w:ind w:left="100"/>
              <w:spacing w:after="0"/>
              <w:rPr>
                <w:sz w:val="20"/>
                <w:szCs w:val="20"/>
                <w:color w:val="auto"/>
              </w:rPr>
            </w:pPr>
            <w:r>
              <w:rPr>
                <w:rFonts w:ascii="Arial" w:cs="Arial" w:eastAsia="Arial" w:hAnsi="Arial"/>
                <w:sz w:val="13"/>
                <w:szCs w:val="13"/>
                <w:color w:val="auto"/>
              </w:rPr>
              <w:t>Interest-bearing deposits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(3,937)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5,141</w:t>
            </w: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1,204</w:t>
            </w:r>
          </w:p>
        </w:tc>
        <w:tc>
          <w:tcPr>
            <w:tcW w:w="8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(918)</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2,642</w:t>
            </w:r>
          </w:p>
        </w:tc>
        <w:tc>
          <w:tcPr>
            <w:tcW w:w="100" w:type="dxa"/>
            <w:vAlign w:val="bottom"/>
          </w:tcPr>
          <w:p>
            <w:pPr>
              <w:spacing w:after="0"/>
              <w:rPr>
                <w:sz w:val="14"/>
                <w:szCs w:val="14"/>
                <w:color w:val="auto"/>
              </w:rPr>
            </w:pPr>
          </w:p>
        </w:tc>
        <w:tc>
          <w:tcPr>
            <w:tcW w:w="500" w:type="dxa"/>
            <w:vAlign w:val="bottom"/>
          </w:tcPr>
          <w:p>
            <w:pPr>
              <w:jc w:val="right"/>
              <w:ind w:right="3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1,724</w:t>
            </w:r>
          </w:p>
        </w:tc>
      </w:tr>
      <w:tr>
        <w:trPr>
          <w:trHeight w:val="171"/>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Federal funds sold</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69"/>
        </w:trPr>
        <w:tc>
          <w:tcPr>
            <w:tcW w:w="3740" w:type="dxa"/>
            <w:vAlign w:val="bottom"/>
          </w:tcPr>
          <w:p>
            <w:pPr>
              <w:ind w:left="100"/>
              <w:spacing w:after="0"/>
              <w:rPr>
                <w:sz w:val="20"/>
                <w:szCs w:val="20"/>
                <w:color w:val="auto"/>
              </w:rPr>
            </w:pPr>
            <w:r>
              <w:rPr>
                <w:rFonts w:ascii="Arial" w:cs="Arial" w:eastAsia="Arial" w:hAnsi="Arial"/>
                <w:sz w:val="13"/>
                <w:szCs w:val="13"/>
                <w:color w:val="auto"/>
              </w:rPr>
              <w:t>Investment securities available for sale</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970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903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1,542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1,902</w:t>
            </w:r>
          </w:p>
        </w:tc>
      </w:tr>
      <w:tr>
        <w:trPr>
          <w:trHeight w:val="171"/>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Restricted investments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r>
      <w:tr>
        <w:trPr>
          <w:trHeight w:val="169"/>
        </w:trPr>
        <w:tc>
          <w:tcPr>
            <w:tcW w:w="3740" w:type="dxa"/>
            <w:vAlign w:val="bottom"/>
          </w:tcPr>
          <w:p>
            <w:pPr>
              <w:ind w:left="100"/>
              <w:spacing w:after="0"/>
              <w:rPr>
                <w:sz w:val="20"/>
                <w:szCs w:val="20"/>
                <w:color w:val="auto"/>
              </w:rPr>
            </w:pPr>
            <w:r>
              <w:rPr>
                <w:rFonts w:ascii="Arial" w:cs="Arial" w:eastAsia="Arial" w:hAnsi="Arial"/>
                <w:sz w:val="13"/>
                <w:szCs w:val="13"/>
                <w:color w:val="auto"/>
              </w:rPr>
              <w:t>Loans held for sale</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711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(789)</w:t>
            </w:r>
          </w:p>
        </w:tc>
      </w:tr>
      <w:tr>
        <w:trPr>
          <w:trHeight w:val="171"/>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SBA-PPP loans receivable</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(18,738)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14,602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(4,136)</w:t>
            </w:r>
          </w:p>
        </w:tc>
      </w:tr>
      <w:tr>
        <w:trPr>
          <w:trHeight w:val="169"/>
        </w:trPr>
        <w:tc>
          <w:tcPr>
            <w:tcW w:w="3740" w:type="dxa"/>
            <w:vAlign w:val="bottom"/>
          </w:tcPr>
          <w:p>
            <w:pPr>
              <w:ind w:left="100"/>
              <w:spacing w:after="0"/>
              <w:rPr>
                <w:sz w:val="20"/>
                <w:szCs w:val="20"/>
                <w:color w:val="auto"/>
              </w:rPr>
            </w:pPr>
            <w:r>
              <w:rPr>
                <w:rFonts w:ascii="Arial" w:cs="Arial" w:eastAsia="Arial" w:hAnsi="Arial"/>
                <w:sz w:val="13"/>
                <w:szCs w:val="13"/>
                <w:color w:val="auto"/>
              </w:rPr>
              <w:t>Portfolio loans receivable excluding credit card loans</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16,514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19,590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36,104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10,326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3,127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13,453</w:t>
            </w:r>
          </w:p>
        </w:tc>
      </w:tr>
      <w:tr>
        <w:trPr>
          <w:trHeight w:val="171"/>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Credit card loans</w:t>
            </w: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(6,413)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4,161</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7,093</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8,003</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15,096</w:t>
            </w:r>
          </w:p>
        </w:tc>
      </w:tr>
      <w:tr>
        <w:trPr>
          <w:trHeight w:val="160"/>
        </w:trPr>
        <w:tc>
          <w:tcPr>
            <w:tcW w:w="3740" w:type="dxa"/>
            <w:vAlign w:val="bottom"/>
          </w:tcPr>
          <w:p>
            <w:pPr>
              <w:ind w:left="180"/>
              <w:spacing w:after="0"/>
              <w:rPr>
                <w:sz w:val="20"/>
                <w:szCs w:val="20"/>
                <w:color w:val="auto"/>
              </w:rPr>
            </w:pPr>
            <w:r>
              <w:rPr>
                <w:rFonts w:ascii="Arial" w:cs="Arial" w:eastAsia="Arial" w:hAnsi="Arial"/>
                <w:sz w:val="13"/>
                <w:szCs w:val="13"/>
                <w:b w:val="1"/>
                <w:bCs w:val="1"/>
                <w:color w:val="auto"/>
              </w:rPr>
              <w:t>Total interest income</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5,121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27,439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32,560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(2,108)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29,511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27,403</w:t>
            </w:r>
          </w:p>
        </w:tc>
      </w:tr>
      <w:tr>
        <w:trPr>
          <w:trHeight w:val="170"/>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0"/>
        </w:trPr>
        <w:tc>
          <w:tcPr>
            <w:tcW w:w="3740" w:type="dxa"/>
            <w:vAlign w:val="bottom"/>
          </w:tcPr>
          <w:p>
            <w:pPr>
              <w:ind w:left="20"/>
              <w:spacing w:after="0"/>
              <w:rPr>
                <w:sz w:val="20"/>
                <w:szCs w:val="20"/>
                <w:color w:val="auto"/>
              </w:rPr>
            </w:pPr>
            <w:r>
              <w:rPr>
                <w:rFonts w:ascii="Arial" w:cs="Arial" w:eastAsia="Arial" w:hAnsi="Arial"/>
                <w:sz w:val="13"/>
                <w:szCs w:val="13"/>
                <w:b w:val="1"/>
                <w:bCs w:val="1"/>
                <w:color w:val="auto"/>
              </w:rPr>
              <w:t>Interest Expense:</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demand accounts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69"/>
        </w:trPr>
        <w:tc>
          <w:tcPr>
            <w:tcW w:w="3740" w:type="dxa"/>
            <w:vAlign w:val="bottom"/>
          </w:tcPr>
          <w:p>
            <w:pPr>
              <w:ind w:left="100"/>
              <w:spacing w:after="0"/>
              <w:rPr>
                <w:sz w:val="20"/>
                <w:szCs w:val="20"/>
                <w:color w:val="auto"/>
              </w:rPr>
            </w:pPr>
            <w:r>
              <w:rPr>
                <w:rFonts w:ascii="Arial" w:cs="Arial" w:eastAsia="Arial" w:hAnsi="Arial"/>
                <w:sz w:val="13"/>
                <w:szCs w:val="13"/>
                <w:color w:val="auto"/>
              </w:rPr>
              <w:t>Savings</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1"/>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Money market accounts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15,737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18,981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2,463</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3,045</w:t>
            </w:r>
          </w:p>
        </w:tc>
      </w:tr>
      <w:tr>
        <w:trPr>
          <w:trHeight w:val="169"/>
        </w:trPr>
        <w:tc>
          <w:tcPr>
            <w:tcW w:w="3740" w:type="dxa"/>
            <w:vAlign w:val="bottom"/>
          </w:tcPr>
          <w:p>
            <w:pPr>
              <w:ind w:left="100"/>
              <w:spacing w:after="0"/>
              <w:rPr>
                <w:sz w:val="20"/>
                <w:szCs w:val="20"/>
                <w:color w:val="auto"/>
              </w:rPr>
            </w:pPr>
            <w:r>
              <w:rPr>
                <w:rFonts w:ascii="Arial" w:cs="Arial" w:eastAsia="Arial" w:hAnsi="Arial"/>
                <w:sz w:val="13"/>
                <w:szCs w:val="13"/>
                <w:color w:val="auto"/>
              </w:rPr>
              <w:t>Time deposits</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8,527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4,379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12,906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594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(1,216)</w:t>
            </w:r>
          </w:p>
        </w:tc>
      </w:tr>
      <w:tr>
        <w:trPr>
          <w:trHeight w:val="171"/>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Borrowed funds</w:t>
            </w: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(637)</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1,357</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1,686</w:t>
            </w:r>
          </w:p>
        </w:tc>
      </w:tr>
      <w:tr>
        <w:trPr>
          <w:trHeight w:val="160"/>
        </w:trPr>
        <w:tc>
          <w:tcPr>
            <w:tcW w:w="3740" w:type="dxa"/>
            <w:vAlign w:val="bottom"/>
            <w:tcBorders>
              <w:bottom w:val="single" w:sz="8" w:color="CCEEFF"/>
            </w:tcBorders>
          </w:tcPr>
          <w:p>
            <w:pPr>
              <w:ind w:left="180"/>
              <w:spacing w:after="0"/>
              <w:rPr>
                <w:sz w:val="20"/>
                <w:szCs w:val="20"/>
                <w:color w:val="auto"/>
              </w:rPr>
            </w:pPr>
            <w:r>
              <w:rPr>
                <w:rFonts w:ascii="Arial" w:cs="Arial" w:eastAsia="Arial" w:hAnsi="Arial"/>
                <w:sz w:val="13"/>
                <w:szCs w:val="13"/>
                <w:b w:val="1"/>
                <w:bCs w:val="1"/>
                <w:color w:val="auto"/>
              </w:rPr>
              <w:t>Total interest expense</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11,051</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20,590</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31,641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3,382</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3,489</w:t>
            </w:r>
          </w:p>
        </w:tc>
      </w:tr>
      <w:tr>
        <w:trPr>
          <w:trHeight w:val="185"/>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interest income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(5,930)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6,849</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26,129</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23,914</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When comparing the years ended December 31, 2023 to 2022, the largest positive impact to total interest income was the effect of increases in market interest rates on substantially all interest earning assets. Growth in the loan portfolio, excluding credit cards, contributed $16.5 million to the increase in interest income, while the heightened interest rates on portfolio loans contributed $19.6 million for the year ended December 31, 2023 compared to the prior year. On a standalone basis, interest income attributable to the credit card portfolio declined by $2.2 million year over year primarily due to a decrease in open customer accounts and corresponding late charges and credit card loan balances, partially offset by higher interest income as a result of the rising rate environment. During the year ended December 31, 2022, $109.3 million of SBA-PPP loans were forgiven by the SBA which accelerated the recognition of $ 3.1 million of deferred fee income. In comparison, during the year ended December 31, 2023, $1.5 million of SBA-PPP loan principal was forgiven and $16 thousand of deferred fee income was recognized. Increased interest rates also contributed $20.6 million to increased interest expense, including $15.7 million from increased rates on money market accounts comparing the year ended December 31, 2023 to the prior year, substantially offsetting the increase in total interest income. The increase in the amount of time deposits contributed an additional $8.5 million to the increase in interest expense.</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Rising interest rates have resulted in some customers moving balances from noninterest-bearing deposit accounts to interest-bearing deposit accounts which increased interest expense. The average balance of noninterest-bearing deposits of $655.0 million for the year ended December 31, 2023 decreased $127.0 million from $782.0 million for the prior year. The average balance of interest-bearing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auto"/>
        </w:rPr>
        <w:t>deposits of $1.2 billion for the year ended December 31, 2023 increased $227.4 million from $982.1 million for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Provision for Credit Losses</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provision for credit losses represents the amount of expense charged to current earnings to fund the ACL. The amount for credit losses is based on many factors which reflect management’s assessment of the risk in the loan portfolio. Those factors include historical losses, forecasted cash flows, economic conditions and trends, the value and adequacy of collateral, volume and mix of the portfolio, performance of the portfolio, and internal loan processes of the Company and Bank. For a description of the factors taken into account by our management in determining the ACL, see “Financial Condition— Allowance for Credit Losses.”</w:t>
      </w:r>
    </w:p>
    <w:p>
      <w:pPr>
        <w:spacing w:after="0" w:line="13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For the year ended December 31, 2023, the provision for credit losses was $9.6 million, an increase of $3.0 million from the recorded provision for loan losses of $ 6.6 million for the year ended December 31, 2022. Net charge-offs for the year ended December 31, 2023 were $8.5 million, or 0.47% of average portfolio loans, compared to $5.4 million, or 0.34% of average portfolio loans, for the same period in 2022. The $8.5 million in net charge-offs during the year ended December 31, 2023 was comprised primarily of credit card portfolio net charge-offs, with $5.5 million related to secured and partially secured cards while $1.4 million was related to unsecured cards.</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Although the majority of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credit cards are secured, losses may occur. Some losses result from identity fraud, payment fraud and funding fraud. In addition, losses are sometimes incurred when customers exceed established credit limits as a consequence of certain VISA membership policies that allow cardholders to incur certain charges, such as, for example, rental car charges, gas station charges and hotel deposits, that may exceed card limits. Finally, losses to our credit card portfolio may arise if cardholders cease to maintain the account in good standing with timely payments.</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ACL as a percent of portfolio loans was 1.50% at December 31, 2023. The ACL at December 31, 2022, prior to the adoption of CECL, represented 1.53% of portfolio loans. The maintenance of a high-quality loan portfolio, with an adequate allowance for expected credit losses, will continue to be a primary objective for the Company. See additional discussion regarding the Company’s ACL and reserve for unfunded commitments credit exposures at December 31, 2023 in “Financial Condition - Allowance for Credit Losses.”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Noninterest Income</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primary sources of recurring noninterest income are credit card fees, such as interchange fees and statement fees, and mortgage banking revenue. Noninterest income does not include (i) loan origination fees to the extent they exceed the direct loan origination costs, which are generally recognized over the life of the related loan as an adjustment to yield using the interest method or (ii) annual and renewal fees related to our credit card portfolio, which are generally recognized over the twelve month life of the related loan as an adjustment to yield using the interest method and late fees.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auto"/>
        </w:rPr>
        <w:t>The following table presents, for the periods indicated, the major categories of noninterest income: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Years Ended December 31,</w:t>
            </w:r>
          </w:p>
        </w:tc>
        <w:tc>
          <w:tcPr>
            <w:tcW w:w="1520" w:type="dxa"/>
            <w:vAlign w:val="bottom"/>
            <w:tcBorders>
              <w:bottom w:val="single" w:sz="8" w:color="auto"/>
            </w:tcBorders>
          </w:tcPr>
          <w:p>
            <w:pPr>
              <w:spacing w:after="0"/>
              <w:rPr>
                <w:sz w:val="13"/>
                <w:szCs w:val="13"/>
                <w:color w:val="auto"/>
              </w:rPr>
            </w:pPr>
          </w:p>
        </w:tc>
      </w:tr>
      <w:tr>
        <w:trPr>
          <w:trHeight w:val="15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 Change</w:t>
            </w:r>
          </w:p>
        </w:tc>
      </w:tr>
      <w:tr>
        <w:trPr>
          <w:trHeight w:val="150"/>
        </w:trPr>
        <w:tc>
          <w:tcPr>
            <w:tcW w:w="67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Noninterest income:</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69"/>
        </w:trPr>
        <w:tc>
          <w:tcPr>
            <w:tcW w:w="6740" w:type="dxa"/>
            <w:vAlign w:val="bottom"/>
          </w:tcPr>
          <w:p>
            <w:pPr>
              <w:ind w:left="140"/>
              <w:spacing w:after="0"/>
              <w:rPr>
                <w:sz w:val="20"/>
                <w:szCs w:val="20"/>
                <w:color w:val="auto"/>
              </w:rPr>
            </w:pPr>
            <w:r>
              <w:rPr>
                <w:rFonts w:ascii="Arial" w:cs="Arial" w:eastAsia="Arial" w:hAnsi="Arial"/>
                <w:sz w:val="13"/>
                <w:szCs w:val="13"/>
                <w:color w:val="auto"/>
              </w:rPr>
              <w:t>Service charges on deposit accounts</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964</w:t>
            </w:r>
          </w:p>
        </w:tc>
        <w:tc>
          <w:tcPr>
            <w:tcW w:w="100" w:type="dxa"/>
            <w:vAlign w:val="bottom"/>
          </w:tcPr>
          <w:p>
            <w:pPr>
              <w:spacing w:after="0"/>
              <w:rPr>
                <w:sz w:val="14"/>
                <w:szCs w:val="14"/>
                <w:color w:val="auto"/>
              </w:rPr>
            </w:pPr>
          </w:p>
        </w:tc>
        <w:tc>
          <w:tcPr>
            <w:tcW w:w="34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767</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25.7 %</w:t>
            </w:r>
          </w:p>
        </w:tc>
      </w:tr>
      <w:tr>
        <w:trPr>
          <w:trHeight w:val="171"/>
        </w:trPr>
        <w:tc>
          <w:tcPr>
            <w:tcW w:w="6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Credit card fees</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17,273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21,972</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(21.4)</w:t>
            </w:r>
          </w:p>
        </w:tc>
      </w:tr>
      <w:tr>
        <w:trPr>
          <w:trHeight w:val="169"/>
        </w:trPr>
        <w:tc>
          <w:tcPr>
            <w:tcW w:w="6740" w:type="dxa"/>
            <w:vAlign w:val="bottom"/>
          </w:tcPr>
          <w:p>
            <w:pPr>
              <w:ind w:left="140"/>
              <w:spacing w:after="0"/>
              <w:rPr>
                <w:sz w:val="20"/>
                <w:szCs w:val="20"/>
                <w:color w:val="auto"/>
              </w:rPr>
            </w:pPr>
            <w:r>
              <w:rPr>
                <w:rFonts w:ascii="Arial" w:cs="Arial" w:eastAsia="Arial" w:hAnsi="Arial"/>
                <w:sz w:val="13"/>
                <w:szCs w:val="13"/>
                <w:color w:val="auto"/>
              </w:rPr>
              <w:t>Mortgage banking revenue</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4,896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4,866</w:t>
            </w:r>
          </w:p>
        </w:tc>
        <w:tc>
          <w:tcPr>
            <w:tcW w:w="100" w:type="dxa"/>
            <w:vAlign w:val="bottom"/>
          </w:tcPr>
          <w:p>
            <w:pPr>
              <w:spacing w:after="0"/>
              <w:rPr>
                <w:sz w:val="14"/>
                <w:szCs w:val="14"/>
                <w:color w:val="auto"/>
              </w:rPr>
            </w:pPr>
          </w:p>
        </w:tc>
        <w:tc>
          <w:tcPr>
            <w:tcW w:w="1520" w:type="dxa"/>
            <w:vAlign w:val="bottom"/>
          </w:tcPr>
          <w:p>
            <w:pPr>
              <w:jc w:val="right"/>
              <w:ind w:right="98"/>
              <w:spacing w:after="0"/>
              <w:rPr>
                <w:sz w:val="20"/>
                <w:szCs w:val="20"/>
                <w:color w:val="auto"/>
              </w:rPr>
            </w:pPr>
            <w:r>
              <w:rPr>
                <w:rFonts w:ascii="Arial" w:cs="Arial" w:eastAsia="Arial" w:hAnsi="Arial"/>
                <w:sz w:val="13"/>
                <w:szCs w:val="13"/>
                <w:color w:val="auto"/>
              </w:rPr>
              <w:t>0.6</w:t>
            </w:r>
          </w:p>
        </w:tc>
      </w:tr>
      <w:tr>
        <w:trPr>
          <w:trHeight w:val="170"/>
        </w:trPr>
        <w:tc>
          <w:tcPr>
            <w:tcW w:w="6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income</w:t>
            </w: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1,767</w:t>
            </w:r>
          </w:p>
        </w:tc>
        <w:tc>
          <w:tcPr>
            <w:tcW w:w="100" w:type="dxa"/>
            <w:vAlign w:val="bottom"/>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4.2</w:t>
            </w:r>
          </w:p>
        </w:tc>
      </w:tr>
      <w:tr>
        <w:trPr>
          <w:trHeight w:val="162"/>
        </w:trPr>
        <w:tc>
          <w:tcPr>
            <w:tcW w:w="6740" w:type="dxa"/>
            <w:vAlign w:val="bottom"/>
          </w:tcPr>
          <w:p>
            <w:pPr>
              <w:ind w:left="280"/>
              <w:spacing w:after="0"/>
              <w:rPr>
                <w:sz w:val="20"/>
                <w:szCs w:val="20"/>
                <w:color w:val="auto"/>
              </w:rPr>
            </w:pPr>
            <w:r>
              <w:rPr>
                <w:rFonts w:ascii="Arial" w:cs="Arial" w:eastAsia="Arial" w:hAnsi="Arial"/>
                <w:sz w:val="13"/>
                <w:szCs w:val="13"/>
                <w:color w:val="auto"/>
              </w:rPr>
              <w:t>Total noninterest income</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24,975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29,372</w:t>
            </w:r>
          </w:p>
        </w:tc>
        <w:tc>
          <w:tcPr>
            <w:tcW w:w="100" w:type="dxa"/>
            <w:vAlign w:val="bottom"/>
          </w:tcPr>
          <w:p>
            <w:pPr>
              <w:spacing w:after="0"/>
              <w:rPr>
                <w:sz w:val="14"/>
                <w:szCs w:val="14"/>
                <w:color w:val="auto"/>
              </w:rPr>
            </w:pPr>
          </w:p>
        </w:tc>
        <w:tc>
          <w:tcPr>
            <w:tcW w:w="1520" w:type="dxa"/>
            <w:vAlign w:val="bottom"/>
            <w:tcBorders>
              <w:bottom w:val="single" w:sz="8" w:color="auto"/>
            </w:tcBorders>
          </w:tcPr>
          <w:p>
            <w:pPr>
              <w:ind w:left="1060"/>
              <w:spacing w:after="0"/>
              <w:rPr>
                <w:sz w:val="20"/>
                <w:szCs w:val="20"/>
                <w:color w:val="auto"/>
              </w:rPr>
            </w:pPr>
            <w:r>
              <w:rPr>
                <w:rFonts w:ascii="Arial" w:cs="Arial" w:eastAsia="Arial" w:hAnsi="Arial"/>
                <w:sz w:val="13"/>
                <w:szCs w:val="13"/>
                <w:color w:val="auto"/>
                <w:w w:val="96"/>
              </w:rPr>
              <w:t>(15.0)%</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For the year ended December 31, 2023, noninterest income of $25.0 million decreased $ 4.4 million, or 15.0%, from the same period in 2022. Credit card fees of $17.3 million decreased $4.7 million as compared to the year ended December 31, 2022, as the number of open customer accounts declined to 525,314 at December 31, 2023 from 533,855 at December 31, 2022. Service charges on deposit accounts increased $0.2 million reflecting fee income generated from an increase in deposit balances and relationships.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Bank’s Capital Bank Home Loans division saw a decline in mortgage originations during the year ended December 31, 2023 when compared to the prior year ended December 31, 2022. A rising interest rate environment dampened home loan sales and home loan refinances. Gain on sale margins, were up from 2.34% for the twelve months ended December 31, 2022 to 2.76% for the twelve months ended December 31, 2023. Historically-low housing inventory and increasing interest rates are likely to continue suppressing origination volumes.</w:t>
      </w:r>
    </w:p>
    <w:p>
      <w:pPr>
        <w:spacing w:after="0" w:line="13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Mortgage loans sold are subject to repurchase in circumstances where documentation is deficient or the underlying loan becomes delinquent or pays off within a specified period following loan funding and sale. The Bank considers these potential recourse provisions to be a risk and has established a reserve under generally accepted accounting principles for possible repurchases. The reserve was $1.0 million at December 31, 2023 and $1.2 million at December 31, 2022. The Bank repurchased one loan in November 2023 for $597 thousand and one loan in December 2022 for $463 thousand. The Bank does not originate “sub-prime” mortgage loans and has no exposure to this market segment.</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Noninterest Expense</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Generally, noninterest expense is comprised of all employee expenses and costs associated with operating our facilities, obtaining and retaining customer relationships and providing bank services, with the largest component being salaries and employee benefits.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auto"/>
        </w:rPr>
        <w:t>The following table presents, for the periods indicated, the major categories of noninterest expense: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3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Years Ended December 31,</w:t>
            </w:r>
          </w:p>
        </w:tc>
        <w:tc>
          <w:tcPr>
            <w:tcW w:w="1640" w:type="dxa"/>
            <w:vAlign w:val="bottom"/>
            <w:tcBorders>
              <w:bottom w:val="single" w:sz="8" w:color="auto"/>
            </w:tcBorders>
          </w:tcPr>
          <w:p>
            <w:pPr>
              <w:spacing w:after="0"/>
              <w:rPr>
                <w:sz w:val="13"/>
                <w:szCs w:val="13"/>
                <w:color w:val="auto"/>
              </w:rPr>
            </w:pPr>
          </w:p>
        </w:tc>
      </w:tr>
      <w:tr>
        <w:trPr>
          <w:trHeight w:val="15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2023</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b w:val="1"/>
                <w:bCs w:val="1"/>
                <w:color w:val="auto"/>
              </w:rPr>
              <w:t>% Change</w:t>
            </w:r>
          </w:p>
        </w:tc>
      </w:tr>
      <w:tr>
        <w:trPr>
          <w:trHeight w:val="150"/>
        </w:trPr>
        <w:tc>
          <w:tcPr>
            <w:tcW w:w="6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Noninterest expense:</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69"/>
        </w:trPr>
        <w:tc>
          <w:tcPr>
            <w:tcW w:w="6380" w:type="dxa"/>
            <w:vAlign w:val="bottom"/>
          </w:tcPr>
          <w:p>
            <w:pPr>
              <w:ind w:left="140"/>
              <w:spacing w:after="0"/>
              <w:rPr>
                <w:sz w:val="20"/>
                <w:szCs w:val="20"/>
                <w:color w:val="auto"/>
              </w:rPr>
            </w:pPr>
            <w:r>
              <w:rPr>
                <w:rFonts w:ascii="Arial" w:cs="Arial" w:eastAsia="Arial" w:hAnsi="Arial"/>
                <w:sz w:val="13"/>
                <w:szCs w:val="13"/>
                <w:color w:val="auto"/>
              </w:rPr>
              <w:t>Salaries and employee benefits</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48,754</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42,898</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13.7 %</w:t>
            </w:r>
          </w:p>
        </w:tc>
      </w:tr>
      <w:tr>
        <w:trPr>
          <w:trHeight w:val="171"/>
        </w:trPr>
        <w:tc>
          <w:tcPr>
            <w:tcW w:w="6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Occupancy and equipment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4,865</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16.6</w:t>
            </w:r>
          </w:p>
        </w:tc>
      </w:tr>
      <w:tr>
        <w:trPr>
          <w:trHeight w:val="169"/>
        </w:trPr>
        <w:tc>
          <w:tcPr>
            <w:tcW w:w="6380" w:type="dxa"/>
            <w:vAlign w:val="bottom"/>
          </w:tcPr>
          <w:p>
            <w:pPr>
              <w:ind w:left="140"/>
              <w:spacing w:after="0"/>
              <w:rPr>
                <w:sz w:val="20"/>
                <w:szCs w:val="20"/>
                <w:color w:val="auto"/>
              </w:rPr>
            </w:pPr>
            <w:r>
              <w:rPr>
                <w:rFonts w:ascii="Arial" w:cs="Arial" w:eastAsia="Arial" w:hAnsi="Arial"/>
                <w:sz w:val="13"/>
                <w:szCs w:val="13"/>
                <w:color w:val="auto"/>
              </w:rPr>
              <w:t>Professional fees</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9,270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11,012</w:t>
            </w:r>
          </w:p>
        </w:tc>
        <w:tc>
          <w:tcPr>
            <w:tcW w:w="100" w:type="dxa"/>
            <w:vAlign w:val="bottom"/>
          </w:tcPr>
          <w:p>
            <w:pPr>
              <w:spacing w:after="0"/>
              <w:rPr>
                <w:sz w:val="14"/>
                <w:szCs w:val="14"/>
                <w:color w:val="auto"/>
              </w:rPr>
            </w:pPr>
          </w:p>
        </w:tc>
        <w:tc>
          <w:tcPr>
            <w:tcW w:w="1640" w:type="dxa"/>
            <w:vAlign w:val="bottom"/>
          </w:tcPr>
          <w:p>
            <w:pPr>
              <w:jc w:val="right"/>
              <w:ind w:right="57"/>
              <w:spacing w:after="0"/>
              <w:rPr>
                <w:sz w:val="20"/>
                <w:szCs w:val="20"/>
                <w:color w:val="auto"/>
              </w:rPr>
            </w:pPr>
            <w:r>
              <w:rPr>
                <w:rFonts w:ascii="Arial" w:cs="Arial" w:eastAsia="Arial" w:hAnsi="Arial"/>
                <w:sz w:val="13"/>
                <w:szCs w:val="13"/>
                <w:color w:val="auto"/>
              </w:rPr>
              <w:t>(15.8)</w:t>
            </w:r>
          </w:p>
        </w:tc>
      </w:tr>
      <w:tr>
        <w:trPr>
          <w:trHeight w:val="171"/>
        </w:trPr>
        <w:tc>
          <w:tcPr>
            <w:tcW w:w="6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Data processing</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25,686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29,418</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(12.7)</w:t>
            </w:r>
          </w:p>
        </w:tc>
      </w:tr>
      <w:tr>
        <w:trPr>
          <w:trHeight w:val="169"/>
        </w:trPr>
        <w:tc>
          <w:tcPr>
            <w:tcW w:w="6380" w:type="dxa"/>
            <w:vAlign w:val="bottom"/>
          </w:tcPr>
          <w:p>
            <w:pPr>
              <w:ind w:left="140"/>
              <w:spacing w:after="0"/>
              <w:rPr>
                <w:sz w:val="20"/>
                <w:szCs w:val="20"/>
                <w:color w:val="auto"/>
              </w:rPr>
            </w:pPr>
            <w:r>
              <w:rPr>
                <w:rFonts w:ascii="Arial" w:cs="Arial" w:eastAsia="Arial" w:hAnsi="Arial"/>
                <w:sz w:val="13"/>
                <w:szCs w:val="13"/>
                <w:color w:val="auto"/>
              </w:rPr>
              <w:t>Advertising</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6,161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6,220</w:t>
            </w:r>
          </w:p>
        </w:tc>
        <w:tc>
          <w:tcPr>
            <w:tcW w:w="100" w:type="dxa"/>
            <w:vAlign w:val="bottom"/>
          </w:tcPr>
          <w:p>
            <w:pPr>
              <w:spacing w:after="0"/>
              <w:rPr>
                <w:sz w:val="14"/>
                <w:szCs w:val="14"/>
                <w:color w:val="auto"/>
              </w:rPr>
            </w:pPr>
          </w:p>
        </w:tc>
        <w:tc>
          <w:tcPr>
            <w:tcW w:w="1640" w:type="dxa"/>
            <w:vAlign w:val="bottom"/>
          </w:tcPr>
          <w:p>
            <w:pPr>
              <w:jc w:val="right"/>
              <w:ind w:right="57"/>
              <w:spacing w:after="0"/>
              <w:rPr>
                <w:sz w:val="20"/>
                <w:szCs w:val="20"/>
                <w:color w:val="auto"/>
              </w:rPr>
            </w:pPr>
            <w:r>
              <w:rPr>
                <w:rFonts w:ascii="Arial" w:cs="Arial" w:eastAsia="Arial" w:hAnsi="Arial"/>
                <w:sz w:val="13"/>
                <w:szCs w:val="13"/>
                <w:color w:val="auto"/>
              </w:rPr>
              <w:t>(0.9)</w:t>
            </w:r>
          </w:p>
        </w:tc>
      </w:tr>
      <w:tr>
        <w:trPr>
          <w:trHeight w:val="171"/>
        </w:trPr>
        <w:tc>
          <w:tcPr>
            <w:tcW w:w="6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Loan processing</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r>
      <w:tr>
        <w:trPr>
          <w:trHeight w:val="169"/>
        </w:trPr>
        <w:tc>
          <w:tcPr>
            <w:tcW w:w="6380" w:type="dxa"/>
            <w:vAlign w:val="bottom"/>
          </w:tcPr>
          <w:p>
            <w:pPr>
              <w:ind w:left="140"/>
              <w:spacing w:after="0"/>
              <w:rPr>
                <w:sz w:val="20"/>
                <w:szCs w:val="20"/>
                <w:color w:val="auto"/>
              </w:rPr>
            </w:pPr>
            <w:r>
              <w:rPr>
                <w:rFonts w:ascii="Arial" w:cs="Arial" w:eastAsia="Arial" w:hAnsi="Arial"/>
                <w:sz w:val="13"/>
                <w:szCs w:val="13"/>
                <w:color w:val="auto"/>
              </w:rPr>
              <w:t>Foreclosed real estate expense, net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4"/>
                <w:szCs w:val="14"/>
                <w:color w:val="auto"/>
              </w:rPr>
            </w:pPr>
          </w:p>
        </w:tc>
        <w:tc>
          <w:tcPr>
            <w:tcW w:w="1640" w:type="dxa"/>
            <w:vAlign w:val="bottom"/>
          </w:tcPr>
          <w:p>
            <w:pPr>
              <w:jc w:val="right"/>
              <w:ind w:right="57"/>
              <w:spacing w:after="0"/>
              <w:rPr>
                <w:sz w:val="20"/>
                <w:szCs w:val="20"/>
                <w:color w:val="auto"/>
              </w:rPr>
            </w:pPr>
            <w:r>
              <w:rPr>
                <w:rFonts w:ascii="Arial" w:cs="Arial" w:eastAsia="Arial" w:hAnsi="Arial"/>
                <w:sz w:val="13"/>
                <w:szCs w:val="13"/>
                <w:color w:val="auto"/>
              </w:rPr>
              <w:t>(103.8)</w:t>
            </w:r>
          </w:p>
        </w:tc>
      </w:tr>
      <w:tr>
        <w:trPr>
          <w:trHeight w:val="171"/>
        </w:trPr>
        <w:tc>
          <w:tcPr>
            <w:tcW w:w="6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Operational losses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4,469</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3.2</w:t>
            </w:r>
          </w:p>
        </w:tc>
      </w:tr>
      <w:tr>
        <w:trPr>
          <w:trHeight w:val="169"/>
        </w:trPr>
        <w:tc>
          <w:tcPr>
            <w:tcW w:w="6380" w:type="dxa"/>
            <w:vAlign w:val="bottom"/>
          </w:tcPr>
          <w:p>
            <w:pPr>
              <w:ind w:left="140"/>
              <w:spacing w:after="0"/>
              <w:rPr>
                <w:sz w:val="20"/>
                <w:szCs w:val="20"/>
                <w:color w:val="auto"/>
              </w:rPr>
            </w:pPr>
            <w:r>
              <w:rPr>
                <w:rFonts w:ascii="Arial" w:cs="Arial" w:eastAsia="Arial" w:hAnsi="Arial"/>
                <w:sz w:val="13"/>
                <w:szCs w:val="13"/>
                <w:color w:val="auto"/>
              </w:rPr>
              <w:t>Outside service providers</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1,932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3,338</w:t>
            </w:r>
          </w:p>
        </w:tc>
        <w:tc>
          <w:tcPr>
            <w:tcW w:w="100" w:type="dxa"/>
            <w:vAlign w:val="bottom"/>
          </w:tcPr>
          <w:p>
            <w:pPr>
              <w:spacing w:after="0"/>
              <w:rPr>
                <w:sz w:val="14"/>
                <w:szCs w:val="14"/>
                <w:color w:val="auto"/>
              </w:rPr>
            </w:pPr>
          </w:p>
        </w:tc>
        <w:tc>
          <w:tcPr>
            <w:tcW w:w="1640" w:type="dxa"/>
            <w:vAlign w:val="bottom"/>
          </w:tcPr>
          <w:p>
            <w:pPr>
              <w:jc w:val="right"/>
              <w:ind w:right="57"/>
              <w:spacing w:after="0"/>
              <w:rPr>
                <w:sz w:val="20"/>
                <w:szCs w:val="20"/>
                <w:color w:val="auto"/>
              </w:rPr>
            </w:pPr>
            <w:r>
              <w:rPr>
                <w:rFonts w:ascii="Arial" w:cs="Arial" w:eastAsia="Arial" w:hAnsi="Arial"/>
                <w:sz w:val="13"/>
                <w:szCs w:val="13"/>
                <w:color w:val="auto"/>
              </w:rPr>
              <w:t>(42.1)</w:t>
            </w:r>
          </w:p>
        </w:tc>
      </w:tr>
      <w:tr>
        <w:trPr>
          <w:trHeight w:val="170"/>
        </w:trPr>
        <w:tc>
          <w:tcPr>
            <w:tcW w:w="6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operating</w:t>
            </w: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7,038</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5,375</w:t>
            </w:r>
          </w:p>
        </w:tc>
        <w:tc>
          <w:tcPr>
            <w:tcW w:w="100" w:type="dxa"/>
            <w:vAlign w:val="bottom"/>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30.9</w:t>
            </w:r>
          </w:p>
        </w:tc>
      </w:tr>
      <w:tr>
        <w:trPr>
          <w:trHeight w:val="162"/>
        </w:trPr>
        <w:tc>
          <w:tcPr>
            <w:tcW w:w="6380" w:type="dxa"/>
            <w:vAlign w:val="bottom"/>
          </w:tcPr>
          <w:p>
            <w:pPr>
              <w:ind w:left="280"/>
              <w:spacing w:after="0"/>
              <w:rPr>
                <w:sz w:val="20"/>
                <w:szCs w:val="20"/>
                <w:color w:val="auto"/>
              </w:rPr>
            </w:pPr>
            <w:r>
              <w:rPr>
                <w:rFonts w:ascii="Arial" w:cs="Arial" w:eastAsia="Arial" w:hAnsi="Arial"/>
                <w:sz w:val="13"/>
                <w:szCs w:val="13"/>
                <w:color w:val="auto"/>
              </w:rPr>
              <w:t>Total noninterest expense</w:t>
            </w: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110,767</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109,114</w:t>
            </w:r>
          </w:p>
        </w:tc>
        <w:tc>
          <w:tcPr>
            <w:tcW w:w="100" w:type="dxa"/>
            <w:vAlign w:val="bottom"/>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1.5 %</w:t>
            </w: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For the year ended December 31, 2023, noninterest expense of $110.8 million increased $1.7 million, or 1.5%, from the same period in 2022. The increase was primarily driven by a $5.9 million, or 13.7%, increase in salaries and employee benefits due in part to growth in headcount in our commercial and commercial real estate lending groups as well as additional positions in executive management as the Company continues to put in place the requisite human capital for its continued growth. Other operating expenses increased $1.7 million including an increase in insurance related expenses and other miscellaneous expenses. Further, occupancy and equipment expense increased $0.8 million, or 16.6%. Data processing expense decreased $ 3.7 million, or 12.7%, and outside service providers expense decreased $1.4 million, or 42.1%, as fees related to card services was lower as card usage declined, and professional fees decreased $1.7 million, or 15.8%, due to a reduction in third party consulting fees. The decrease in data processing expense was the result of a contract renegotiation entered into in the first quarter 2022 in the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Division as well as fewer average open cards during the period.</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 Expense</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amount of income tax expense we incur is influenced by our pre-tax income and our nondeductible expenses. Deferred tax assets and liabilities are reflected at enacted tax rates in effect for the period in which the deferred tax assets and liabilities are expected to be realized or settled. A valuation allowance is established when necessary to reduce deferred tax assets to the amount expected to be realized.</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was $10.4 million for 2023 compared to $12.4 million for 2022. Our effective tax rates for those periods were 22.4% and 22.9%,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45" w:name="page46"/>
    <w:bookmarkEnd w:id="45"/>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financial condition at the dates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1"/>
                <w:szCs w:val="11"/>
                <w:b w:val="1"/>
                <w:bCs w:val="1"/>
                <w:color w:val="auto"/>
              </w:rPr>
              <w:t>December 31,</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ind w:left="720"/>
              <w:spacing w:after="0"/>
              <w:rPr>
                <w:sz w:val="20"/>
                <w:szCs w:val="20"/>
                <w:color w:val="auto"/>
              </w:rPr>
            </w:pPr>
            <w:r>
              <w:rPr>
                <w:rFonts w:ascii="Arial" w:cs="Arial" w:eastAsia="Arial" w:hAnsi="Arial"/>
                <w:sz w:val="11"/>
                <w:szCs w:val="11"/>
                <w:b w:val="1"/>
                <w:bCs w:val="1"/>
                <w:color w:val="auto"/>
              </w:rPr>
              <w:t>Change expressed in:</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52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380" w:type="dxa"/>
            <w:vAlign w:val="bottom"/>
          </w:tcPr>
          <w:p>
            <w:pPr>
              <w:spacing w:after="0"/>
              <w:rPr>
                <w:sz w:val="13"/>
                <w:szCs w:val="13"/>
                <w:color w:val="auto"/>
              </w:rPr>
            </w:pPr>
          </w:p>
        </w:tc>
        <w:tc>
          <w:tcPr>
            <w:tcW w:w="1260" w:type="dxa"/>
            <w:vAlign w:val="bottom"/>
          </w:tcPr>
          <w:p>
            <w:pPr>
              <w:jc w:val="right"/>
              <w:ind w:right="637"/>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ind w:right="617"/>
              <w:spacing w:after="0"/>
              <w:rPr>
                <w:sz w:val="20"/>
                <w:szCs w:val="20"/>
                <w:color w:val="auto"/>
              </w:rPr>
            </w:pPr>
            <w:r>
              <w:rPr>
                <w:rFonts w:ascii="Arial" w:cs="Arial" w:eastAsia="Arial" w:hAnsi="Arial"/>
                <w:sz w:val="11"/>
                <w:szCs w:val="11"/>
                <w:b w:val="1"/>
                <w:bCs w:val="1"/>
                <w:color w:val="auto"/>
              </w:rPr>
              <w:t>2022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gridSpan w:val="3"/>
          </w:tcPr>
          <w:p>
            <w:pPr>
              <w:ind w:left="240"/>
              <w:spacing w:after="0"/>
              <w:rPr>
                <w:sz w:val="20"/>
                <w:szCs w:val="20"/>
                <w:color w:val="auto"/>
              </w:rPr>
            </w:pPr>
            <w:r>
              <w:rPr>
                <w:rFonts w:ascii="Arial" w:cs="Arial" w:eastAsia="Arial" w:hAnsi="Arial"/>
                <w:sz w:val="11"/>
                <w:szCs w:val="11"/>
                <w:b w:val="1"/>
                <w:bCs w:val="1"/>
                <w:color w:val="auto"/>
              </w:rPr>
              <w:t>Dollars</w:t>
            </w:r>
          </w:p>
        </w:tc>
        <w:tc>
          <w:tcPr>
            <w:tcW w:w="1040" w:type="dxa"/>
            <w:vAlign w:val="bottom"/>
          </w:tcPr>
          <w:p>
            <w:pPr>
              <w:jc w:val="right"/>
              <w:ind w:right="537"/>
              <w:spacing w:after="0"/>
              <w:rPr>
                <w:sz w:val="20"/>
                <w:szCs w:val="20"/>
                <w:color w:val="auto"/>
              </w:rPr>
            </w:pPr>
            <w:r>
              <w:rPr>
                <w:rFonts w:ascii="Arial" w:cs="Arial" w:eastAsia="Arial" w:hAnsi="Arial"/>
                <w:sz w:val="11"/>
                <w:szCs w:val="11"/>
                <w:b w:val="1"/>
                <w:bCs w:val="1"/>
                <w:color w:val="auto"/>
              </w:rPr>
              <w:t>Percent</w:t>
            </w:r>
          </w:p>
        </w:tc>
        <w:tc>
          <w:tcPr>
            <w:tcW w:w="0" w:type="dxa"/>
            <w:vAlign w:val="bottom"/>
          </w:tcPr>
          <w:p>
            <w:pPr>
              <w:spacing w:after="0"/>
              <w:rPr>
                <w:sz w:val="1"/>
                <w:szCs w:val="1"/>
                <w:color w:val="auto"/>
              </w:rPr>
            </w:pPr>
          </w:p>
        </w:tc>
      </w:tr>
      <w:tr>
        <w:trPr>
          <w:trHeight w:val="161"/>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2,226,176</w:t>
            </w: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2,123,655</w:t>
            </w: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102,521</w:t>
            </w: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4.8 %</w:t>
            </w:r>
          </w:p>
        </w:tc>
        <w:tc>
          <w:tcPr>
            <w:tcW w:w="0" w:type="dxa"/>
            <w:vAlign w:val="bottom"/>
          </w:tcPr>
          <w:p>
            <w:pPr>
              <w:spacing w:after="0"/>
              <w:rPr>
                <w:sz w:val="1"/>
                <w:szCs w:val="1"/>
                <w:color w:val="auto"/>
              </w:rPr>
            </w:pPr>
          </w:p>
        </w:tc>
      </w:tr>
      <w:tr>
        <w:trPr>
          <w:trHeight w:val="169"/>
        </w:trPr>
        <w:tc>
          <w:tcPr>
            <w:tcW w:w="4520" w:type="dxa"/>
            <w:vAlign w:val="bottom"/>
          </w:tcPr>
          <w:p>
            <w:pPr>
              <w:ind w:left="20"/>
              <w:spacing w:after="0"/>
              <w:rPr>
                <w:sz w:val="20"/>
                <w:szCs w:val="20"/>
                <w:color w:val="auto"/>
              </w:rPr>
            </w:pPr>
            <w:r>
              <w:rPr>
                <w:rFonts w:ascii="Arial" w:cs="Arial" w:eastAsia="Arial" w:hAnsi="Arial"/>
                <w:sz w:val="13"/>
                <w:szCs w:val="13"/>
                <w:color w:val="auto"/>
              </w:rPr>
              <w:t>Investment securities available for sale</w:t>
            </w:r>
          </w:p>
        </w:tc>
        <w:tc>
          <w:tcPr>
            <w:tcW w:w="380" w:type="dxa"/>
            <w:vAlign w:val="bottom"/>
          </w:tcPr>
          <w:p>
            <w:pPr>
              <w:spacing w:after="0"/>
              <w:rPr>
                <w:sz w:val="14"/>
                <w:szCs w:val="14"/>
                <w:color w:val="auto"/>
              </w:rPr>
            </w:pP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208,329</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252,481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(44,152)</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 loans held for sale</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7,481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7,416</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27"/>
        </w:trPr>
        <w:tc>
          <w:tcPr>
            <w:tcW w:w="4520" w:type="dxa"/>
            <w:vAlign w:val="bottom"/>
          </w:tcPr>
          <w:p>
            <w:pPr>
              <w:ind w:left="20"/>
              <w:spacing w:after="0" w:line="128" w:lineRule="exact"/>
              <w:rPr>
                <w:sz w:val="20"/>
                <w:szCs w:val="20"/>
                <w:color w:val="auto"/>
              </w:rPr>
            </w:pPr>
            <w:r>
              <w:rPr>
                <w:rFonts w:ascii="Arial" w:cs="Arial" w:eastAsia="Arial" w:hAnsi="Arial"/>
                <w:sz w:val="13"/>
                <w:szCs w:val="13"/>
                <w:color w:val="auto"/>
                <w:w w:val="98"/>
              </w:rPr>
              <w:t>U.S. Small Business Administration (“SBA”) Payroll Protection Program (“PPP”)</w:t>
            </w:r>
          </w:p>
        </w:tc>
        <w:tc>
          <w:tcPr>
            <w:tcW w:w="380" w:type="dxa"/>
            <w:vAlign w:val="bottom"/>
          </w:tcPr>
          <w:p>
            <w:pPr>
              <w:spacing w:after="0"/>
              <w:rPr>
                <w:sz w:val="11"/>
                <w:szCs w:val="11"/>
                <w:color w:val="auto"/>
              </w:rPr>
            </w:pPr>
          </w:p>
        </w:tc>
        <w:tc>
          <w:tcPr>
            <w:tcW w:w="1260" w:type="dxa"/>
            <w:vAlign w:val="bottom"/>
            <w:vMerge w:val="restart"/>
          </w:tcPr>
          <w:p>
            <w:pPr>
              <w:jc w:val="right"/>
              <w:ind w:right="97"/>
              <w:spacing w:after="0"/>
              <w:rPr>
                <w:sz w:val="20"/>
                <w:szCs w:val="20"/>
                <w:color w:val="auto"/>
              </w:rPr>
            </w:pPr>
            <w:r>
              <w:rPr>
                <w:rFonts w:ascii="Arial" w:cs="Arial" w:eastAsia="Arial" w:hAnsi="Arial"/>
                <w:sz w:val="13"/>
                <w:szCs w:val="13"/>
                <w:color w:val="auto"/>
              </w:rPr>
              <w:t>645</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vMerge w:val="restart"/>
          </w:tcPr>
          <w:p>
            <w:pPr>
              <w:jc w:val="right"/>
              <w:ind w:right="97"/>
              <w:spacing w:after="0"/>
              <w:rPr>
                <w:sz w:val="20"/>
                <w:szCs w:val="20"/>
                <w:color w:val="auto"/>
              </w:rPr>
            </w:pPr>
            <w:r>
              <w:rPr>
                <w:rFonts w:ascii="Arial" w:cs="Arial" w:eastAsia="Arial" w:hAnsi="Arial"/>
                <w:sz w:val="13"/>
                <w:szCs w:val="13"/>
                <w:color w:val="auto"/>
              </w:rPr>
              <w:t>2,163</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(1,518)</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vMerge w:val="restart"/>
          </w:tcPr>
          <w:p>
            <w:pPr>
              <w:jc w:val="right"/>
              <w:ind w:right="57"/>
              <w:spacing w:after="0"/>
              <w:rPr>
                <w:sz w:val="20"/>
                <w:szCs w:val="20"/>
                <w:color w:val="auto"/>
              </w:rPr>
            </w:pPr>
            <w:r>
              <w:rPr>
                <w:rFonts w:ascii="Arial" w:cs="Arial" w:eastAsia="Arial" w:hAnsi="Arial"/>
                <w:sz w:val="13"/>
                <w:szCs w:val="13"/>
                <w:color w:val="auto"/>
              </w:rPr>
              <w:t>(70.2)</w:t>
            </w:r>
          </w:p>
        </w:tc>
        <w:tc>
          <w:tcPr>
            <w:tcW w:w="0" w:type="dxa"/>
            <w:vAlign w:val="bottom"/>
          </w:tcPr>
          <w:p>
            <w:pPr>
              <w:spacing w:after="0"/>
              <w:rPr>
                <w:sz w:val="1"/>
                <w:szCs w:val="1"/>
                <w:color w:val="auto"/>
              </w:rPr>
            </w:pPr>
          </w:p>
        </w:tc>
      </w:tr>
      <w:tr>
        <w:trPr>
          <w:trHeight w:val="168"/>
        </w:trPr>
        <w:tc>
          <w:tcPr>
            <w:tcW w:w="4520" w:type="dxa"/>
            <w:vAlign w:val="bottom"/>
          </w:tcPr>
          <w:p>
            <w:pPr>
              <w:ind w:left="20"/>
              <w:spacing w:after="0"/>
              <w:rPr>
                <w:sz w:val="20"/>
                <w:szCs w:val="20"/>
                <w:color w:val="auto"/>
              </w:rPr>
            </w:pPr>
            <w:r>
              <w:rPr>
                <w:rFonts w:ascii="Arial" w:cs="Arial" w:eastAsia="Arial" w:hAnsi="Arial"/>
                <w:sz w:val="13"/>
                <w:szCs w:val="13"/>
                <w:color w:val="auto"/>
              </w:rPr>
              <w:t>loans receivable, net of fees and costs</w:t>
            </w: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Portfolio loans receivable, net of deferred fees and costs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1,902,643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1,728,592</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174,051</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69"/>
        </w:trPr>
        <w:tc>
          <w:tcPr>
            <w:tcW w:w="4520" w:type="dxa"/>
            <w:vAlign w:val="bottom"/>
          </w:tcPr>
          <w:p>
            <w:pPr>
              <w:ind w:left="20"/>
              <w:spacing w:after="0"/>
              <w:rPr>
                <w:sz w:val="20"/>
                <w:szCs w:val="20"/>
                <w:color w:val="auto"/>
              </w:rPr>
            </w:pPr>
            <w:r>
              <w:rPr>
                <w:rFonts w:ascii="Arial" w:cs="Arial" w:eastAsia="Arial" w:hAnsi="Arial"/>
                <w:sz w:val="13"/>
                <w:szCs w:val="13"/>
                <w:color w:val="auto"/>
              </w:rPr>
              <w:t>Allowance for credit losses</w:t>
            </w:r>
          </w:p>
        </w:tc>
        <w:tc>
          <w:tcPr>
            <w:tcW w:w="380" w:type="dxa"/>
            <w:vAlign w:val="bottom"/>
          </w:tcPr>
          <w:p>
            <w:pPr>
              <w:spacing w:after="0"/>
              <w:rPr>
                <w:sz w:val="14"/>
                <w:szCs w:val="14"/>
                <w:color w:val="auto"/>
              </w:rPr>
            </w:pP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28,610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26,385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2,225</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Deposits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1,895,996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1,758,072</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137,924</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69"/>
        </w:trPr>
        <w:tc>
          <w:tcPr>
            <w:tcW w:w="4520" w:type="dxa"/>
            <w:vAlign w:val="bottom"/>
          </w:tcPr>
          <w:p>
            <w:pPr>
              <w:ind w:left="20"/>
              <w:spacing w:after="0"/>
              <w:rPr>
                <w:sz w:val="20"/>
                <w:szCs w:val="20"/>
                <w:color w:val="auto"/>
              </w:rPr>
            </w:pPr>
            <w:r>
              <w:rPr>
                <w:rFonts w:ascii="Arial" w:cs="Arial" w:eastAsia="Arial" w:hAnsi="Arial"/>
                <w:sz w:val="13"/>
                <w:szCs w:val="13"/>
                <w:color w:val="auto"/>
              </w:rPr>
              <w:t>FHLB borrowings</w:t>
            </w:r>
          </w:p>
        </w:tc>
        <w:tc>
          <w:tcPr>
            <w:tcW w:w="380" w:type="dxa"/>
            <w:vAlign w:val="bottom"/>
          </w:tcPr>
          <w:p>
            <w:pPr>
              <w:spacing w:after="0"/>
              <w:rPr>
                <w:sz w:val="14"/>
                <w:szCs w:val="14"/>
                <w:color w:val="auto"/>
              </w:rPr>
            </w:pP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22,000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107,000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(85,000)</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(79.4)</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borrowed funds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27,062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12,062</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124.4</w:t>
            </w:r>
          </w:p>
        </w:tc>
        <w:tc>
          <w:tcPr>
            <w:tcW w:w="0" w:type="dxa"/>
            <w:vAlign w:val="bottom"/>
          </w:tcPr>
          <w:p>
            <w:pPr>
              <w:spacing w:after="0"/>
              <w:rPr>
                <w:sz w:val="1"/>
                <w:szCs w:val="1"/>
                <w:color w:val="auto"/>
              </w:rPr>
            </w:pPr>
          </w:p>
        </w:tc>
      </w:tr>
      <w:tr>
        <w:trPr>
          <w:trHeight w:val="169"/>
        </w:trPr>
        <w:tc>
          <w:tcPr>
            <w:tcW w:w="4520" w:type="dxa"/>
            <w:vAlign w:val="bottom"/>
          </w:tcPr>
          <w:p>
            <w:pPr>
              <w:ind w:left="20"/>
              <w:spacing w:after="0"/>
              <w:rPr>
                <w:sz w:val="20"/>
                <w:szCs w:val="20"/>
                <w:color w:val="auto"/>
              </w:rPr>
            </w:pPr>
            <w:r>
              <w:rPr>
                <w:rFonts w:ascii="Arial" w:cs="Arial" w:eastAsia="Arial" w:hAnsi="Arial"/>
                <w:sz w:val="13"/>
                <w:szCs w:val="13"/>
                <w:color w:val="auto"/>
              </w:rPr>
              <w:t>Total stockholders’ equity</w:t>
            </w:r>
          </w:p>
        </w:tc>
        <w:tc>
          <w:tcPr>
            <w:tcW w:w="380" w:type="dxa"/>
            <w:vAlign w:val="bottom"/>
          </w:tcPr>
          <w:p>
            <w:pPr>
              <w:spacing w:after="0"/>
              <w:rPr>
                <w:sz w:val="14"/>
                <w:szCs w:val="14"/>
                <w:color w:val="auto"/>
              </w:rPr>
            </w:pP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254,860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224,015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30,845</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Tangible common equity</w:t>
            </w:r>
            <w:r>
              <w:rPr>
                <w:rFonts w:ascii="Arial" w:cs="Arial" w:eastAsia="Arial" w:hAnsi="Arial"/>
                <w:sz w:val="16"/>
                <w:szCs w:val="16"/>
                <w:color w:val="auto"/>
                <w:vertAlign w:val="superscript"/>
              </w:rPr>
              <w:t>(1)</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254,860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224,015</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30,845</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69"/>
        </w:trPr>
        <w:tc>
          <w:tcPr>
            <w:tcW w:w="4520" w:type="dxa"/>
            <w:vAlign w:val="bottom"/>
          </w:tcPr>
          <w:p>
            <w:pPr>
              <w:ind w:left="20"/>
              <w:spacing w:after="0"/>
              <w:rPr>
                <w:sz w:val="20"/>
                <w:szCs w:val="20"/>
                <w:color w:val="auto"/>
              </w:rPr>
            </w:pPr>
            <w:r>
              <w:rPr>
                <w:rFonts w:ascii="Arial" w:cs="Arial" w:eastAsia="Arial" w:hAnsi="Arial"/>
                <w:sz w:val="13"/>
                <w:szCs w:val="13"/>
                <w:color w:val="auto"/>
              </w:rPr>
              <w:t>Equity to total assets at end of period</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11.45 %</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10.55 %</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number of basic shares outstanding</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14,003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14,025</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9"/>
        </w:trPr>
        <w:tc>
          <w:tcPr>
            <w:tcW w:w="4520" w:type="dxa"/>
            <w:vAlign w:val="bottom"/>
          </w:tcPr>
          <w:p>
            <w:pPr>
              <w:ind w:left="20"/>
              <w:spacing w:after="0"/>
              <w:rPr>
                <w:sz w:val="20"/>
                <w:szCs w:val="20"/>
                <w:color w:val="auto"/>
              </w:rPr>
            </w:pPr>
            <w:r>
              <w:rPr>
                <w:rFonts w:ascii="Arial" w:cs="Arial" w:eastAsia="Arial" w:hAnsi="Arial"/>
                <w:sz w:val="13"/>
                <w:szCs w:val="13"/>
                <w:color w:val="auto"/>
              </w:rPr>
              <w:t>Weighted average number of diluted shares outstanding</w:t>
            </w:r>
          </w:p>
        </w:tc>
        <w:tc>
          <w:tcPr>
            <w:tcW w:w="380" w:type="dxa"/>
            <w:vAlign w:val="bottom"/>
          </w:tcPr>
          <w:p>
            <w:pPr>
              <w:spacing w:after="0"/>
              <w:rPr>
                <w:sz w:val="14"/>
                <w:szCs w:val="14"/>
                <w:color w:val="auto"/>
              </w:rPr>
            </w:pP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14,081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14,362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shares outstanding</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13,923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14,139</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9"/>
        </w:trPr>
        <w:tc>
          <w:tcPr>
            <w:tcW w:w="4520" w:type="dxa"/>
            <w:vAlign w:val="bottom"/>
          </w:tcPr>
          <w:p>
            <w:pPr>
              <w:ind w:left="20"/>
              <w:spacing w:after="0"/>
              <w:rPr>
                <w:sz w:val="20"/>
                <w:szCs w:val="20"/>
                <w:color w:val="auto"/>
              </w:rPr>
            </w:pPr>
            <w:r>
              <w:rPr>
                <w:rFonts w:ascii="Arial" w:cs="Arial" w:eastAsia="Arial" w:hAnsi="Arial"/>
                <w:sz w:val="13"/>
                <w:szCs w:val="13"/>
                <w:color w:val="auto"/>
              </w:rPr>
              <w:t>Book value per share</w:t>
            </w: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18.31</w:t>
            </w:r>
          </w:p>
        </w:tc>
        <w:tc>
          <w:tcPr>
            <w:tcW w:w="100" w:type="dxa"/>
            <w:vAlign w:val="bottom"/>
          </w:tcPr>
          <w:p>
            <w:pPr>
              <w:spacing w:after="0"/>
              <w:rPr>
                <w:sz w:val="14"/>
                <w:szCs w:val="14"/>
                <w:color w:val="auto"/>
              </w:rPr>
            </w:pPr>
          </w:p>
        </w:tc>
        <w:tc>
          <w:tcPr>
            <w:tcW w:w="520" w:type="dxa"/>
            <w:vAlign w:val="bottom"/>
          </w:tcPr>
          <w:p>
            <w:pPr>
              <w:jc w:val="right"/>
              <w:ind w:right="37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15.84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Tangible book value per share</w:t>
            </w:r>
            <w:r>
              <w:rPr>
                <w:rFonts w:ascii="Arial" w:cs="Arial" w:eastAsia="Arial" w:hAnsi="Arial"/>
                <w:sz w:val="16"/>
                <w:szCs w:val="16"/>
                <w:color w:val="auto"/>
                <w:vertAlign w:val="superscript"/>
              </w:rPr>
              <w:t>(1)</w:t>
            </w: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18.31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15.84</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67"/>
        </w:trPr>
        <w:tc>
          <w:tcPr>
            <w:tcW w:w="4520" w:type="dxa"/>
            <w:vAlign w:val="bottom"/>
          </w:tcPr>
          <w:p>
            <w:pPr>
              <w:ind w:left="20"/>
              <w:spacing w:after="0"/>
              <w:rPr>
                <w:sz w:val="20"/>
                <w:szCs w:val="20"/>
                <w:color w:val="auto"/>
              </w:rPr>
            </w:pPr>
            <w:r>
              <w:rPr>
                <w:rFonts w:ascii="Arial" w:cs="Arial" w:eastAsia="Arial" w:hAnsi="Arial"/>
                <w:sz w:val="13"/>
                <w:szCs w:val="13"/>
                <w:color w:val="auto"/>
              </w:rPr>
              <w:t>Dividends per share</w:t>
            </w: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0.28</w:t>
            </w:r>
          </w:p>
        </w:tc>
        <w:tc>
          <w:tcPr>
            <w:tcW w:w="100" w:type="dxa"/>
            <w:vAlign w:val="bottom"/>
          </w:tcPr>
          <w:p>
            <w:pPr>
              <w:spacing w:after="0"/>
              <w:rPr>
                <w:sz w:val="14"/>
                <w:szCs w:val="14"/>
                <w:color w:val="auto"/>
              </w:rPr>
            </w:pPr>
          </w:p>
        </w:tc>
        <w:tc>
          <w:tcPr>
            <w:tcW w:w="520" w:type="dxa"/>
            <w:vAlign w:val="bottom"/>
          </w:tcPr>
          <w:p>
            <w:pPr>
              <w:jc w:val="right"/>
              <w:ind w:right="37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0.22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9"/>
          <w:szCs w:val="9"/>
          <w:color w:val="auto"/>
        </w:rPr>
        <w:t>(1) see “Non-GAAP Financial Measures and Reconciliations” for a reconciliation of non-GAAP measures</w:t>
      </w:r>
    </w:p>
    <w:p>
      <w:pPr>
        <w:spacing w:after="0" w:line="217"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Total assets at December 31, 2023 increased $102.5 million from the balance at December 31, 2022. Net portfolio loans, which exclude mortgage loans held for sale and SBA-PPP loans, totaled $1.9 billion as of December 31, 2023, an increase of $174.1 million, or 10.1%, from $1.7 billion at December 31, 2022.</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Securities</w:t>
      </w:r>
    </w:p>
    <w:p>
      <w:pPr>
        <w:spacing w:after="0" w:line="177"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The Company uses its securities portfolio to provide a source of liquidity, provide an appropriate return on funds invested, manage interest rate risk, meet collateral requirements and meet regulatory capital requirements.</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Management classifies investment securities as either held to maturity or available for sale based on our intentions and the Company’s ability to hold such securities until maturity. In determining such classifications, securities that management has the positive intent and the Company has the ability to hold until maturity are classified as held to maturity and carried at amortized cost. All other securities are designated as available for sale and carried at estimated fair value with unrealized gains and losses included in stockholders’ equity on an after-tax basis. For the years presented, all securities were classified as available for sale.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46" w:name="page47"/>
    <w:bookmarkEnd w:id="46"/>
    <w:p>
      <w:pPr>
        <w:jc w:val="both"/>
        <w:spacing w:after="0" w:line="271" w:lineRule="auto"/>
        <w:rPr>
          <w:sz w:val="20"/>
          <w:szCs w:val="20"/>
          <w:color w:val="auto"/>
        </w:rPr>
      </w:pPr>
      <w:r>
        <w:rPr>
          <w:rFonts w:ascii="Arial" w:cs="Arial" w:eastAsia="Arial" w:hAnsi="Arial"/>
          <w:sz w:val="14"/>
          <w:szCs w:val="14"/>
          <w:color w:val="auto"/>
        </w:rPr>
        <w:t>To supplement interest income earned on our loan portfolio, the Company invests in U.S. Treasuries, high-quality mortgage-backed securities (“MBS”), government agency bonds, asset-backed securities and high-quality municipal and corporate bonds. The asset-backed securities are comprised of student loan collateral issued by the Federal Family Education Loan Program, which includes a minimum of a 97% government repayment guarantee, as well as additional support in excess of the government guaranteed portion.</w:t>
      </w:r>
    </w:p>
    <w:p>
      <w:pPr>
        <w:spacing w:after="0" w:line="134" w:lineRule="exact"/>
        <w:rPr>
          <w:sz w:val="20"/>
          <w:szCs w:val="20"/>
          <w:color w:val="auto"/>
        </w:rPr>
      </w:pPr>
    </w:p>
    <w:p>
      <w:pPr>
        <w:jc w:val="both"/>
        <w:ind w:right="60"/>
        <w:spacing w:after="0" w:line="265" w:lineRule="auto"/>
        <w:rPr>
          <w:sz w:val="20"/>
          <w:szCs w:val="20"/>
          <w:color w:val="auto"/>
        </w:rPr>
      </w:pPr>
      <w:r>
        <w:rPr>
          <w:rFonts w:ascii="Arial" w:cs="Arial" w:eastAsia="Arial" w:hAnsi="Arial"/>
          <w:sz w:val="14"/>
          <w:szCs w:val="14"/>
          <w:color w:val="auto"/>
        </w:rPr>
        <w:t>The following tables summarize the contractual maturities, without consideration of call features or pre-refunding dates, and weighted-average yields of investment securities at December 31, 2023 and the amortized cost and carrying value of those securities as of the indicated dates. The weighted average yields were calculated by multiplying the amortized cost of each individual security by its yield, dividing that figure by the portfolio total, and then summing the value of these results to arrive at the weighted average yield. Yields on tax-exempt investments are not calculated on a fully tax equivalent basis.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5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8"/>
                <w:szCs w:val="8"/>
                <w:b w:val="1"/>
                <w:bCs w:val="1"/>
                <w:color w:val="auto"/>
              </w:rPr>
              <w:t>One Year or Less</w:t>
            </w:r>
          </w:p>
        </w:tc>
        <w:tc>
          <w:tcPr>
            <w:tcW w:w="100" w:type="dxa"/>
            <w:vAlign w:val="bottom"/>
          </w:tcPr>
          <w:p>
            <w:pPr>
              <w:spacing w:after="0"/>
              <w:rPr>
                <w:sz w:val="10"/>
                <w:szCs w:val="1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8"/>
                <w:szCs w:val="8"/>
                <w:b w:val="1"/>
                <w:bCs w:val="1"/>
                <w:color w:val="auto"/>
              </w:rPr>
              <w:t>More Than One Year Through Five Years</w:t>
            </w:r>
          </w:p>
        </w:tc>
        <w:tc>
          <w:tcPr>
            <w:tcW w:w="100" w:type="dxa"/>
            <w:vAlign w:val="bottom"/>
          </w:tcPr>
          <w:p>
            <w:pPr>
              <w:spacing w:after="0"/>
              <w:rPr>
                <w:sz w:val="10"/>
                <w:szCs w:val="1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8"/>
                <w:szCs w:val="8"/>
                <w:b w:val="1"/>
                <w:bCs w:val="1"/>
                <w:color w:val="auto"/>
              </w:rPr>
              <w:t>More Than Five Years Through Ten Years</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8"/>
                <w:szCs w:val="8"/>
                <w:b w:val="1"/>
                <w:bCs w:val="1"/>
                <w:color w:val="auto"/>
              </w:rPr>
              <w:t>More Than Ten Years</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ind w:left="180"/>
              <w:spacing w:after="0"/>
              <w:rPr>
                <w:sz w:val="20"/>
                <w:szCs w:val="20"/>
                <w:color w:val="auto"/>
              </w:rPr>
            </w:pPr>
            <w:r>
              <w:rPr>
                <w:rFonts w:ascii="Arial" w:cs="Arial" w:eastAsia="Arial" w:hAnsi="Arial"/>
                <w:sz w:val="8"/>
                <w:szCs w:val="8"/>
                <w:b w:val="1"/>
                <w:bCs w:val="1"/>
                <w:color w:val="auto"/>
              </w:rPr>
              <w:t>Total</w:t>
            </w: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5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At December 31, 2023</w:t>
            </w:r>
          </w:p>
        </w:tc>
        <w:tc>
          <w:tcPr>
            <w:tcW w:w="60" w:type="dxa"/>
            <w:vAlign w:val="bottom"/>
          </w:tcPr>
          <w:p>
            <w:pPr>
              <w:spacing w:after="0"/>
              <w:rPr>
                <w:sz w:val="7"/>
                <w:szCs w:val="7"/>
                <w:color w:val="auto"/>
              </w:rPr>
            </w:pPr>
          </w:p>
        </w:tc>
        <w:tc>
          <w:tcPr>
            <w:tcW w:w="80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Amortized Cost</w:t>
            </w:r>
          </w:p>
        </w:tc>
        <w:tc>
          <w:tcPr>
            <w:tcW w:w="940" w:type="dxa"/>
            <w:vAlign w:val="bottom"/>
            <w:gridSpan w:val="2"/>
          </w:tcPr>
          <w:p>
            <w:pPr>
              <w:jc w:val="center"/>
              <w:ind w:right="120"/>
              <w:spacing w:after="0" w:line="82" w:lineRule="exact"/>
              <w:rPr>
                <w:sz w:val="20"/>
                <w:szCs w:val="20"/>
                <w:color w:val="auto"/>
              </w:rPr>
            </w:pPr>
            <w:r>
              <w:rPr>
                <w:rFonts w:ascii="Arial" w:cs="Arial" w:eastAsia="Arial" w:hAnsi="Arial"/>
                <w:sz w:val="8"/>
                <w:szCs w:val="8"/>
                <w:b w:val="1"/>
                <w:bCs w:val="1"/>
                <w:color w:val="auto"/>
              </w:rPr>
              <w:t>Weighted Average</w:t>
            </w:r>
          </w:p>
        </w:tc>
        <w:tc>
          <w:tcPr>
            <w:tcW w:w="60" w:type="dxa"/>
            <w:vAlign w:val="bottom"/>
          </w:tcPr>
          <w:p>
            <w:pPr>
              <w:spacing w:after="0"/>
              <w:rPr>
                <w:sz w:val="7"/>
                <w:szCs w:val="7"/>
                <w:color w:val="auto"/>
              </w:rPr>
            </w:pPr>
          </w:p>
        </w:tc>
        <w:tc>
          <w:tcPr>
            <w:tcW w:w="80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Amortized Cost</w:t>
            </w:r>
          </w:p>
        </w:tc>
        <w:tc>
          <w:tcPr>
            <w:tcW w:w="940" w:type="dxa"/>
            <w:vAlign w:val="bottom"/>
            <w:gridSpan w:val="2"/>
          </w:tcPr>
          <w:p>
            <w:pPr>
              <w:jc w:val="center"/>
              <w:ind w:right="100"/>
              <w:spacing w:after="0" w:line="82" w:lineRule="exact"/>
              <w:rPr>
                <w:sz w:val="20"/>
                <w:szCs w:val="20"/>
                <w:color w:val="auto"/>
              </w:rPr>
            </w:pPr>
            <w:r>
              <w:rPr>
                <w:rFonts w:ascii="Arial" w:cs="Arial" w:eastAsia="Arial" w:hAnsi="Arial"/>
                <w:sz w:val="8"/>
                <w:szCs w:val="8"/>
                <w:b w:val="1"/>
                <w:bCs w:val="1"/>
                <w:color w:val="auto"/>
              </w:rPr>
              <w:t>Weighted Average</w:t>
            </w:r>
          </w:p>
        </w:tc>
        <w:tc>
          <w:tcPr>
            <w:tcW w:w="80" w:type="dxa"/>
            <w:vAlign w:val="bottom"/>
          </w:tcPr>
          <w:p>
            <w:pPr>
              <w:spacing w:after="0"/>
              <w:rPr>
                <w:sz w:val="7"/>
                <w:szCs w:val="7"/>
                <w:color w:val="auto"/>
              </w:rPr>
            </w:pPr>
          </w:p>
        </w:tc>
        <w:tc>
          <w:tcPr>
            <w:tcW w:w="80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Amortized Cost</w:t>
            </w:r>
          </w:p>
        </w:tc>
        <w:tc>
          <w:tcPr>
            <w:tcW w:w="940" w:type="dxa"/>
            <w:vAlign w:val="bottom"/>
            <w:gridSpan w:val="2"/>
          </w:tcPr>
          <w:p>
            <w:pPr>
              <w:jc w:val="center"/>
              <w:ind w:right="120"/>
              <w:spacing w:after="0" w:line="82" w:lineRule="exact"/>
              <w:rPr>
                <w:sz w:val="20"/>
                <w:szCs w:val="20"/>
                <w:color w:val="auto"/>
              </w:rPr>
            </w:pPr>
            <w:r>
              <w:rPr>
                <w:rFonts w:ascii="Arial" w:cs="Arial" w:eastAsia="Arial" w:hAnsi="Arial"/>
                <w:sz w:val="8"/>
                <w:szCs w:val="8"/>
                <w:b w:val="1"/>
                <w:bCs w:val="1"/>
                <w:color w:val="auto"/>
              </w:rPr>
              <w:t>Weighted Average</w:t>
            </w:r>
          </w:p>
        </w:tc>
        <w:tc>
          <w:tcPr>
            <w:tcW w:w="60" w:type="dxa"/>
            <w:vAlign w:val="bottom"/>
          </w:tcPr>
          <w:p>
            <w:pPr>
              <w:spacing w:after="0"/>
              <w:rPr>
                <w:sz w:val="7"/>
                <w:szCs w:val="7"/>
                <w:color w:val="auto"/>
              </w:rPr>
            </w:pPr>
          </w:p>
        </w:tc>
        <w:tc>
          <w:tcPr>
            <w:tcW w:w="80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Amortized Cost</w:t>
            </w:r>
          </w:p>
        </w:tc>
        <w:tc>
          <w:tcPr>
            <w:tcW w:w="960" w:type="dxa"/>
            <w:vAlign w:val="bottom"/>
            <w:gridSpan w:val="2"/>
          </w:tcPr>
          <w:p>
            <w:pPr>
              <w:jc w:val="center"/>
              <w:ind w:right="100"/>
              <w:spacing w:after="0" w:line="82" w:lineRule="exact"/>
              <w:rPr>
                <w:sz w:val="20"/>
                <w:szCs w:val="20"/>
                <w:color w:val="auto"/>
              </w:rPr>
            </w:pPr>
            <w:r>
              <w:rPr>
                <w:rFonts w:ascii="Arial" w:cs="Arial" w:eastAsia="Arial" w:hAnsi="Arial"/>
                <w:sz w:val="8"/>
                <w:szCs w:val="8"/>
                <w:b w:val="1"/>
                <w:bCs w:val="1"/>
                <w:color w:val="auto"/>
              </w:rPr>
              <w:t>Weighted Average</w:t>
            </w:r>
          </w:p>
        </w:tc>
        <w:tc>
          <w:tcPr>
            <w:tcW w:w="80" w:type="dxa"/>
            <w:vAlign w:val="bottom"/>
          </w:tcPr>
          <w:p>
            <w:pPr>
              <w:spacing w:after="0"/>
              <w:rPr>
                <w:sz w:val="7"/>
                <w:szCs w:val="7"/>
                <w:color w:val="auto"/>
              </w:rPr>
            </w:pPr>
          </w:p>
        </w:tc>
        <w:tc>
          <w:tcPr>
            <w:tcW w:w="80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Amortized Cost</w:t>
            </w:r>
          </w:p>
        </w:tc>
        <w:tc>
          <w:tcPr>
            <w:tcW w:w="80" w:type="dxa"/>
            <w:vAlign w:val="bottom"/>
          </w:tcPr>
          <w:p>
            <w:pPr>
              <w:spacing w:after="0"/>
              <w:rPr>
                <w:sz w:val="7"/>
                <w:szCs w:val="7"/>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Fair Value</w:t>
            </w:r>
          </w:p>
        </w:tc>
        <w:tc>
          <w:tcPr>
            <w:tcW w:w="860" w:type="dxa"/>
            <w:vAlign w:val="bottom"/>
          </w:tcPr>
          <w:p>
            <w:pPr>
              <w:ind w:left="60"/>
              <w:spacing w:after="0" w:line="82" w:lineRule="exact"/>
              <w:rPr>
                <w:sz w:val="20"/>
                <w:szCs w:val="20"/>
                <w:color w:val="auto"/>
              </w:rPr>
            </w:pPr>
            <w:r>
              <w:rPr>
                <w:rFonts w:ascii="Arial" w:cs="Arial" w:eastAsia="Arial" w:hAnsi="Arial"/>
                <w:sz w:val="8"/>
                <w:szCs w:val="8"/>
                <w:b w:val="1"/>
                <w:bCs w:val="1"/>
                <w:color w:val="auto"/>
              </w:rPr>
              <w:t>Weighted Average</w:t>
            </w:r>
          </w:p>
        </w:tc>
        <w:tc>
          <w:tcPr>
            <w:tcW w:w="0" w:type="dxa"/>
            <w:vAlign w:val="bottom"/>
          </w:tcPr>
          <w:p>
            <w:pPr>
              <w:spacing w:after="0"/>
              <w:rPr>
                <w:sz w:val="1"/>
                <w:szCs w:val="1"/>
                <w:color w:val="auto"/>
              </w:rPr>
            </w:pPr>
          </w:p>
        </w:tc>
      </w:tr>
      <w:tr>
        <w:trPr>
          <w:trHeight w:val="121"/>
        </w:trPr>
        <w:tc>
          <w:tcPr>
            <w:tcW w:w="15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rPr>
              <w:t>Yield</w:t>
            </w:r>
          </w:p>
        </w:tc>
        <w:tc>
          <w:tcPr>
            <w:tcW w:w="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rPr>
              <w:t>Yield</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rPr>
              <w:t>Yield</w:t>
            </w:r>
          </w:p>
        </w:tc>
        <w:tc>
          <w:tcPr>
            <w:tcW w:w="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rPr>
              <w:t>Yield</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60" w:type="dxa"/>
            <w:vAlign w:val="bottom"/>
          </w:tcPr>
          <w:p>
            <w:pPr>
              <w:ind w:left="320"/>
              <w:spacing w:after="0"/>
              <w:rPr>
                <w:sz w:val="20"/>
                <w:szCs w:val="20"/>
                <w:color w:val="auto"/>
              </w:rPr>
            </w:pPr>
            <w:r>
              <w:rPr>
                <w:rFonts w:ascii="Arial" w:cs="Arial" w:eastAsia="Arial" w:hAnsi="Arial"/>
                <w:sz w:val="8"/>
                <w:szCs w:val="8"/>
                <w:b w:val="1"/>
                <w:bCs w:val="1"/>
                <w:color w:val="auto"/>
              </w:rPr>
              <w:t>Yield</w:t>
            </w:r>
          </w:p>
        </w:tc>
        <w:tc>
          <w:tcPr>
            <w:tcW w:w="0" w:type="dxa"/>
            <w:vAlign w:val="bottom"/>
          </w:tcPr>
          <w:p>
            <w:pPr>
              <w:spacing w:after="0"/>
              <w:rPr>
                <w:sz w:val="1"/>
                <w:szCs w:val="1"/>
                <w:color w:val="auto"/>
              </w:rPr>
            </w:pPr>
          </w:p>
        </w:tc>
      </w:tr>
      <w:tr>
        <w:trPr>
          <w:trHeight w:val="106"/>
        </w:trPr>
        <w:tc>
          <w:tcPr>
            <w:tcW w:w="1560" w:type="dxa"/>
            <w:vAlign w:val="bottom"/>
          </w:tcPr>
          <w:p>
            <w:pPr>
              <w:ind w:left="40"/>
              <w:spacing w:after="0"/>
              <w:rPr>
                <w:sz w:val="20"/>
                <w:szCs w:val="20"/>
                <w:color w:val="auto"/>
              </w:rPr>
            </w:pPr>
            <w:r>
              <w:rPr>
                <w:rFonts w:ascii="Arial" w:cs="Arial" w:eastAsia="Arial" w:hAnsi="Arial"/>
                <w:sz w:val="8"/>
                <w:szCs w:val="8"/>
                <w:i w:val="1"/>
                <w:iCs w:val="1"/>
                <w:color w:val="auto"/>
              </w:rPr>
              <w:t>(in thousands)</w:t>
            </w: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5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Securities Available for Sale:</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560" w:type="dxa"/>
            <w:vAlign w:val="bottom"/>
          </w:tcPr>
          <w:p>
            <w:pPr>
              <w:ind w:left="20"/>
              <w:spacing w:after="0"/>
              <w:rPr>
                <w:sz w:val="20"/>
                <w:szCs w:val="20"/>
                <w:color w:val="auto"/>
              </w:rPr>
            </w:pPr>
            <w:r>
              <w:rPr>
                <w:rFonts w:ascii="Arial" w:cs="Arial" w:eastAsia="Arial" w:hAnsi="Arial"/>
                <w:sz w:val="10"/>
                <w:szCs w:val="10"/>
                <w:color w:val="auto"/>
              </w:rPr>
              <w:t>U.S Treasuries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39,918</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1.44 %</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100,793</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1.15 %</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20,709</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1.47 %</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60" w:type="dxa"/>
            <w:vAlign w:val="bottom"/>
            <w:gridSpan w:val="2"/>
          </w:tcPr>
          <w:p>
            <w:pPr>
              <w:ind w:left="640"/>
              <w:spacing w:after="0"/>
              <w:rPr>
                <w:sz w:val="20"/>
                <w:szCs w:val="20"/>
                <w:color w:val="auto"/>
              </w:rPr>
            </w:pPr>
            <w:r>
              <w:rPr>
                <w:rFonts w:ascii="Arial" w:cs="Arial" w:eastAsia="Arial" w:hAnsi="Arial"/>
                <w:sz w:val="10"/>
                <w:szCs w:val="10"/>
                <w:color w:val="auto"/>
              </w:rPr>
              <w:t>—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161,420</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149,228</w:t>
            </w:r>
          </w:p>
        </w:tc>
        <w:tc>
          <w:tcPr>
            <w:tcW w:w="100" w:type="dxa"/>
            <w:vAlign w:val="bottom"/>
          </w:tcPr>
          <w:p>
            <w:pPr>
              <w:spacing w:after="0"/>
              <w:rPr>
                <w:sz w:val="11"/>
                <w:szCs w:val="11"/>
                <w:color w:val="auto"/>
              </w:rPr>
            </w:pPr>
          </w:p>
        </w:tc>
        <w:tc>
          <w:tcPr>
            <w:tcW w:w="860" w:type="dxa"/>
            <w:vAlign w:val="bottom"/>
          </w:tcPr>
          <w:p>
            <w:pPr>
              <w:ind w:left="540"/>
              <w:spacing w:after="0"/>
              <w:rPr>
                <w:sz w:val="20"/>
                <w:szCs w:val="20"/>
                <w:color w:val="auto"/>
              </w:rPr>
            </w:pPr>
            <w:r>
              <w:rPr>
                <w:rFonts w:ascii="Arial" w:cs="Arial" w:eastAsia="Arial" w:hAnsi="Arial"/>
                <w:sz w:val="10"/>
                <w:szCs w:val="10"/>
                <w:color w:val="auto"/>
                <w:w w:val="96"/>
              </w:rPr>
              <w:t>1.26 %</w:t>
            </w:r>
          </w:p>
        </w:tc>
        <w:tc>
          <w:tcPr>
            <w:tcW w:w="0" w:type="dxa"/>
            <w:vAlign w:val="bottom"/>
          </w:tcPr>
          <w:p>
            <w:pPr>
              <w:spacing w:after="0"/>
              <w:rPr>
                <w:sz w:val="1"/>
                <w:szCs w:val="1"/>
                <w:color w:val="auto"/>
              </w:rPr>
            </w:pPr>
          </w:p>
        </w:tc>
      </w:tr>
      <w:tr>
        <w:trPr>
          <w:trHeight w:val="142"/>
        </w:trPr>
        <w:tc>
          <w:tcPr>
            <w:tcW w:w="1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Municipal</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895</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506</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2.54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10,298</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11,699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9,372</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ind w:left="540"/>
              <w:spacing w:after="0"/>
              <w:rPr>
                <w:sz w:val="20"/>
                <w:szCs w:val="20"/>
                <w:color w:val="auto"/>
              </w:rPr>
            </w:pPr>
            <w:r>
              <w:rPr>
                <w:rFonts w:ascii="Arial" w:cs="Arial" w:eastAsia="Arial" w:hAnsi="Arial"/>
                <w:sz w:val="10"/>
                <w:szCs w:val="10"/>
                <w:color w:val="auto"/>
              </w:rPr>
              <w:t>2.17</w:t>
            </w:r>
          </w:p>
        </w:tc>
        <w:tc>
          <w:tcPr>
            <w:tcW w:w="0" w:type="dxa"/>
            <w:vAlign w:val="bottom"/>
          </w:tcPr>
          <w:p>
            <w:pPr>
              <w:spacing w:after="0"/>
              <w:rPr>
                <w:sz w:val="1"/>
                <w:szCs w:val="1"/>
                <w:color w:val="auto"/>
              </w:rPr>
            </w:pPr>
          </w:p>
        </w:tc>
      </w:tr>
      <w:tr>
        <w:trPr>
          <w:trHeight w:val="134"/>
        </w:trPr>
        <w:tc>
          <w:tcPr>
            <w:tcW w:w="1560" w:type="dxa"/>
            <w:vAlign w:val="bottom"/>
          </w:tcPr>
          <w:p>
            <w:pPr>
              <w:ind w:left="20"/>
              <w:spacing w:after="0"/>
              <w:rPr>
                <w:sz w:val="20"/>
                <w:szCs w:val="20"/>
                <w:color w:val="auto"/>
              </w:rPr>
            </w:pPr>
            <w:r>
              <w:rPr>
                <w:rFonts w:ascii="Arial" w:cs="Arial" w:eastAsia="Arial" w:hAnsi="Arial"/>
                <w:sz w:val="10"/>
                <w:szCs w:val="10"/>
                <w:color w:val="auto"/>
              </w:rPr>
              <w:t>Corporate</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5,000</w:t>
            </w:r>
          </w:p>
        </w:tc>
        <w:tc>
          <w:tcPr>
            <w:tcW w:w="100" w:type="dxa"/>
            <w:vAlign w:val="bottom"/>
          </w:tcPr>
          <w:p>
            <w:pPr>
              <w:spacing w:after="0"/>
              <w:rPr>
                <w:sz w:val="11"/>
                <w:szCs w:val="11"/>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4.31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5,000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4,413</w:t>
            </w:r>
          </w:p>
        </w:tc>
        <w:tc>
          <w:tcPr>
            <w:tcW w:w="100" w:type="dxa"/>
            <w:vAlign w:val="bottom"/>
          </w:tcPr>
          <w:p>
            <w:pPr>
              <w:spacing w:after="0"/>
              <w:rPr>
                <w:sz w:val="11"/>
                <w:szCs w:val="11"/>
                <w:color w:val="auto"/>
              </w:rPr>
            </w:pPr>
          </w:p>
        </w:tc>
        <w:tc>
          <w:tcPr>
            <w:tcW w:w="860" w:type="dxa"/>
            <w:vAlign w:val="bottom"/>
          </w:tcPr>
          <w:p>
            <w:pPr>
              <w:ind w:left="540"/>
              <w:spacing w:after="0"/>
              <w:rPr>
                <w:sz w:val="20"/>
                <w:szCs w:val="20"/>
                <w:color w:val="auto"/>
              </w:rPr>
            </w:pPr>
            <w:r>
              <w:rPr>
                <w:rFonts w:ascii="Arial" w:cs="Arial" w:eastAsia="Arial" w:hAnsi="Arial"/>
                <w:sz w:val="10"/>
                <w:szCs w:val="10"/>
                <w:color w:val="auto"/>
              </w:rPr>
              <w:t>4.31</w:t>
            </w:r>
          </w:p>
        </w:tc>
        <w:tc>
          <w:tcPr>
            <w:tcW w:w="0" w:type="dxa"/>
            <w:vAlign w:val="bottom"/>
          </w:tcPr>
          <w:p>
            <w:pPr>
              <w:spacing w:after="0"/>
              <w:rPr>
                <w:sz w:val="1"/>
                <w:szCs w:val="1"/>
                <w:color w:val="auto"/>
              </w:rPr>
            </w:pPr>
          </w:p>
        </w:tc>
      </w:tr>
      <w:tr>
        <w:trPr>
          <w:trHeight w:val="142"/>
        </w:trPr>
        <w:tc>
          <w:tcPr>
            <w:tcW w:w="1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Asset-backed securities</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7,069</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7,069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7,045</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ind w:left="540"/>
              <w:spacing w:after="0"/>
              <w:rPr>
                <w:sz w:val="20"/>
                <w:szCs w:val="20"/>
                <w:color w:val="auto"/>
              </w:rPr>
            </w:pPr>
            <w:r>
              <w:rPr>
                <w:rFonts w:ascii="Arial" w:cs="Arial" w:eastAsia="Arial" w:hAnsi="Arial"/>
                <w:sz w:val="10"/>
                <w:szCs w:val="10"/>
                <w:color w:val="auto"/>
              </w:rPr>
              <w:t>3.38</w:t>
            </w:r>
          </w:p>
        </w:tc>
        <w:tc>
          <w:tcPr>
            <w:tcW w:w="0" w:type="dxa"/>
            <w:vAlign w:val="bottom"/>
          </w:tcPr>
          <w:p>
            <w:pPr>
              <w:spacing w:after="0"/>
              <w:rPr>
                <w:sz w:val="1"/>
                <w:szCs w:val="1"/>
                <w:color w:val="auto"/>
              </w:rPr>
            </w:pPr>
          </w:p>
        </w:tc>
      </w:tr>
      <w:tr>
        <w:trPr>
          <w:trHeight w:val="134"/>
        </w:trPr>
        <w:tc>
          <w:tcPr>
            <w:tcW w:w="1560" w:type="dxa"/>
            <w:vAlign w:val="bottom"/>
          </w:tcPr>
          <w:p>
            <w:pPr>
              <w:ind w:left="20"/>
              <w:spacing w:after="0"/>
              <w:rPr>
                <w:sz w:val="20"/>
                <w:szCs w:val="20"/>
                <w:color w:val="auto"/>
              </w:rPr>
            </w:pPr>
            <w:r>
              <w:rPr>
                <w:rFonts w:ascii="Arial" w:cs="Arial" w:eastAsia="Arial" w:hAnsi="Arial"/>
                <w:sz w:val="10"/>
                <w:szCs w:val="10"/>
                <w:color w:val="auto"/>
              </w:rPr>
              <w:t>Mortgage-backed securities</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13,941</w:t>
            </w:r>
          </w:p>
        </w:tc>
        <w:tc>
          <w:tcPr>
            <w:tcW w:w="100" w:type="dxa"/>
            <w:vAlign w:val="bottom"/>
          </w:tcPr>
          <w:p>
            <w:pPr>
              <w:spacing w:after="0"/>
              <w:rPr>
                <w:sz w:val="11"/>
                <w:szCs w:val="11"/>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4.96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13,779</w:t>
            </w:r>
          </w:p>
        </w:tc>
        <w:tc>
          <w:tcPr>
            <w:tcW w:w="100" w:type="dxa"/>
            <w:vAlign w:val="bottom"/>
          </w:tcPr>
          <w:p>
            <w:pPr>
              <w:spacing w:after="0"/>
              <w:rPr>
                <w:sz w:val="11"/>
                <w:szCs w:val="11"/>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2.92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ind w:right="12"/>
              <w:spacing w:after="0"/>
              <w:rPr>
                <w:sz w:val="20"/>
                <w:szCs w:val="20"/>
                <w:color w:val="auto"/>
              </w:rPr>
            </w:pPr>
            <w:r>
              <w:rPr>
                <w:rFonts w:ascii="Arial" w:cs="Arial" w:eastAsia="Arial" w:hAnsi="Arial"/>
                <w:sz w:val="10"/>
                <w:szCs w:val="10"/>
                <w:color w:val="auto"/>
              </w:rPr>
              <w:t>12,771</w:t>
            </w:r>
          </w:p>
        </w:tc>
        <w:tc>
          <w:tcPr>
            <w:tcW w:w="80" w:type="dxa"/>
            <w:vAlign w:val="bottom"/>
          </w:tcPr>
          <w:p>
            <w:pPr>
              <w:spacing w:after="0"/>
              <w:rPr>
                <w:sz w:val="11"/>
                <w:szCs w:val="11"/>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4.07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40,491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38,271</w:t>
            </w:r>
          </w:p>
        </w:tc>
        <w:tc>
          <w:tcPr>
            <w:tcW w:w="100" w:type="dxa"/>
            <w:vAlign w:val="bottom"/>
          </w:tcPr>
          <w:p>
            <w:pPr>
              <w:spacing w:after="0"/>
              <w:rPr>
                <w:sz w:val="11"/>
                <w:szCs w:val="11"/>
                <w:color w:val="auto"/>
              </w:rPr>
            </w:pPr>
          </w:p>
        </w:tc>
        <w:tc>
          <w:tcPr>
            <w:tcW w:w="860" w:type="dxa"/>
            <w:vAlign w:val="bottom"/>
          </w:tcPr>
          <w:p>
            <w:pPr>
              <w:ind w:left="540"/>
              <w:spacing w:after="0"/>
              <w:rPr>
                <w:sz w:val="20"/>
                <w:szCs w:val="20"/>
                <w:color w:val="auto"/>
              </w:rPr>
            </w:pPr>
            <w:r>
              <w:rPr>
                <w:rFonts w:ascii="Arial" w:cs="Arial" w:eastAsia="Arial" w:hAnsi="Arial"/>
                <w:sz w:val="10"/>
                <w:szCs w:val="10"/>
                <w:color w:val="auto"/>
              </w:rPr>
              <w:t>3.99</w:t>
            </w:r>
          </w:p>
        </w:tc>
        <w:tc>
          <w:tcPr>
            <w:tcW w:w="0" w:type="dxa"/>
            <w:vAlign w:val="bottom"/>
          </w:tcPr>
          <w:p>
            <w:pPr>
              <w:spacing w:after="0"/>
              <w:rPr>
                <w:sz w:val="1"/>
                <w:szCs w:val="1"/>
                <w:color w:val="auto"/>
              </w:rPr>
            </w:pPr>
          </w:p>
        </w:tc>
      </w:tr>
      <w:tr>
        <w:trPr>
          <w:trHeight w:val="158"/>
        </w:trPr>
        <w:tc>
          <w:tcPr>
            <w:tcW w:w="15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Total</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39,918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1.44 %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115,629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1.64 %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39,994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2.34 %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30,138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3.17 %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225,679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208,329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0"/>
                <w:szCs w:val="10"/>
                <w:color w:val="auto"/>
                <w:w w:val="96"/>
              </w:rPr>
              <w:t>1.94 %</w:t>
            </w: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As described in “Note 3 - Investment Securities” to the “Notes to the Consolidated Financial Statements” at December 31, 2023 management determined the Company does not have the intent to sell, nor is it more likely than not that it will be required to sell, available-for-sale debt securities in an unrealized loss position at December 31, 2023 before it is able to recover the amortized cost basis. Further, management reviewed the Company’s holdings as of December 31, 2023 and concluded there were no credit-related declines in fair value. Additional information related to the types of securities held at December 31, 2023, other than securities issued or guaranteed by U.S. Government entities or agencies, is as follows:</w:t>
      </w:r>
    </w:p>
    <w:p>
      <w:pPr>
        <w:spacing w:after="0" w:line="31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 xml:space="preserve">Corporate Securities </w:t>
      </w:r>
      <w:r>
        <w:rPr>
          <w:rFonts w:ascii="Arial" w:cs="Arial" w:eastAsia="Arial" w:hAnsi="Arial"/>
          <w:sz w:val="14"/>
          <w:szCs w:val="14"/>
          <w:color w:val="auto"/>
        </w:rPr>
        <w:t>– There have been no payment defaults on any of the Company’s holdings of corporate debt securities. There are 5 securities all of which are subordinated</w:t>
      </w:r>
      <w:r>
        <w:rPr>
          <w:rFonts w:ascii="Arial" w:cs="Arial" w:eastAsia="Arial" w:hAnsi="Arial"/>
          <w:sz w:val="14"/>
          <w:szCs w:val="14"/>
          <w:i w:val="1"/>
          <w:iCs w:val="1"/>
          <w:color w:val="auto"/>
        </w:rPr>
        <w:t xml:space="preserve"> </w:t>
      </w:r>
      <w:r>
        <w:rPr>
          <w:rFonts w:ascii="Arial" w:cs="Arial" w:eastAsia="Arial" w:hAnsi="Arial"/>
          <w:sz w:val="14"/>
          <w:szCs w:val="14"/>
          <w:color w:val="auto"/>
        </w:rPr>
        <w:t>debt of other financial institutions with face amounts ranging from $0.5 million to $2 million.</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 xml:space="preserve">Municipal Securities </w:t>
      </w:r>
      <w:r>
        <w:rPr>
          <w:rFonts w:ascii="Arial" w:cs="Arial" w:eastAsia="Arial" w:hAnsi="Arial"/>
          <w:sz w:val="14"/>
          <w:szCs w:val="14"/>
          <w:color w:val="auto"/>
        </w:rPr>
        <w:t>– All of the Company’s holdings of municipal bonds were investment grade and there have been no payment defaults. Summary ratings information at</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2023, based on the amortized cost basis and reflecting the lowest enhanced or underlying rating by Moody’s, Standard &amp; Poors or Fitch, is as follows: AAA – 82% of the portfolio; AA+ – 8%; AA – 10%.</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Asset-backed Securities </w:t>
      </w:r>
      <w:r>
        <w:rPr>
          <w:rFonts w:ascii="Arial" w:cs="Arial" w:eastAsia="Arial" w:hAnsi="Arial"/>
          <w:sz w:val="14"/>
          <w:szCs w:val="14"/>
          <w:color w:val="auto"/>
        </w:rPr>
        <w:t>– There were 3 investment grade asset-backed securities, and there have been no payment defaults on these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As such, it is deemed the above listed securities are not in an unrealized loss position due to credit-related issues and no further analysis is warranted as of December 31, 2023.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color w:val="auto"/>
        </w:rPr>
        <w:t>Portfolio Loans Receivable</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primary source of income is derived from interest earned on loans. Our portfolio loans consist of loans secured by real estate as well as commercial business loans, credit card loans secured by corresponding deposits at the Bank and, to a limited extent, other consumer loans. Our loan customers primarily consist of small- to medium-sized businesses, professionals, real estate investors, small residential builders and individuals. Our owner-occupied commercial real estate loans, residential construction loans and commercial business and investment loans provide us with higher risk-adjusted returns, shorter maturities and more sensitivity to interest rate fluctuations, and are complemented by our relatively lower risk residential real estate loans to individuals. Our credit card portfolio supplements our traditional lending products with enhanced yields. Our lending activities, outside of credit cards, are principally directed to our market area consisting of the Washington, D.C. and Baltimore, Maryland metropolitan areas.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Residential Real Estate Loans</w:t>
      </w:r>
      <w:r>
        <w:rPr>
          <w:rFonts w:ascii="Arial" w:cs="Arial" w:eastAsia="Arial" w:hAnsi="Arial"/>
          <w:sz w:val="14"/>
          <w:szCs w:val="14"/>
          <w:color w:val="auto"/>
        </w:rPr>
        <w:t>. One-to-four family mortgage loans are primarily secured by owner-occupied primary and secondary residences and, to a lesser extent, investor-owned residences. Residential loans are originated through the commercial sales teams and Capital Bank Home Loans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i w:val="1"/>
          <w:iCs w:val="1"/>
          <w:color w:val="auto"/>
        </w:rPr>
        <w:t>Commercial Real Estate Loans</w:t>
      </w:r>
      <w:r>
        <w:rPr>
          <w:rFonts w:ascii="Arial" w:cs="Arial" w:eastAsia="Arial" w:hAnsi="Arial"/>
          <w:sz w:val="14"/>
          <w:szCs w:val="14"/>
          <w:color w:val="auto"/>
        </w:rPr>
        <w:t>. Commercial real estate loans are originated on owner-occupied and non-owner-occupied properties. These loans may be adversely affected by</w:t>
      </w:r>
      <w:r>
        <w:rPr>
          <w:rFonts w:ascii="Arial" w:cs="Arial" w:eastAsia="Arial" w:hAnsi="Arial"/>
          <w:sz w:val="14"/>
          <w:szCs w:val="14"/>
          <w:i w:val="1"/>
          <w:iCs w:val="1"/>
          <w:color w:val="auto"/>
        </w:rPr>
        <w:t xml:space="preserve"> </w:t>
      </w:r>
      <w:r>
        <w:rPr>
          <w:rFonts w:ascii="Arial" w:cs="Arial" w:eastAsia="Arial" w:hAnsi="Arial"/>
          <w:sz w:val="14"/>
          <w:szCs w:val="14"/>
          <w:color w:val="auto"/>
        </w:rPr>
        <w:t>conditions in the real estate markets or in the general economy. Business equity lines of credit totaling $14.1 million as of December 31, 2023 and $12.3 million as of December 31, 2022, are included in the commercial real estate loan category. Business equity lines of credit are commercial purpose lines of credit primarily secured by the business owners residential properties. Lender finance loans totaling $11.1 million as of December 31, 2023 are included in the commercial real estate loan category. Lender finance loans are loans to companies used to purchase finance receivables or extend finance receivables to the underlying obligors and are secured primarily by the finance receivables held by our borrowers. The primary sources of repayment are the operating incomes of the borrowers and the collection of the finance receivables securing the loans. Commercial loans that are secured by owner-occupied commercial real estate and primarily collateralized by operating cash flows are included in the commercial real estate loan category. As of December 31, 2023, there were approximately $307.9 million of owner-occupied commercial real estate loans, representing approximately 16.1% of the loan portfolio. In prior reporting periods, the Company classified certain commercial real estate loans as owner-occupied that should have been classified as non-owner-occupied. For the reporting periods ended December 31, 2022 and March 31, 2023, the Company disclosed owner-occupied commercial real estate loans of $387.7 million and $377.4 million, respectively. Based on the revised classification metrics, the correct amount of owner-occupied commercial real estate loans at December 31, 2022 and March 31, 2023 was $ 300.8 million and $300.0 million, respectively. Commercial real estate loan terms are generally extended for 10 years or less and amortize generally over 25 years or less. The interest rates on commercial real estate loans generally have initial fixed rate terms that adjust typically at five years.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diverse in type. This diversity may help reduce the exposure to adverse economic events that affect any single industry.</w:t>
      </w:r>
    </w:p>
    <w:p>
      <w:pPr>
        <w:spacing w:after="0" w:line="15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Construction Loans</w:t>
      </w:r>
      <w:r>
        <w:rPr>
          <w:rFonts w:ascii="Arial" w:cs="Arial" w:eastAsia="Arial" w:hAnsi="Arial"/>
          <w:sz w:val="14"/>
          <w:szCs w:val="14"/>
          <w:color w:val="auto"/>
        </w:rPr>
        <w:t>. Construction loans are offered within the Company’s Washington, D.C. and Baltimore, Maryland metropolitan operating areas to builders, primarily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construction of single-family homes and condominium and townhouse conversions or renovations and, to a lesser extent, to individuals. Construction loans typically have terms of 12 to 18 months. The Company frequently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5" w:right="319" w:bottom="1440" w:gutter="0" w:footer="0" w:header="0"/>
        </w:sectPr>
      </w:pPr>
    </w:p>
    <w:bookmarkStart w:id="48" w:name="page49"/>
    <w:bookmarkEnd w:id="48"/>
    <w:p>
      <w:pPr>
        <w:jc w:val="both"/>
        <w:spacing w:after="0" w:line="262" w:lineRule="auto"/>
        <w:rPr>
          <w:sz w:val="20"/>
          <w:szCs w:val="20"/>
          <w:color w:val="auto"/>
        </w:rPr>
      </w:pPr>
      <w:r>
        <w:rPr>
          <w:rFonts w:ascii="Arial" w:cs="Arial" w:eastAsia="Arial" w:hAnsi="Arial"/>
          <w:sz w:val="14"/>
          <w:szCs w:val="14"/>
          <w:color w:val="auto"/>
        </w:rPr>
        <w:t>transitions the end purchaser to permanent financing or re-underwriting and sale into the secondary market through Capital Bank Home Loans. According to underwriting standards, the ratio of loan principal to collateral value, as established by an independent appraisal, cannot exceed 75% for investor-owned and 80% for owner-occupied properties, although exceptions are sometimes made. The Company performs a stress test of the construction loan portfolio at least once a year, and underlying real estate conditions are monitored as well as trends in sales outcomes versus underwriting valuations as part of ongoing risk management efforts. The borrowers’ progress in construction buildout is monitored against the original underwriting guidelines for construction milestones and completion timelines.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Commercial and Industrial</w:t>
      </w:r>
      <w:r>
        <w:rPr>
          <w:rFonts w:ascii="Arial" w:cs="Arial" w:eastAsia="Arial" w:hAnsi="Arial"/>
          <w:sz w:val="14"/>
          <w:szCs w:val="14"/>
          <w:color w:val="auto"/>
        </w:rPr>
        <w:t>. In addition to other loan products, general commercial loans, including commercial lines of credit, working capital loans, term loans, equipment financing,</w:t>
      </w:r>
      <w:r>
        <w:rPr>
          <w:rFonts w:ascii="Arial" w:cs="Arial" w:eastAsia="Arial" w:hAnsi="Arial"/>
          <w:sz w:val="14"/>
          <w:szCs w:val="14"/>
          <w:i w:val="1"/>
          <w:iCs w:val="1"/>
          <w:color w:val="auto"/>
        </w:rPr>
        <w:t xml:space="preserve"> </w:t>
      </w:r>
      <w:r>
        <w:rPr>
          <w:rFonts w:ascii="Arial" w:cs="Arial" w:eastAsia="Arial" w:hAnsi="Arial"/>
          <w:sz w:val="14"/>
          <w:szCs w:val="14"/>
          <w:color w:val="auto"/>
        </w:rPr>
        <w:t>letters of credit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Personal guaranties from the borrower or other principal are generally obtained.</w:t>
      </w:r>
    </w:p>
    <w:p>
      <w:pPr>
        <w:spacing w:after="0" w:line="138" w:lineRule="exact"/>
        <w:rPr>
          <w:sz w:val="20"/>
          <w:szCs w:val="20"/>
          <w:color w:val="auto"/>
        </w:rPr>
      </w:pPr>
    </w:p>
    <w:p>
      <w:pPr>
        <w:jc w:val="both"/>
        <w:spacing w:after="0" w:line="248" w:lineRule="auto"/>
        <w:rPr>
          <w:sz w:val="20"/>
          <w:szCs w:val="20"/>
          <w:color w:val="auto"/>
        </w:rPr>
      </w:pPr>
      <w:r>
        <w:rPr>
          <w:rFonts w:ascii="Arial" w:cs="Arial" w:eastAsia="Arial" w:hAnsi="Arial"/>
          <w:sz w:val="14"/>
          <w:szCs w:val="14"/>
          <w:i w:val="1"/>
          <w:iCs w:val="1"/>
          <w:color w:val="auto"/>
        </w:rPr>
        <w:t>Credit Cards</w:t>
      </w:r>
      <w:r>
        <w:rPr>
          <w:rFonts w:ascii="Arial" w:cs="Arial" w:eastAsia="Arial" w:hAnsi="Arial"/>
          <w:sz w:val="14"/>
          <w:szCs w:val="14"/>
          <w:color w:val="auto"/>
        </w:rPr>
        <w:t>. Through the OpenSky</w:t>
      </w:r>
      <w:r>
        <w:rPr>
          <w:rFonts w:ascii="Arial" w:cs="Arial" w:eastAsia="Arial" w:hAnsi="Arial"/>
          <w:sz w:val="18"/>
          <w:szCs w:val="18"/>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credit card division, the Company offers secured, partially secured, and unsecured credit cards on a nationwide basis to under-banked</w:t>
      </w:r>
      <w:r>
        <w:rPr>
          <w:rFonts w:ascii="Arial" w:cs="Arial" w:eastAsia="Arial" w:hAnsi="Arial"/>
          <w:sz w:val="14"/>
          <w:szCs w:val="14"/>
          <w:i w:val="1"/>
          <w:iCs w:val="1"/>
          <w:color w:val="auto"/>
        </w:rPr>
        <w:t xml:space="preserve"> </w:t>
      </w:r>
      <w:r>
        <w:rPr>
          <w:rFonts w:ascii="Arial" w:cs="Arial" w:eastAsia="Arial" w:hAnsi="Arial"/>
          <w:sz w:val="14"/>
          <w:szCs w:val="14"/>
          <w:color w:val="auto"/>
        </w:rPr>
        <w:t>populations and those looking to rebuild their credit scores through a fully digital and mobile platform. The secured lines of credit are secured by a noninterest-bearing demand account at the Bank in an amount equal to the full credit limit of the credit card. For the partially secured lines of credit, the Bank offers certain customers an unsecured line in excess of their secured line of credit by using a proprietary scoring model, which considers credit score and repayment history (typically a minimum of six months of on-time payments, but ultimately determined on a case-by-case basis). Partially secured and unsecured credit cards are only extended to existing secured card customers who have demonstrated sound credit behaviors. Approximately $95.3 million and $109.4 million in secured and partially secured credit card balances were protected by savings deposits held by the Company as of December 31, 2023 and December 31, 2022, respectively. Unsecured balances were $30.8 million and $26.8 million, respectively, at the same dates.</w:t>
      </w:r>
    </w:p>
    <w:p>
      <w:pPr>
        <w:spacing w:after="0" w:line="14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Other Consumer Loans</w:t>
      </w:r>
      <w:r>
        <w:rPr>
          <w:rFonts w:ascii="Arial" w:cs="Arial" w:eastAsia="Arial" w:hAnsi="Arial"/>
          <w:sz w:val="14"/>
          <w:szCs w:val="14"/>
          <w:color w:val="auto"/>
        </w:rPr>
        <w:t>. To a limited extent and typically as an accommodation to existing customers, personal consumer loans, such as term loans, car loans and boat loans are</w:t>
      </w:r>
      <w:r>
        <w:rPr>
          <w:rFonts w:ascii="Arial" w:cs="Arial" w:eastAsia="Arial" w:hAnsi="Arial"/>
          <w:sz w:val="14"/>
          <w:szCs w:val="14"/>
          <w:i w:val="1"/>
          <w:iCs w:val="1"/>
          <w:color w:val="auto"/>
        </w:rPr>
        <w:t xml:space="preserve"> </w:t>
      </w:r>
      <w:r>
        <w:rPr>
          <w:rFonts w:ascii="Arial" w:cs="Arial" w:eastAsia="Arial" w:hAnsi="Arial"/>
          <w:sz w:val="14"/>
          <w:szCs w:val="14"/>
          <w:color w:val="auto"/>
        </w:rPr>
        <w:t>offered.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Purchased Credit Deterioration</w:t>
      </w:r>
      <w:r>
        <w:rPr>
          <w:rFonts w:ascii="Arial" w:cs="Arial" w:eastAsia="Arial" w:hAnsi="Arial"/>
          <w:sz w:val="14"/>
          <w:szCs w:val="14"/>
          <w:color w:val="auto"/>
        </w:rPr>
        <w:t>. There were no loans purchased with credit deterioration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49" w:name="page50"/>
    <w:bookmarkEnd w:id="49"/>
    <w:p>
      <w:pPr>
        <w:jc w:val="both"/>
        <w:spacing w:after="0" w:line="271" w:lineRule="auto"/>
        <w:rPr>
          <w:sz w:val="20"/>
          <w:szCs w:val="20"/>
          <w:color w:val="auto"/>
        </w:rPr>
      </w:pPr>
      <w:r>
        <w:rPr>
          <w:rFonts w:ascii="Arial" w:cs="Arial" w:eastAsia="Arial" w:hAnsi="Arial"/>
          <w:sz w:val="14"/>
          <w:szCs w:val="14"/>
          <w:color w:val="auto"/>
        </w:rPr>
        <w:t>The repayment of loans is a source of additional liquidity for the Company. The following table details contractual maturities of our portfolio loans, along with an analysis of loans maturing after one year categorized by rate characteristic. Loans with adjustable interest rates are shown as maturing in the period during which the contract is due. The table does not reflect the effects of possible prepayments.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38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rPr>
              <w:t>As of December 31, 2023</w:t>
            </w: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960" w:type="dxa"/>
            <w:vAlign w:val="bottom"/>
            <w:vMerge w:val="restart"/>
          </w:tcPr>
          <w:p>
            <w:pPr>
              <w:jc w:val="center"/>
              <w:ind w:left="383"/>
              <w:spacing w:after="0"/>
              <w:rPr>
                <w:sz w:val="20"/>
                <w:szCs w:val="20"/>
                <w:color w:val="auto"/>
              </w:rPr>
            </w:pPr>
            <w:r>
              <w:rPr>
                <w:rFonts w:ascii="Arial" w:cs="Arial" w:eastAsia="Arial" w:hAnsi="Arial"/>
                <w:sz w:val="11"/>
                <w:szCs w:val="11"/>
                <w:b w:val="1"/>
                <w:bCs w:val="1"/>
                <w:color w:val="auto"/>
                <w:w w:val="99"/>
              </w:rPr>
              <w:t>One Year</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One to</w:t>
            </w:r>
          </w:p>
        </w:tc>
        <w:tc>
          <w:tcPr>
            <w:tcW w:w="100" w:type="dxa"/>
            <w:vAlign w:val="bottom"/>
          </w:tcPr>
          <w:p>
            <w:pPr>
              <w:spacing w:after="0"/>
              <w:rPr>
                <w:sz w:val="10"/>
                <w:szCs w:val="10"/>
                <w:color w:val="auto"/>
              </w:rPr>
            </w:pPr>
          </w:p>
        </w:tc>
        <w:tc>
          <w:tcPr>
            <w:tcW w:w="1400" w:type="dxa"/>
            <w:vAlign w:val="bottom"/>
            <w:gridSpan w:val="2"/>
          </w:tcPr>
          <w:p>
            <w:pPr>
              <w:ind w:left="460"/>
              <w:spacing w:after="0" w:line="117" w:lineRule="exact"/>
              <w:rPr>
                <w:sz w:val="20"/>
                <w:szCs w:val="20"/>
                <w:color w:val="auto"/>
              </w:rPr>
            </w:pPr>
            <w:r>
              <w:rPr>
                <w:rFonts w:ascii="Arial" w:cs="Arial" w:eastAsia="Arial" w:hAnsi="Arial"/>
                <w:sz w:val="11"/>
                <w:szCs w:val="11"/>
                <w:b w:val="1"/>
                <w:bCs w:val="1"/>
                <w:color w:val="auto"/>
              </w:rPr>
              <w:t>Over</w:t>
            </w: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8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center"/>
              <w:ind w:right="180"/>
              <w:spacing w:after="0" w:line="113" w:lineRule="exact"/>
              <w:rPr>
                <w:sz w:val="20"/>
                <w:szCs w:val="20"/>
                <w:color w:val="auto"/>
              </w:rPr>
            </w:pPr>
            <w:r>
              <w:rPr>
                <w:rFonts w:ascii="Arial" w:cs="Arial" w:eastAsia="Arial" w:hAnsi="Arial"/>
                <w:sz w:val="11"/>
                <w:szCs w:val="11"/>
                <w:b w:val="1"/>
                <w:bCs w:val="1"/>
                <w:color w:val="auto"/>
              </w:rPr>
              <w:t>Five Years to Fifteen</w:t>
            </w:r>
          </w:p>
        </w:tc>
        <w:tc>
          <w:tcPr>
            <w:tcW w:w="140" w:type="dxa"/>
            <w:vAlign w:val="bottom"/>
          </w:tcPr>
          <w:p>
            <w:pPr>
              <w:spacing w:after="0"/>
              <w:rPr>
                <w:sz w:val="9"/>
                <w:szCs w:val="9"/>
                <w:color w:val="auto"/>
              </w:rPr>
            </w:pPr>
          </w:p>
        </w:tc>
        <w:tc>
          <w:tcPr>
            <w:tcW w:w="1280" w:type="dxa"/>
            <w:vAlign w:val="bottom"/>
            <w:vMerge w:val="restart"/>
          </w:tcPr>
          <w:p>
            <w:pPr>
              <w:jc w:val="center"/>
              <w:ind w:right="63"/>
              <w:spacing w:after="0"/>
              <w:rPr>
                <w:sz w:val="20"/>
                <w:szCs w:val="20"/>
                <w:color w:val="auto"/>
              </w:rPr>
            </w:pPr>
            <w:r>
              <w:rPr>
                <w:rFonts w:ascii="Arial" w:cs="Arial" w:eastAsia="Arial" w:hAnsi="Arial"/>
                <w:sz w:val="11"/>
                <w:szCs w:val="11"/>
                <w:b w:val="1"/>
                <w:bCs w:val="1"/>
                <w:color w:val="auto"/>
              </w:rPr>
              <w:t>After Fifteen Years</w:t>
            </w:r>
          </w:p>
        </w:tc>
        <w:tc>
          <w:tcPr>
            <w:tcW w:w="10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960" w:type="dxa"/>
            <w:vAlign w:val="bottom"/>
            <w:tcBorders>
              <w:bottom w:val="single" w:sz="8" w:color="auto"/>
            </w:tcBorders>
          </w:tcPr>
          <w:p>
            <w:pPr>
              <w:jc w:val="center"/>
              <w:ind w:left="423"/>
              <w:spacing w:after="0"/>
              <w:rPr>
                <w:sz w:val="20"/>
                <w:szCs w:val="20"/>
                <w:color w:val="auto"/>
              </w:rPr>
            </w:pPr>
            <w:r>
              <w:rPr>
                <w:rFonts w:ascii="Arial" w:cs="Arial" w:eastAsia="Arial" w:hAnsi="Arial"/>
                <w:sz w:val="11"/>
                <w:szCs w:val="11"/>
                <w:b w:val="1"/>
                <w:bCs w:val="1"/>
                <w:color w:val="auto"/>
              </w:rPr>
              <w:t>or Less</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203"/>
              <w:spacing w:after="0"/>
              <w:rPr>
                <w:sz w:val="20"/>
                <w:szCs w:val="20"/>
                <w:color w:val="auto"/>
              </w:rPr>
            </w:pPr>
            <w:r>
              <w:rPr>
                <w:rFonts w:ascii="Arial" w:cs="Arial" w:eastAsia="Arial" w:hAnsi="Arial"/>
                <w:sz w:val="11"/>
                <w:szCs w:val="11"/>
                <w:b w:val="1"/>
                <w:bCs w:val="1"/>
                <w:color w:val="auto"/>
              </w:rPr>
              <w:t>Five Years</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w w:val="99"/>
              </w:rPr>
              <w:t>Years</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800" w:type="dxa"/>
            <w:vAlign w:val="bottom"/>
          </w:tcPr>
          <w:p>
            <w:pPr>
              <w:spacing w:after="0"/>
              <w:rPr>
                <w:sz w:val="20"/>
                <w:szCs w:val="20"/>
                <w:color w:val="auto"/>
              </w:rPr>
            </w:pPr>
            <w:r>
              <w:rPr>
                <w:rFonts w:ascii="Arial" w:cs="Arial" w:eastAsia="Arial" w:hAnsi="Arial"/>
                <w:sz w:val="8"/>
                <w:szCs w:val="8"/>
                <w:i w:val="1"/>
                <w:iCs w:val="1"/>
                <w:color w:val="auto"/>
              </w:rPr>
              <w:t>(in thousands)</w:t>
            </w:r>
          </w:p>
        </w:tc>
        <w:tc>
          <w:tcPr>
            <w:tcW w:w="960" w:type="dxa"/>
            <w:vAlign w:val="bottom"/>
          </w:tcPr>
          <w:p>
            <w:pPr>
              <w:jc w:val="center"/>
              <w:ind w:left="403"/>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3"/>
                <w:szCs w:val="13"/>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3"/>
                <w:szCs w:val="13"/>
                <w:color w:val="auto"/>
              </w:rPr>
            </w:pPr>
          </w:p>
        </w:tc>
        <w:tc>
          <w:tcPr>
            <w:tcW w:w="1100" w:type="dxa"/>
            <w:vAlign w:val="bottom"/>
          </w:tcPr>
          <w:p>
            <w:pPr>
              <w:jc w:val="right"/>
              <w:ind w:right="52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9"/>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Real estate:</w:t>
            </w:r>
          </w:p>
        </w:tc>
        <w:tc>
          <w:tcPr>
            <w:tcW w:w="9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00" w:type="dxa"/>
            <w:vAlign w:val="bottom"/>
          </w:tcPr>
          <w:p>
            <w:pPr>
              <w:ind w:left="140"/>
              <w:spacing w:after="0"/>
              <w:rPr>
                <w:sz w:val="20"/>
                <w:szCs w:val="20"/>
                <w:color w:val="auto"/>
              </w:rPr>
            </w:pPr>
            <w:r>
              <w:rPr>
                <w:rFonts w:ascii="Arial" w:cs="Arial" w:eastAsia="Arial" w:hAnsi="Arial"/>
                <w:sz w:val="11"/>
                <w:szCs w:val="11"/>
                <w:color w:val="auto"/>
              </w:rPr>
              <w:t>Residential</w:t>
            </w:r>
          </w:p>
        </w:tc>
        <w:tc>
          <w:tcPr>
            <w:tcW w:w="960" w:type="dxa"/>
            <w:vAlign w:val="bottom"/>
          </w:tcPr>
          <w:p>
            <w:pPr>
              <w:jc w:val="right"/>
              <w:ind w:right="823"/>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117,425</w:t>
            </w:r>
          </w:p>
        </w:tc>
        <w:tc>
          <w:tcPr>
            <w:tcW w:w="100" w:type="dxa"/>
            <w:vAlign w:val="bottom"/>
          </w:tcPr>
          <w:p>
            <w:pPr>
              <w:spacing w:after="0"/>
              <w:rPr>
                <w:sz w:val="13"/>
                <w:szCs w:val="1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217,048</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ind w:right="3"/>
              <w:spacing w:after="0"/>
              <w:rPr>
                <w:sz w:val="20"/>
                <w:szCs w:val="20"/>
                <w:color w:val="auto"/>
              </w:rPr>
            </w:pPr>
            <w:r>
              <w:rPr>
                <w:rFonts w:ascii="Arial" w:cs="Arial" w:eastAsia="Arial" w:hAnsi="Arial"/>
                <w:sz w:val="11"/>
                <w:szCs w:val="11"/>
                <w:color w:val="auto"/>
              </w:rPr>
              <w:t>86,505</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spacing w:after="0"/>
              <w:rPr>
                <w:sz w:val="20"/>
                <w:szCs w:val="20"/>
                <w:color w:val="auto"/>
              </w:rPr>
            </w:pPr>
            <w:r>
              <w:rPr>
                <w:rFonts w:ascii="Arial" w:cs="Arial" w:eastAsia="Arial" w:hAnsi="Arial"/>
                <w:sz w:val="11"/>
                <w:szCs w:val="11"/>
                <w:color w:val="auto"/>
              </w:rPr>
              <w:t>152,126</w:t>
            </w:r>
          </w:p>
        </w:tc>
        <w:tc>
          <w:tcPr>
            <w:tcW w:w="100" w:type="dxa"/>
            <w:vAlign w:val="bottom"/>
          </w:tcPr>
          <w:p>
            <w:pPr>
              <w:spacing w:after="0"/>
              <w:rPr>
                <w:sz w:val="13"/>
                <w:szCs w:val="13"/>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573,104</w:t>
            </w: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Commercial</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141,436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269,138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270,613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684,229</w:t>
            </w:r>
          </w:p>
        </w:tc>
        <w:tc>
          <w:tcPr>
            <w:tcW w:w="0" w:type="dxa"/>
            <w:vAlign w:val="bottom"/>
          </w:tcPr>
          <w:p>
            <w:pPr>
              <w:spacing w:after="0"/>
              <w:rPr>
                <w:sz w:val="1"/>
                <w:szCs w:val="1"/>
                <w:color w:val="auto"/>
              </w:rPr>
            </w:pPr>
          </w:p>
        </w:tc>
      </w:tr>
      <w:tr>
        <w:trPr>
          <w:trHeight w:val="156"/>
        </w:trPr>
        <w:tc>
          <w:tcPr>
            <w:tcW w:w="3800" w:type="dxa"/>
            <w:vAlign w:val="bottom"/>
          </w:tcPr>
          <w:p>
            <w:pPr>
              <w:ind w:left="140"/>
              <w:spacing w:after="0"/>
              <w:rPr>
                <w:sz w:val="20"/>
                <w:szCs w:val="20"/>
                <w:color w:val="auto"/>
              </w:rPr>
            </w:pPr>
            <w:r>
              <w:rPr>
                <w:rFonts w:ascii="Arial" w:cs="Arial" w:eastAsia="Arial" w:hAnsi="Arial"/>
                <w:sz w:val="11"/>
                <w:szCs w:val="11"/>
                <w:color w:val="auto"/>
              </w:rPr>
              <w:t>Construction</w:t>
            </w: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228,288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53,293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Arial" w:cs="Arial" w:eastAsia="Arial" w:hAnsi="Arial"/>
                <w:sz w:val="11"/>
                <w:szCs w:val="11"/>
                <w:color w:val="auto"/>
              </w:rPr>
              <w:t>8,527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290,108</w:t>
            </w: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spacing w:after="0"/>
              <w:rPr>
                <w:sz w:val="20"/>
                <w:szCs w:val="20"/>
                <w:color w:val="auto"/>
              </w:rPr>
            </w:pPr>
            <w:r>
              <w:rPr>
                <w:rFonts w:ascii="Arial" w:cs="Arial" w:eastAsia="Arial" w:hAnsi="Arial"/>
                <w:sz w:val="11"/>
                <w:szCs w:val="11"/>
                <w:color w:val="auto"/>
              </w:rPr>
              <w:t>Commercial and industrial</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50,384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98,518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75,825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13,821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238,548</w:t>
            </w:r>
          </w:p>
        </w:tc>
        <w:tc>
          <w:tcPr>
            <w:tcW w:w="0" w:type="dxa"/>
            <w:vAlign w:val="bottom"/>
          </w:tcPr>
          <w:p>
            <w:pPr>
              <w:spacing w:after="0"/>
              <w:rPr>
                <w:sz w:val="1"/>
                <w:szCs w:val="1"/>
                <w:color w:val="auto"/>
              </w:rPr>
            </w:pPr>
          </w:p>
        </w:tc>
      </w:tr>
      <w:tr>
        <w:trPr>
          <w:trHeight w:val="156"/>
        </w:trPr>
        <w:tc>
          <w:tcPr>
            <w:tcW w:w="3800" w:type="dxa"/>
            <w:vAlign w:val="bottom"/>
          </w:tcPr>
          <w:p>
            <w:pPr>
              <w:spacing w:after="0"/>
              <w:rPr>
                <w:sz w:val="20"/>
                <w:szCs w:val="20"/>
                <w:color w:val="auto"/>
              </w:rPr>
            </w:pPr>
            <w:r>
              <w:rPr>
                <w:rFonts w:ascii="Arial" w:cs="Arial" w:eastAsia="Arial" w:hAnsi="Arial"/>
                <w:sz w:val="11"/>
                <w:szCs w:val="11"/>
                <w:color w:val="auto"/>
              </w:rPr>
              <w:t>Credit card</w:t>
            </w: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123,331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123,331</w:t>
            </w:r>
          </w:p>
        </w:tc>
        <w:tc>
          <w:tcPr>
            <w:tcW w:w="0" w:type="dxa"/>
            <w:vAlign w:val="bottom"/>
          </w:tcPr>
          <w:p>
            <w:pPr>
              <w:spacing w:after="0"/>
              <w:rPr>
                <w:sz w:val="1"/>
                <w:szCs w:val="1"/>
                <w:color w:val="auto"/>
              </w:rPr>
            </w:pPr>
          </w:p>
        </w:tc>
      </w:tr>
      <w:tr>
        <w:trPr>
          <w:trHeight w:val="159"/>
        </w:trPr>
        <w:tc>
          <w:tcPr>
            <w:tcW w:w="3800" w:type="dxa"/>
            <w:vAlign w:val="bottom"/>
            <w:shd w:val="clear" w:color="auto" w:fill="CCEEFF"/>
          </w:tcPr>
          <w:p>
            <w:pPr>
              <w:spacing w:after="0"/>
              <w:rPr>
                <w:sz w:val="20"/>
                <w:szCs w:val="20"/>
                <w:color w:val="auto"/>
              </w:rPr>
            </w:pPr>
            <w:r>
              <w:rPr>
                <w:rFonts w:ascii="Arial" w:cs="Arial" w:eastAsia="Arial" w:hAnsi="Arial"/>
                <w:sz w:val="11"/>
                <w:szCs w:val="11"/>
                <w:color w:val="auto"/>
              </w:rPr>
              <w:t>Other consumer</w:t>
            </w: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950</w:t>
            </w:r>
          </w:p>
        </w:tc>
        <w:tc>
          <w:tcPr>
            <w:tcW w:w="0" w:type="dxa"/>
            <w:vAlign w:val="bottom"/>
          </w:tcPr>
          <w:p>
            <w:pPr>
              <w:spacing w:after="0"/>
              <w:rPr>
                <w:sz w:val="1"/>
                <w:szCs w:val="1"/>
                <w:color w:val="auto"/>
              </w:rPr>
            </w:pPr>
          </w:p>
        </w:tc>
      </w:tr>
      <w:tr>
        <w:trPr>
          <w:trHeight w:val="153"/>
        </w:trPr>
        <w:tc>
          <w:tcPr>
            <w:tcW w:w="3800" w:type="dxa"/>
            <w:vAlign w:val="bottom"/>
          </w:tcPr>
          <w:p>
            <w:pPr>
              <w:ind w:left="140"/>
              <w:spacing w:after="0"/>
              <w:rPr>
                <w:sz w:val="20"/>
                <w:szCs w:val="20"/>
                <w:color w:val="auto"/>
              </w:rPr>
            </w:pPr>
            <w:r>
              <w:rPr>
                <w:rFonts w:ascii="Arial" w:cs="Arial" w:eastAsia="Arial" w:hAnsi="Arial"/>
                <w:sz w:val="11"/>
                <w:szCs w:val="11"/>
                <w:color w:val="auto"/>
              </w:rPr>
              <w:t>Total portfolio loans, gross</w:t>
            </w:r>
          </w:p>
        </w:tc>
        <w:tc>
          <w:tcPr>
            <w:tcW w:w="960" w:type="dxa"/>
            <w:vAlign w:val="bottom"/>
            <w:tcBorders>
              <w:top w:val="single" w:sz="8" w:color="auto"/>
              <w:bottom w:val="single" w:sz="8" w:color="auto"/>
            </w:tcBorders>
          </w:tcPr>
          <w:p>
            <w:pPr>
              <w:jc w:val="right"/>
              <w:ind w:right="823"/>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661,248</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638,322</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441,711</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168,989</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1,910,270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0" w:type="dxa"/>
            <w:vAlign w:val="bottom"/>
            <w:vMerge w:val="restart"/>
          </w:tcPr>
          <w:p>
            <w:pPr>
              <w:spacing w:after="0"/>
              <w:rPr>
                <w:sz w:val="20"/>
                <w:szCs w:val="20"/>
                <w:color w:val="auto"/>
              </w:rPr>
            </w:pPr>
            <w:r>
              <w:rPr>
                <w:rFonts w:ascii="Arial" w:cs="Arial" w:eastAsia="Arial" w:hAnsi="Arial"/>
                <w:sz w:val="11"/>
                <w:szCs w:val="11"/>
                <w:color w:val="auto"/>
              </w:rPr>
              <w:t>Loans above maturing after one year categorized by rate characteristic:</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1"/>
                <w:szCs w:val="11"/>
                <w:color w:val="auto"/>
              </w:rPr>
              <w:t>Predetermined Interest</w:t>
            </w:r>
          </w:p>
        </w:tc>
        <w:tc>
          <w:tcPr>
            <w:tcW w:w="1520" w:type="dxa"/>
            <w:vAlign w:val="bottom"/>
            <w:gridSpan w:val="3"/>
            <w:vMerge w:val="restart"/>
          </w:tcPr>
          <w:p>
            <w:pPr>
              <w:jc w:val="center"/>
              <w:ind w:right="100"/>
              <w:spacing w:after="0"/>
              <w:rPr>
                <w:sz w:val="20"/>
                <w:szCs w:val="20"/>
                <w:color w:val="auto"/>
              </w:rPr>
            </w:pPr>
            <w:r>
              <w:rPr>
                <w:rFonts w:ascii="Arial" w:cs="Arial" w:eastAsia="Arial" w:hAnsi="Arial"/>
                <w:sz w:val="11"/>
                <w:szCs w:val="11"/>
                <w:color w:val="auto"/>
              </w:rPr>
              <w:t>Floating or Variable Rates</w:t>
            </w:r>
          </w:p>
        </w:tc>
        <w:tc>
          <w:tcPr>
            <w:tcW w:w="320" w:type="dxa"/>
            <w:vAlign w:val="bottom"/>
          </w:tcPr>
          <w:p>
            <w:pPr>
              <w:spacing w:after="0"/>
              <w:rPr>
                <w:sz w:val="17"/>
                <w:szCs w:val="17"/>
                <w:color w:val="auto"/>
              </w:rPr>
            </w:pPr>
          </w:p>
        </w:tc>
        <w:tc>
          <w:tcPr>
            <w:tcW w:w="1100" w:type="dxa"/>
            <w:vAlign w:val="bottom"/>
            <w:vMerge w:val="restart"/>
          </w:tcPr>
          <w:p>
            <w:pPr>
              <w:jc w:val="right"/>
              <w:ind w:right="543"/>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44"/>
        </w:trPr>
        <w:tc>
          <w:tcPr>
            <w:tcW w:w="38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1"/>
                <w:szCs w:val="11"/>
                <w:color w:val="auto"/>
              </w:rPr>
              <w:t>Rates</w:t>
            </w:r>
          </w:p>
        </w:tc>
        <w:tc>
          <w:tcPr>
            <w:tcW w:w="15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Real estate:</w:t>
            </w:r>
          </w:p>
        </w:tc>
        <w:tc>
          <w:tcPr>
            <w:tcW w:w="9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00" w:type="dxa"/>
            <w:vAlign w:val="bottom"/>
          </w:tcPr>
          <w:p>
            <w:pPr>
              <w:ind w:left="140"/>
              <w:spacing w:after="0"/>
              <w:rPr>
                <w:sz w:val="20"/>
                <w:szCs w:val="20"/>
                <w:color w:val="auto"/>
              </w:rPr>
            </w:pPr>
            <w:r>
              <w:rPr>
                <w:rFonts w:ascii="Arial" w:cs="Arial" w:eastAsia="Arial" w:hAnsi="Arial"/>
                <w:sz w:val="11"/>
                <w:szCs w:val="11"/>
                <w:color w:val="auto"/>
              </w:rPr>
              <w:t>Residential</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ind w:right="3"/>
              <w:spacing w:after="0"/>
              <w:rPr>
                <w:sz w:val="20"/>
                <w:szCs w:val="20"/>
                <w:color w:val="auto"/>
              </w:rPr>
            </w:pPr>
            <w:r>
              <w:rPr>
                <w:rFonts w:ascii="Arial" w:cs="Arial" w:eastAsia="Arial" w:hAnsi="Arial"/>
                <w:sz w:val="11"/>
                <w:szCs w:val="11"/>
                <w:color w:val="auto"/>
              </w:rPr>
              <w:t>267,422</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spacing w:after="0"/>
              <w:rPr>
                <w:sz w:val="20"/>
                <w:szCs w:val="20"/>
                <w:color w:val="auto"/>
              </w:rPr>
            </w:pPr>
            <w:r>
              <w:rPr>
                <w:rFonts w:ascii="Arial" w:cs="Arial" w:eastAsia="Arial" w:hAnsi="Arial"/>
                <w:sz w:val="11"/>
                <w:szCs w:val="11"/>
                <w:color w:val="auto"/>
              </w:rPr>
              <w:t>188,257</w:t>
            </w:r>
          </w:p>
        </w:tc>
        <w:tc>
          <w:tcPr>
            <w:tcW w:w="100" w:type="dxa"/>
            <w:vAlign w:val="bottom"/>
          </w:tcPr>
          <w:p>
            <w:pPr>
              <w:spacing w:after="0"/>
              <w:rPr>
                <w:sz w:val="13"/>
                <w:szCs w:val="13"/>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455,679</w:t>
            </w: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Commercial</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345,988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196,805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542,793</w:t>
            </w:r>
          </w:p>
        </w:tc>
        <w:tc>
          <w:tcPr>
            <w:tcW w:w="0" w:type="dxa"/>
            <w:vAlign w:val="bottom"/>
          </w:tcPr>
          <w:p>
            <w:pPr>
              <w:spacing w:after="0"/>
              <w:rPr>
                <w:sz w:val="1"/>
                <w:szCs w:val="1"/>
                <w:color w:val="auto"/>
              </w:rPr>
            </w:pPr>
          </w:p>
        </w:tc>
      </w:tr>
      <w:tr>
        <w:trPr>
          <w:trHeight w:val="156"/>
        </w:trPr>
        <w:tc>
          <w:tcPr>
            <w:tcW w:w="3800" w:type="dxa"/>
            <w:vAlign w:val="bottom"/>
          </w:tcPr>
          <w:p>
            <w:pPr>
              <w:ind w:left="140"/>
              <w:spacing w:after="0"/>
              <w:rPr>
                <w:sz w:val="20"/>
                <w:szCs w:val="20"/>
                <w:color w:val="auto"/>
              </w:rPr>
            </w:pPr>
            <w:r>
              <w:rPr>
                <w:rFonts w:ascii="Arial" w:cs="Arial" w:eastAsia="Arial" w:hAnsi="Arial"/>
                <w:sz w:val="11"/>
                <w:szCs w:val="11"/>
                <w:color w:val="auto"/>
              </w:rPr>
              <w:t>Construction</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Arial" w:cs="Arial" w:eastAsia="Arial" w:hAnsi="Arial"/>
                <w:sz w:val="11"/>
                <w:szCs w:val="11"/>
                <w:color w:val="auto"/>
              </w:rPr>
              <w:t>11,453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50,367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61,820</w:t>
            </w: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spacing w:after="0"/>
              <w:rPr>
                <w:sz w:val="20"/>
                <w:szCs w:val="20"/>
                <w:color w:val="auto"/>
              </w:rPr>
            </w:pPr>
            <w:r>
              <w:rPr>
                <w:rFonts w:ascii="Arial" w:cs="Arial" w:eastAsia="Arial" w:hAnsi="Arial"/>
                <w:sz w:val="11"/>
                <w:szCs w:val="11"/>
                <w:color w:val="auto"/>
              </w:rPr>
              <w:t>Commercial and industrial</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101,723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86,441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188,164</w:t>
            </w:r>
          </w:p>
        </w:tc>
        <w:tc>
          <w:tcPr>
            <w:tcW w:w="0" w:type="dxa"/>
            <w:vAlign w:val="bottom"/>
          </w:tcPr>
          <w:p>
            <w:pPr>
              <w:spacing w:after="0"/>
              <w:rPr>
                <w:sz w:val="1"/>
                <w:szCs w:val="1"/>
                <w:color w:val="auto"/>
              </w:rPr>
            </w:pPr>
          </w:p>
        </w:tc>
      </w:tr>
      <w:tr>
        <w:trPr>
          <w:trHeight w:val="156"/>
        </w:trPr>
        <w:tc>
          <w:tcPr>
            <w:tcW w:w="38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consumer</w:t>
            </w:r>
          </w:p>
        </w:tc>
        <w:tc>
          <w:tcPr>
            <w:tcW w:w="96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541</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566</w:t>
            </w:r>
          </w:p>
        </w:tc>
        <w:tc>
          <w:tcPr>
            <w:tcW w:w="0" w:type="dxa"/>
            <w:vAlign w:val="bottom"/>
          </w:tcPr>
          <w:p>
            <w:pPr>
              <w:spacing w:after="0"/>
              <w:rPr>
                <w:sz w:val="1"/>
                <w:szCs w:val="1"/>
                <w:color w:val="auto"/>
              </w:rPr>
            </w:pPr>
          </w:p>
        </w:tc>
      </w:tr>
      <w:tr>
        <w:trPr>
          <w:trHeight w:val="178"/>
        </w:trPr>
        <w:tc>
          <w:tcPr>
            <w:tcW w:w="3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portfolio loans, gross</w:t>
            </w:r>
          </w:p>
        </w:tc>
        <w:tc>
          <w:tcPr>
            <w:tcW w:w="9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727,127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521,895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1,249,022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addition to the portfolio loans shown above, gross SBA-PPP loans receivable, which totaled $0.7 million at December 31, 2023, mature in the one to five year time-frame and carry a fixed rate of interest.</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Multi-family loans totaled $157.3 million at December 31, 2023 and are included in the real estate residential loan category. At December 31, 2023, the Company has approximately $52.9 million in multi-family loans in the District of Columbia with tenants that could have some form of rent stabilization or rent control. Under the Rent Control Act in the District of Columbia, properties built prior to 1975 limit rent increases to no more than annually unless a unit becomes vacant, and increases are generally limited to the Consumer Price Index plus 2% not to exceed 10%. Further, there must be at least 30 days’ notice of rent increase. The Company does not have any multi-family loans in New York City or New York state.</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tables present non owner-occupied and owner-occupied commercial real estate loans and multi-family loans and the weighted average loan-to-value (“LTV”) and fixed rate maturities by year and loan type: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color w:val="auto"/>
        </w:rPr>
        <w:t>Non-owner-occupied commercial real estate loans, including multi-family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ind w:left="480"/>
              <w:spacing w:after="0"/>
              <w:rPr>
                <w:sz w:val="20"/>
                <w:szCs w:val="20"/>
                <w:color w:val="auto"/>
              </w:rPr>
            </w:pPr>
            <w:r>
              <w:rPr>
                <w:rFonts w:ascii="Arial" w:cs="Arial" w:eastAsia="Arial" w:hAnsi="Arial"/>
                <w:sz w:val="11"/>
                <w:szCs w:val="11"/>
                <w:b w:val="1"/>
                <w:bCs w:val="1"/>
                <w:color w:val="auto"/>
              </w:rPr>
              <w:t>As of December 31, 2023</w:t>
            </w:r>
          </w:p>
        </w:tc>
        <w:tc>
          <w:tcPr>
            <w:tcW w:w="1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ind w:right="443"/>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Average Loan Size</w:t>
            </w:r>
          </w:p>
        </w:tc>
        <w:tc>
          <w:tcPr>
            <w:tcW w:w="182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Weighted Average LTV</w:t>
            </w:r>
            <w:r>
              <w:rPr>
                <w:rFonts w:ascii="Arial" w:cs="Arial" w:eastAsia="Arial" w:hAnsi="Arial"/>
                <w:sz w:val="14"/>
                <w:szCs w:val="14"/>
                <w:b w:val="1"/>
                <w:bCs w:val="1"/>
                <w:color w:val="auto"/>
                <w:vertAlign w:val="superscript"/>
              </w:rPr>
              <w:t>(1)</w:t>
            </w:r>
          </w:p>
        </w:tc>
        <w:tc>
          <w:tcPr>
            <w:tcW w:w="1900" w:type="dxa"/>
            <w:vAlign w:val="bottom"/>
            <w:gridSpan w:val="2"/>
          </w:tcPr>
          <w:p>
            <w:pPr>
              <w:jc w:val="center"/>
              <w:ind w:right="240"/>
              <w:spacing w:after="0" w:line="117" w:lineRule="exact"/>
              <w:rPr>
                <w:sz w:val="20"/>
                <w:szCs w:val="20"/>
                <w:color w:val="auto"/>
              </w:rPr>
            </w:pPr>
            <w:r>
              <w:rPr>
                <w:rFonts w:ascii="Arial" w:cs="Arial" w:eastAsia="Arial" w:hAnsi="Arial"/>
                <w:sz w:val="11"/>
                <w:szCs w:val="11"/>
                <w:b w:val="1"/>
                <w:bCs w:val="1"/>
                <w:color w:val="auto"/>
              </w:rPr>
              <w:t>% of Non Owner-Occupied</w:t>
            </w:r>
          </w:p>
        </w:tc>
        <w:tc>
          <w:tcPr>
            <w:tcW w:w="1380" w:type="dxa"/>
            <w:vAlign w:val="bottom"/>
          </w:tcPr>
          <w:p>
            <w:pPr>
              <w:jc w:val="right"/>
              <w:ind w:right="123"/>
              <w:spacing w:after="0" w:line="117" w:lineRule="exact"/>
              <w:rPr>
                <w:sz w:val="20"/>
                <w:szCs w:val="20"/>
                <w:color w:val="auto"/>
              </w:rPr>
            </w:pPr>
            <w:r>
              <w:rPr>
                <w:rFonts w:ascii="Arial" w:cs="Arial" w:eastAsia="Arial" w:hAnsi="Arial"/>
                <w:sz w:val="11"/>
                <w:szCs w:val="11"/>
                <w:b w:val="1"/>
                <w:bCs w:val="1"/>
                <w:color w:val="auto"/>
              </w:rPr>
              <w:t>% of Total Portfolio</w:t>
            </w:r>
          </w:p>
        </w:tc>
        <w:tc>
          <w:tcPr>
            <w:tcW w:w="0" w:type="dxa"/>
            <w:vAlign w:val="bottom"/>
          </w:tcPr>
          <w:p>
            <w:pPr>
              <w:spacing w:after="0"/>
              <w:rPr>
                <w:sz w:val="1"/>
                <w:szCs w:val="1"/>
                <w:color w:val="auto"/>
              </w:rPr>
            </w:pPr>
          </w:p>
        </w:tc>
      </w:tr>
      <w:tr>
        <w:trPr>
          <w:trHeight w:val="144"/>
        </w:trPr>
        <w:tc>
          <w:tcPr>
            <w:tcW w:w="294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Commercial Real Estate Loans</w:t>
            </w:r>
          </w:p>
        </w:tc>
        <w:tc>
          <w:tcPr>
            <w:tcW w:w="1380" w:type="dxa"/>
            <w:vAlign w:val="bottom"/>
          </w:tcPr>
          <w:p>
            <w:pPr>
              <w:jc w:val="right"/>
              <w:ind w:right="263"/>
              <w:spacing w:after="0"/>
              <w:rPr>
                <w:sz w:val="20"/>
                <w:szCs w:val="20"/>
                <w:color w:val="auto"/>
              </w:rPr>
            </w:pPr>
            <w:r>
              <w:rPr>
                <w:rFonts w:ascii="Arial" w:cs="Arial" w:eastAsia="Arial" w:hAnsi="Arial"/>
                <w:sz w:val="11"/>
                <w:szCs w:val="11"/>
                <w:b w:val="1"/>
                <w:bCs w:val="1"/>
                <w:color w:val="auto"/>
              </w:rPr>
              <w:t>Loans, Gross</w:t>
            </w:r>
          </w:p>
        </w:tc>
        <w:tc>
          <w:tcPr>
            <w:tcW w:w="0" w:type="dxa"/>
            <w:vAlign w:val="bottom"/>
          </w:tcPr>
          <w:p>
            <w:pPr>
              <w:spacing w:after="0"/>
              <w:rPr>
                <w:sz w:val="1"/>
                <w:szCs w:val="1"/>
                <w:color w:val="auto"/>
              </w:rPr>
            </w:pPr>
          </w:p>
        </w:tc>
      </w:tr>
      <w:tr>
        <w:trPr>
          <w:trHeight w:val="139"/>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Loan type:</w:t>
            </w:r>
          </w:p>
        </w:tc>
        <w:tc>
          <w:tcPr>
            <w:tcW w:w="2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940" w:type="dxa"/>
            <w:vAlign w:val="bottom"/>
          </w:tcPr>
          <w:p>
            <w:pPr>
              <w:ind w:left="120"/>
              <w:spacing w:after="0"/>
              <w:rPr>
                <w:sz w:val="20"/>
                <w:szCs w:val="20"/>
                <w:color w:val="auto"/>
              </w:rPr>
            </w:pPr>
            <w:r>
              <w:rPr>
                <w:rFonts w:ascii="Arial" w:cs="Arial" w:eastAsia="Arial" w:hAnsi="Arial"/>
                <w:sz w:val="11"/>
                <w:szCs w:val="11"/>
                <w:color w:val="auto"/>
              </w:rPr>
              <w:t>Multi-family</w:t>
            </w: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157,257</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1,991</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49.8 %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tcPr>
          <w:p>
            <w:pPr>
              <w:ind w:left="1020"/>
              <w:spacing w:after="0"/>
              <w:rPr>
                <w:sz w:val="20"/>
                <w:szCs w:val="20"/>
                <w:color w:val="auto"/>
              </w:rPr>
            </w:pPr>
            <w:r>
              <w:rPr>
                <w:rFonts w:ascii="Arial" w:cs="Arial" w:eastAsia="Arial" w:hAnsi="Arial"/>
                <w:sz w:val="11"/>
                <w:szCs w:val="11"/>
                <w:color w:val="auto"/>
              </w:rPr>
              <w:t>Not Applicable</w:t>
            </w:r>
          </w:p>
        </w:tc>
        <w:tc>
          <w:tcPr>
            <w:tcW w:w="1380" w:type="dxa"/>
            <w:vAlign w:val="bottom"/>
          </w:tcPr>
          <w:p>
            <w:pPr>
              <w:jc w:val="right"/>
              <w:spacing w:after="0"/>
              <w:rPr>
                <w:sz w:val="20"/>
                <w:szCs w:val="20"/>
                <w:color w:val="auto"/>
              </w:rPr>
            </w:pPr>
            <w:r>
              <w:rPr>
                <w:rFonts w:ascii="Arial" w:cs="Arial" w:eastAsia="Arial" w:hAnsi="Arial"/>
                <w:sz w:val="11"/>
                <w:szCs w:val="11"/>
                <w:color w:val="auto"/>
              </w:rPr>
              <w:t>8.2 %</w:t>
            </w:r>
          </w:p>
        </w:tc>
        <w:tc>
          <w:tcPr>
            <w:tcW w:w="0" w:type="dxa"/>
            <w:vAlign w:val="bottom"/>
          </w:tcPr>
          <w:p>
            <w:pPr>
              <w:spacing w:after="0"/>
              <w:rPr>
                <w:sz w:val="1"/>
                <w:szCs w:val="1"/>
                <w:color w:val="auto"/>
              </w:rPr>
            </w:pPr>
          </w:p>
        </w:tc>
      </w:tr>
      <w:tr>
        <w:trPr>
          <w:trHeight w:val="71"/>
        </w:trPr>
        <w:tc>
          <w:tcPr>
            <w:tcW w:w="2940" w:type="dxa"/>
            <w:vAlign w:val="bottom"/>
            <w:tcBorders>
              <w:bottom w:val="single" w:sz="8" w:color="CCEEFF"/>
            </w:tcBorders>
          </w:tcPr>
          <w:p>
            <w:pPr>
              <w:spacing w:after="0"/>
              <w:rPr>
                <w:sz w:val="5"/>
                <w:szCs w:val="5"/>
                <w:color w:val="auto"/>
              </w:rPr>
            </w:pPr>
          </w:p>
        </w:tc>
        <w:tc>
          <w:tcPr>
            <w:tcW w:w="280" w:type="dxa"/>
            <w:vAlign w:val="bottom"/>
            <w:tcBorders>
              <w:top w:val="single" w:sz="8" w:color="auto"/>
              <w:bottom w:val="single" w:sz="8" w:color="auto"/>
            </w:tcBorders>
          </w:tcPr>
          <w:p>
            <w:pPr>
              <w:spacing w:after="0"/>
              <w:rPr>
                <w:sz w:val="5"/>
                <w:szCs w:val="5"/>
                <w:color w:val="auto"/>
              </w:rPr>
            </w:pPr>
          </w:p>
        </w:tc>
        <w:tc>
          <w:tcPr>
            <w:tcW w:w="114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10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2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760" w:type="dxa"/>
            <w:vAlign w:val="bottom"/>
            <w:tcBorders>
              <w:top w:val="single" w:sz="8" w:color="auto"/>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380" w:type="dxa"/>
            <w:vAlign w:val="bottom"/>
            <w:tcBorders>
              <w:top w:val="single" w:sz="8" w:color="auto"/>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940" w:type="dxa"/>
            <w:vAlign w:val="bottom"/>
            <w:tcBorders>
              <w:top w:val="single" w:sz="8" w:color="CCEEFF"/>
            </w:tcBorders>
          </w:tcPr>
          <w:p>
            <w:pPr>
              <w:ind w:left="120"/>
              <w:spacing w:after="0"/>
              <w:rPr>
                <w:sz w:val="20"/>
                <w:szCs w:val="20"/>
                <w:color w:val="auto"/>
              </w:rPr>
            </w:pPr>
            <w:r>
              <w:rPr>
                <w:rFonts w:ascii="Arial" w:cs="Arial" w:eastAsia="Arial" w:hAnsi="Arial"/>
                <w:sz w:val="11"/>
                <w:szCs w:val="11"/>
                <w:color w:val="auto"/>
              </w:rPr>
              <w:t>Retail</w:t>
            </w:r>
          </w:p>
        </w:tc>
        <w:tc>
          <w:tcPr>
            <w:tcW w:w="280" w:type="dxa"/>
            <w:vAlign w:val="bottom"/>
            <w:tcBorders>
              <w:top w:val="single" w:sz="8" w:color="CCEEFF"/>
            </w:tcBorders>
          </w:tcPr>
          <w:p>
            <w:pPr>
              <w:jc w:val="right"/>
              <w:ind w:right="14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CCEEFF"/>
            </w:tcBorders>
          </w:tcPr>
          <w:p>
            <w:pPr>
              <w:jc w:val="right"/>
              <w:ind w:right="3"/>
              <w:spacing w:after="0"/>
              <w:rPr>
                <w:sz w:val="20"/>
                <w:szCs w:val="20"/>
                <w:color w:val="auto"/>
              </w:rPr>
            </w:pPr>
            <w:r>
              <w:rPr>
                <w:rFonts w:ascii="Arial" w:cs="Arial" w:eastAsia="Arial" w:hAnsi="Arial"/>
                <w:sz w:val="11"/>
                <w:szCs w:val="11"/>
                <w:color w:val="auto"/>
              </w:rPr>
              <w:t>103,508</w:t>
            </w: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1"/>
                <w:szCs w:val="11"/>
                <w:color w:val="auto"/>
              </w:rPr>
              <w:t>$</w:t>
            </w:r>
          </w:p>
        </w:tc>
        <w:tc>
          <w:tcPr>
            <w:tcW w:w="1100" w:type="dxa"/>
            <w:vAlign w:val="bottom"/>
            <w:tcBorders>
              <w:top w:val="single" w:sz="8" w:color="CCEEFF"/>
            </w:tcBorders>
          </w:tcPr>
          <w:p>
            <w:pPr>
              <w:jc w:val="right"/>
              <w:ind w:right="3"/>
              <w:spacing w:after="0"/>
              <w:rPr>
                <w:sz w:val="20"/>
                <w:szCs w:val="20"/>
                <w:color w:val="auto"/>
              </w:rPr>
            </w:pPr>
            <w:r>
              <w:rPr>
                <w:rFonts w:ascii="Arial" w:cs="Arial" w:eastAsia="Arial" w:hAnsi="Arial"/>
                <w:sz w:val="11"/>
                <w:szCs w:val="11"/>
                <w:color w:val="auto"/>
              </w:rPr>
              <w:t>1,568</w:t>
            </w:r>
          </w:p>
        </w:tc>
        <w:tc>
          <w:tcPr>
            <w:tcW w:w="100" w:type="dxa"/>
            <w:vAlign w:val="bottom"/>
            <w:tcBorders>
              <w:top w:val="single" w:sz="8" w:color="CCEEFF"/>
            </w:tcBorders>
          </w:tcPr>
          <w:p>
            <w:pPr>
              <w:spacing w:after="0"/>
              <w:rPr>
                <w:sz w:val="13"/>
                <w:szCs w:val="13"/>
                <w:color w:val="auto"/>
              </w:rPr>
            </w:pPr>
          </w:p>
        </w:tc>
        <w:tc>
          <w:tcPr>
            <w:tcW w:w="162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54.0 %</w:t>
            </w: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29.5 %</w:t>
            </w:r>
          </w:p>
        </w:tc>
        <w:tc>
          <w:tcPr>
            <w:tcW w:w="140" w:type="dxa"/>
            <w:vAlign w:val="bottom"/>
            <w:tcBorders>
              <w:top w:val="single" w:sz="8" w:color="CCEEFF"/>
            </w:tcBorders>
          </w:tcPr>
          <w:p>
            <w:pPr>
              <w:spacing w:after="0"/>
              <w:rPr>
                <w:sz w:val="13"/>
                <w:szCs w:val="13"/>
                <w:color w:val="auto"/>
              </w:rPr>
            </w:pPr>
          </w:p>
        </w:tc>
        <w:tc>
          <w:tcPr>
            <w:tcW w:w="138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5.4 %</w:t>
            </w: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Mixed use</w:t>
            </w: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75,780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1,067</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48.8 %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21.6 %</w:t>
            </w: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4.0 %</w:t>
            </w:r>
          </w:p>
        </w:tc>
        <w:tc>
          <w:tcPr>
            <w:tcW w:w="0" w:type="dxa"/>
            <w:vAlign w:val="bottom"/>
          </w:tcPr>
          <w:p>
            <w:pPr>
              <w:spacing w:after="0"/>
              <w:rPr>
                <w:sz w:val="1"/>
                <w:szCs w:val="1"/>
                <w:color w:val="auto"/>
              </w:rPr>
            </w:pPr>
          </w:p>
        </w:tc>
      </w:tr>
      <w:tr>
        <w:trPr>
          <w:trHeight w:val="156"/>
        </w:trPr>
        <w:tc>
          <w:tcPr>
            <w:tcW w:w="2940" w:type="dxa"/>
            <w:vAlign w:val="bottom"/>
          </w:tcPr>
          <w:p>
            <w:pPr>
              <w:ind w:left="120"/>
              <w:spacing w:after="0"/>
              <w:rPr>
                <w:sz w:val="20"/>
                <w:szCs w:val="20"/>
                <w:color w:val="auto"/>
              </w:rPr>
            </w:pPr>
            <w:r>
              <w:rPr>
                <w:rFonts w:ascii="Arial" w:cs="Arial" w:eastAsia="Arial" w:hAnsi="Arial"/>
                <w:sz w:val="11"/>
                <w:szCs w:val="11"/>
                <w:color w:val="auto"/>
              </w:rPr>
              <w:t>Industrial</w:t>
            </w:r>
          </w:p>
        </w:tc>
        <w:tc>
          <w:tcPr>
            <w:tcW w:w="2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63,015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1,167</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47.1 %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1"/>
                <w:szCs w:val="11"/>
                <w:color w:val="auto"/>
              </w:rPr>
              <w:t>17.9 %</w:t>
            </w: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3.3 %</w:t>
            </w: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Hotel</w:t>
            </w: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60,307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3,769</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44.8 %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17.2 %</w:t>
            </w: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56"/>
        </w:trPr>
        <w:tc>
          <w:tcPr>
            <w:tcW w:w="2940" w:type="dxa"/>
            <w:vAlign w:val="bottom"/>
          </w:tcPr>
          <w:p>
            <w:pPr>
              <w:ind w:left="120"/>
              <w:spacing w:after="0"/>
              <w:rPr>
                <w:sz w:val="20"/>
                <w:szCs w:val="20"/>
                <w:color w:val="auto"/>
              </w:rPr>
            </w:pPr>
            <w:r>
              <w:rPr>
                <w:rFonts w:ascii="Arial" w:cs="Arial" w:eastAsia="Arial" w:hAnsi="Arial"/>
                <w:sz w:val="11"/>
                <w:szCs w:val="11"/>
                <w:color w:val="auto"/>
              </w:rPr>
              <w:t>Office</w:t>
            </w:r>
          </w:p>
        </w:tc>
        <w:tc>
          <w:tcPr>
            <w:tcW w:w="2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13,416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516</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54.2 %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1"/>
                <w:szCs w:val="11"/>
                <w:color w:val="auto"/>
              </w:rPr>
              <w:t>3.8 %</w:t>
            </w: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0.7 %</w:t>
            </w: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w:t>
            </w:r>
            <w:r>
              <w:rPr>
                <w:rFonts w:ascii="Arial" w:cs="Arial" w:eastAsia="Arial" w:hAnsi="Arial"/>
                <w:sz w:val="14"/>
                <w:szCs w:val="14"/>
                <w:color w:val="auto"/>
                <w:vertAlign w:val="superscript"/>
              </w:rPr>
              <w:t>(2)</w:t>
            </w:r>
          </w:p>
        </w:tc>
        <w:tc>
          <w:tcPr>
            <w:tcW w:w="2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35,090</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1,595</w:t>
            </w:r>
          </w:p>
        </w:tc>
        <w:tc>
          <w:tcPr>
            <w:tcW w:w="100" w:type="dxa"/>
            <w:vAlign w:val="bottom"/>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49.3 %</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14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01"/>
        </w:trPr>
        <w:tc>
          <w:tcPr>
            <w:tcW w:w="2940" w:type="dxa"/>
            <w:vAlign w:val="bottom"/>
          </w:tcPr>
          <w:p>
            <w:pPr>
              <w:ind w:left="180"/>
              <w:spacing w:after="0" w:line="101" w:lineRule="exact"/>
              <w:rPr>
                <w:sz w:val="20"/>
                <w:szCs w:val="20"/>
                <w:color w:val="auto"/>
              </w:rPr>
            </w:pPr>
            <w:r>
              <w:rPr>
                <w:rFonts w:ascii="Arial" w:cs="Arial" w:eastAsia="Arial" w:hAnsi="Arial"/>
                <w:sz w:val="11"/>
                <w:szCs w:val="11"/>
                <w:color w:val="auto"/>
              </w:rPr>
              <w:t>Total non-owner-occupied commercial real estate</w:t>
            </w:r>
          </w:p>
        </w:tc>
        <w:tc>
          <w:tcPr>
            <w:tcW w:w="280" w:type="dxa"/>
            <w:vAlign w:val="bottom"/>
            <w:vMerge w:val="restart"/>
          </w:tcPr>
          <w:p>
            <w:pPr>
              <w:jc w:val="right"/>
              <w:ind w:right="143"/>
              <w:spacing w:after="0"/>
              <w:rPr>
                <w:sz w:val="20"/>
                <w:szCs w:val="20"/>
                <w:color w:val="auto"/>
              </w:rPr>
            </w:pPr>
            <w:r>
              <w:rPr>
                <w:rFonts w:ascii="Arial" w:cs="Arial" w:eastAsia="Arial" w:hAnsi="Arial"/>
                <w:sz w:val="11"/>
                <w:szCs w:val="11"/>
                <w:color w:val="auto"/>
                <w:w w:val="97"/>
              </w:rPr>
              <w:t>$</w:t>
            </w:r>
          </w:p>
        </w:tc>
        <w:tc>
          <w:tcPr>
            <w:tcW w:w="1140" w:type="dxa"/>
            <w:vAlign w:val="bottom"/>
            <w:vMerge w:val="restart"/>
          </w:tcPr>
          <w:p>
            <w:pPr>
              <w:jc w:val="right"/>
              <w:ind w:right="3"/>
              <w:spacing w:after="0"/>
              <w:rPr>
                <w:sz w:val="20"/>
                <w:szCs w:val="20"/>
                <w:color w:val="auto"/>
              </w:rPr>
            </w:pPr>
            <w:r>
              <w:rPr>
                <w:rFonts w:ascii="Arial" w:cs="Arial" w:eastAsia="Arial" w:hAnsi="Arial"/>
                <w:sz w:val="11"/>
                <w:szCs w:val="11"/>
                <w:color w:val="auto"/>
              </w:rPr>
              <w:t>351,116</w:t>
            </w:r>
          </w:p>
        </w:tc>
        <w:tc>
          <w:tcPr>
            <w:tcW w:w="18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1100" w:type="dxa"/>
            <w:vAlign w:val="bottom"/>
            <w:vMerge w:val="restart"/>
          </w:tcPr>
          <w:p>
            <w:pPr>
              <w:jc w:val="right"/>
              <w:ind w:right="3"/>
              <w:spacing w:after="0"/>
              <w:rPr>
                <w:sz w:val="20"/>
                <w:szCs w:val="20"/>
                <w:color w:val="auto"/>
              </w:rPr>
            </w:pPr>
            <w:r>
              <w:rPr>
                <w:rFonts w:ascii="Arial" w:cs="Arial" w:eastAsia="Arial" w:hAnsi="Arial"/>
                <w:sz w:val="11"/>
                <w:szCs w:val="11"/>
                <w:color w:val="auto"/>
              </w:rPr>
              <w:t>1.377</w:t>
            </w:r>
          </w:p>
        </w:tc>
        <w:tc>
          <w:tcPr>
            <w:tcW w:w="100" w:type="dxa"/>
            <w:vAlign w:val="bottom"/>
          </w:tcPr>
          <w:p>
            <w:pPr>
              <w:spacing w:after="0"/>
              <w:rPr>
                <w:sz w:val="8"/>
                <w:szCs w:val="8"/>
                <w:color w:val="auto"/>
              </w:rPr>
            </w:pPr>
          </w:p>
        </w:tc>
        <w:tc>
          <w:tcPr>
            <w:tcW w:w="1620" w:type="dxa"/>
            <w:vAlign w:val="bottom"/>
            <w:vMerge w:val="restart"/>
          </w:tcPr>
          <w:p>
            <w:pPr>
              <w:jc w:val="right"/>
              <w:spacing w:after="0"/>
              <w:rPr>
                <w:sz w:val="20"/>
                <w:szCs w:val="20"/>
                <w:color w:val="auto"/>
              </w:rPr>
            </w:pPr>
            <w:r>
              <w:rPr>
                <w:rFonts w:ascii="Arial" w:cs="Arial" w:eastAsia="Arial" w:hAnsi="Arial"/>
                <w:sz w:val="11"/>
                <w:szCs w:val="11"/>
                <w:color w:val="auto"/>
              </w:rPr>
              <w:t>49.6 %</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vMerge w:val="restart"/>
          </w:tcPr>
          <w:p>
            <w:pPr>
              <w:jc w:val="right"/>
              <w:spacing w:after="0"/>
              <w:rPr>
                <w:sz w:val="20"/>
                <w:szCs w:val="20"/>
                <w:color w:val="auto"/>
              </w:rPr>
            </w:pPr>
            <w:r>
              <w:rPr>
                <w:rFonts w:ascii="Arial" w:cs="Arial" w:eastAsia="Arial" w:hAnsi="Arial"/>
                <w:sz w:val="11"/>
                <w:szCs w:val="11"/>
                <w:color w:val="auto"/>
              </w:rPr>
              <w:t>100.0 %</w:t>
            </w:r>
          </w:p>
        </w:tc>
        <w:tc>
          <w:tcPr>
            <w:tcW w:w="140" w:type="dxa"/>
            <w:vAlign w:val="bottom"/>
          </w:tcPr>
          <w:p>
            <w:pPr>
              <w:spacing w:after="0"/>
              <w:rPr>
                <w:sz w:val="8"/>
                <w:szCs w:val="8"/>
                <w:color w:val="auto"/>
              </w:rPr>
            </w:pPr>
          </w:p>
        </w:tc>
        <w:tc>
          <w:tcPr>
            <w:tcW w:w="1380" w:type="dxa"/>
            <w:vAlign w:val="bottom"/>
            <w:vMerge w:val="restart"/>
          </w:tcPr>
          <w:p>
            <w:pPr>
              <w:jc w:val="right"/>
              <w:spacing w:after="0"/>
              <w:rPr>
                <w:sz w:val="20"/>
                <w:szCs w:val="20"/>
                <w:color w:val="auto"/>
              </w:rPr>
            </w:pPr>
            <w:r>
              <w:rPr>
                <w:rFonts w:ascii="Arial" w:cs="Arial" w:eastAsia="Arial" w:hAnsi="Arial"/>
                <w:sz w:val="11"/>
                <w:szCs w:val="11"/>
                <w:color w:val="auto"/>
              </w:rPr>
              <w:t>18.4 %</w:t>
            </w:r>
          </w:p>
        </w:tc>
        <w:tc>
          <w:tcPr>
            <w:tcW w:w="0" w:type="dxa"/>
            <w:vAlign w:val="bottom"/>
          </w:tcPr>
          <w:p>
            <w:pPr>
              <w:spacing w:after="0"/>
              <w:rPr>
                <w:sz w:val="1"/>
                <w:szCs w:val="1"/>
                <w:color w:val="auto"/>
              </w:rPr>
            </w:pPr>
          </w:p>
        </w:tc>
      </w:tr>
      <w:tr>
        <w:trPr>
          <w:trHeight w:val="123"/>
        </w:trPr>
        <w:tc>
          <w:tcPr>
            <w:tcW w:w="2940" w:type="dxa"/>
            <w:vAlign w:val="bottom"/>
          </w:tcPr>
          <w:p>
            <w:pPr>
              <w:ind w:left="180"/>
              <w:spacing w:after="0" w:line="123" w:lineRule="exact"/>
              <w:rPr>
                <w:sz w:val="20"/>
                <w:szCs w:val="20"/>
                <w:color w:val="auto"/>
              </w:rPr>
            </w:pPr>
            <w:r>
              <w:rPr>
                <w:rFonts w:ascii="Arial" w:cs="Arial" w:eastAsia="Arial" w:hAnsi="Arial"/>
                <w:sz w:val="11"/>
                <w:szCs w:val="11"/>
                <w:color w:val="auto"/>
              </w:rPr>
              <w:t>loans</w:t>
            </w:r>
          </w:p>
        </w:tc>
        <w:tc>
          <w:tcPr>
            <w:tcW w:w="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Total portfolio loans, gross</w:t>
            </w: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1,910,270</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Scheduled maturities of fixed rate non owner-occupied commercial real estate loans, including multi-family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ind w:left="300"/>
              <w:spacing w:after="0"/>
              <w:rPr>
                <w:sz w:val="20"/>
                <w:szCs w:val="20"/>
                <w:color w:val="auto"/>
              </w:rPr>
            </w:pPr>
            <w:r>
              <w:rPr>
                <w:rFonts w:ascii="Arial" w:cs="Arial" w:eastAsia="Arial" w:hAnsi="Arial"/>
                <w:sz w:val="11"/>
                <w:szCs w:val="11"/>
                <w:b w:val="1"/>
                <w:bCs w:val="1"/>
                <w:color w:val="auto"/>
              </w:rPr>
              <w:t>As of December 31, 2023</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8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280" w:type="dxa"/>
            <w:vAlign w:val="bottom"/>
          </w:tcPr>
          <w:p>
            <w:pPr>
              <w:spacing w:after="0"/>
              <w:rPr>
                <w:sz w:val="13"/>
                <w:szCs w:val="13"/>
                <w:color w:val="auto"/>
              </w:rPr>
            </w:pPr>
          </w:p>
        </w:tc>
        <w:tc>
          <w:tcPr>
            <w:tcW w:w="900" w:type="dxa"/>
            <w:vAlign w:val="bottom"/>
          </w:tcPr>
          <w:p>
            <w:pPr>
              <w:jc w:val="right"/>
              <w:ind w:right="403"/>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40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403"/>
              <w:spacing w:after="0"/>
              <w:rPr>
                <w:sz w:val="20"/>
                <w:szCs w:val="20"/>
                <w:color w:val="auto"/>
              </w:rPr>
            </w:pPr>
            <w:r>
              <w:rPr>
                <w:rFonts w:ascii="Arial" w:cs="Arial" w:eastAsia="Arial" w:hAnsi="Arial"/>
                <w:sz w:val="11"/>
                <w:szCs w:val="11"/>
                <w:b w:val="1"/>
                <w:bCs w:val="1"/>
                <w:color w:val="auto"/>
              </w:rPr>
              <w:t>2026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83"/>
              <w:spacing w:after="0"/>
              <w:rPr>
                <w:sz w:val="20"/>
                <w:szCs w:val="20"/>
                <w:color w:val="auto"/>
              </w:rPr>
            </w:pPr>
            <w:r>
              <w:rPr>
                <w:rFonts w:ascii="Arial" w:cs="Arial" w:eastAsia="Arial" w:hAnsi="Arial"/>
                <w:sz w:val="11"/>
                <w:szCs w:val="11"/>
                <w:b w:val="1"/>
                <w:bCs w:val="1"/>
                <w:color w:val="auto"/>
              </w:rPr>
              <w:t>2027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spacing w:after="0"/>
              <w:rPr>
                <w:sz w:val="20"/>
                <w:szCs w:val="20"/>
                <w:color w:val="auto"/>
              </w:rPr>
            </w:pPr>
            <w:r>
              <w:rPr>
                <w:rFonts w:ascii="Arial" w:cs="Arial" w:eastAsia="Arial" w:hAnsi="Arial"/>
                <w:sz w:val="11"/>
                <w:szCs w:val="11"/>
                <w:b w:val="1"/>
                <w:bCs w:val="1"/>
                <w:color w:val="auto"/>
              </w:rPr>
              <w:t>2028 and Onwards</w:t>
            </w:r>
          </w:p>
        </w:tc>
        <w:tc>
          <w:tcPr>
            <w:tcW w:w="260" w:type="dxa"/>
            <w:vAlign w:val="bottom"/>
          </w:tcPr>
          <w:p>
            <w:pPr>
              <w:spacing w:after="0"/>
              <w:rPr>
                <w:sz w:val="13"/>
                <w:szCs w:val="13"/>
                <w:color w:val="auto"/>
              </w:rPr>
            </w:pPr>
          </w:p>
        </w:tc>
        <w:tc>
          <w:tcPr>
            <w:tcW w:w="900" w:type="dxa"/>
            <w:vAlign w:val="bottom"/>
          </w:tcPr>
          <w:p>
            <w:pPr>
              <w:jc w:val="right"/>
              <w:ind w:right="38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9"/>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Loan type:</w:t>
            </w:r>
          </w:p>
        </w:tc>
        <w:tc>
          <w:tcPr>
            <w:tcW w:w="2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80" w:type="dxa"/>
            <w:vAlign w:val="bottom"/>
          </w:tcPr>
          <w:p>
            <w:pPr>
              <w:ind w:left="120"/>
              <w:spacing w:after="0"/>
              <w:rPr>
                <w:sz w:val="20"/>
                <w:szCs w:val="20"/>
                <w:color w:val="auto"/>
              </w:rPr>
            </w:pPr>
            <w:r>
              <w:rPr>
                <w:rFonts w:ascii="Arial" w:cs="Arial" w:eastAsia="Arial" w:hAnsi="Arial"/>
                <w:sz w:val="11"/>
                <w:szCs w:val="11"/>
                <w:color w:val="auto"/>
              </w:rPr>
              <w:t>Multi-family</w:t>
            </w: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7,690</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8,687</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17,908</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23,265</w:t>
            </w:r>
          </w:p>
        </w:tc>
        <w:tc>
          <w:tcPr>
            <w:tcW w:w="1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39,296</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96,846</w:t>
            </w:r>
          </w:p>
        </w:tc>
        <w:tc>
          <w:tcPr>
            <w:tcW w:w="0" w:type="dxa"/>
            <w:vAlign w:val="bottom"/>
          </w:tcPr>
          <w:p>
            <w:pPr>
              <w:spacing w:after="0"/>
              <w:rPr>
                <w:sz w:val="1"/>
                <w:szCs w:val="1"/>
                <w:color w:val="auto"/>
              </w:rPr>
            </w:pPr>
          </w:p>
        </w:tc>
      </w:tr>
      <w:tr>
        <w:trPr>
          <w:trHeight w:val="71"/>
        </w:trPr>
        <w:tc>
          <w:tcPr>
            <w:tcW w:w="32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280" w:type="dxa"/>
            <w:vAlign w:val="bottom"/>
            <w:tcBorders>
              <w:top w:val="single" w:sz="8" w:color="CCEEFF"/>
            </w:tcBorders>
          </w:tcPr>
          <w:p>
            <w:pPr>
              <w:ind w:left="120"/>
              <w:spacing w:after="0"/>
              <w:rPr>
                <w:sz w:val="20"/>
                <w:szCs w:val="20"/>
                <w:color w:val="auto"/>
              </w:rPr>
            </w:pPr>
            <w:r>
              <w:rPr>
                <w:rFonts w:ascii="Arial" w:cs="Arial" w:eastAsia="Arial" w:hAnsi="Arial"/>
                <w:sz w:val="11"/>
                <w:szCs w:val="11"/>
                <w:color w:val="auto"/>
              </w:rPr>
              <w:t>Retail</w:t>
            </w:r>
          </w:p>
        </w:tc>
        <w:tc>
          <w:tcPr>
            <w:tcW w:w="280" w:type="dxa"/>
            <w:vAlign w:val="bottom"/>
            <w:tcBorders>
              <w:top w:val="single" w:sz="8" w:color="CCEEFF"/>
            </w:tcBorders>
          </w:tcPr>
          <w:p>
            <w:pPr>
              <w:jc w:val="right"/>
              <w:ind w:right="14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CCEEFF"/>
            </w:tcBorders>
          </w:tcPr>
          <w:p>
            <w:pPr>
              <w:jc w:val="right"/>
              <w:ind w:right="3"/>
              <w:spacing w:after="0"/>
              <w:rPr>
                <w:sz w:val="20"/>
                <w:szCs w:val="20"/>
                <w:color w:val="auto"/>
              </w:rPr>
            </w:pPr>
            <w:r>
              <w:rPr>
                <w:rFonts w:ascii="Arial" w:cs="Arial" w:eastAsia="Arial" w:hAnsi="Arial"/>
                <w:sz w:val="11"/>
                <w:szCs w:val="11"/>
                <w:color w:val="auto"/>
              </w:rPr>
              <w:t>18,156</w:t>
            </w:r>
          </w:p>
        </w:tc>
        <w:tc>
          <w:tcPr>
            <w:tcW w:w="10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856</w:t>
            </w:r>
          </w:p>
        </w:tc>
        <w:tc>
          <w:tcPr>
            <w:tcW w:w="10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jc w:val="right"/>
              <w:ind w:right="14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CCEEFF"/>
            </w:tcBorders>
          </w:tcPr>
          <w:p>
            <w:pPr>
              <w:jc w:val="right"/>
              <w:ind w:right="3"/>
              <w:spacing w:after="0"/>
              <w:rPr>
                <w:sz w:val="20"/>
                <w:szCs w:val="20"/>
                <w:color w:val="auto"/>
              </w:rPr>
            </w:pPr>
            <w:r>
              <w:rPr>
                <w:rFonts w:ascii="Arial" w:cs="Arial" w:eastAsia="Arial" w:hAnsi="Arial"/>
                <w:sz w:val="11"/>
                <w:szCs w:val="11"/>
                <w:color w:val="auto"/>
              </w:rPr>
              <w:t>11,432</w:t>
            </w:r>
          </w:p>
        </w:tc>
        <w:tc>
          <w:tcPr>
            <w:tcW w:w="10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jc w:val="right"/>
              <w:ind w:right="14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14,806</w:t>
            </w: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11,439</w:t>
            </w:r>
          </w:p>
        </w:tc>
        <w:tc>
          <w:tcPr>
            <w:tcW w:w="10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56,689</w:t>
            </w: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Mixed use</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3,857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22,601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9,346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13,455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61,013</w:t>
            </w:r>
          </w:p>
        </w:tc>
        <w:tc>
          <w:tcPr>
            <w:tcW w:w="0" w:type="dxa"/>
            <w:vAlign w:val="bottom"/>
          </w:tcPr>
          <w:p>
            <w:pPr>
              <w:spacing w:after="0"/>
              <w:rPr>
                <w:sz w:val="1"/>
                <w:szCs w:val="1"/>
                <w:color w:val="auto"/>
              </w:rPr>
            </w:pPr>
          </w:p>
        </w:tc>
      </w:tr>
      <w:tr>
        <w:trPr>
          <w:trHeight w:val="156"/>
        </w:trPr>
        <w:tc>
          <w:tcPr>
            <w:tcW w:w="3280" w:type="dxa"/>
            <w:vAlign w:val="bottom"/>
          </w:tcPr>
          <w:p>
            <w:pPr>
              <w:ind w:left="120"/>
              <w:spacing w:after="0"/>
              <w:rPr>
                <w:sz w:val="20"/>
                <w:szCs w:val="20"/>
                <w:color w:val="auto"/>
              </w:rPr>
            </w:pPr>
            <w:r>
              <w:rPr>
                <w:rFonts w:ascii="Arial" w:cs="Arial" w:eastAsia="Arial" w:hAnsi="Arial"/>
                <w:sz w:val="11"/>
                <w:szCs w:val="11"/>
                <w:color w:val="auto"/>
              </w:rPr>
              <w:t>Industrial</w:t>
            </w:r>
          </w:p>
        </w:tc>
        <w:tc>
          <w:tcPr>
            <w:tcW w:w="2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2,557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8,333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7,674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9,702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12,377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40,643</w:t>
            </w: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Hotel</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3,607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21,141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27,999</w:t>
            </w:r>
          </w:p>
        </w:tc>
        <w:tc>
          <w:tcPr>
            <w:tcW w:w="0" w:type="dxa"/>
            <w:vAlign w:val="bottom"/>
          </w:tcPr>
          <w:p>
            <w:pPr>
              <w:spacing w:after="0"/>
              <w:rPr>
                <w:sz w:val="1"/>
                <w:szCs w:val="1"/>
                <w:color w:val="auto"/>
              </w:rPr>
            </w:pPr>
          </w:p>
        </w:tc>
      </w:tr>
      <w:tr>
        <w:trPr>
          <w:trHeight w:val="156"/>
        </w:trPr>
        <w:tc>
          <w:tcPr>
            <w:tcW w:w="3280" w:type="dxa"/>
            <w:vAlign w:val="bottom"/>
          </w:tcPr>
          <w:p>
            <w:pPr>
              <w:ind w:left="120"/>
              <w:spacing w:after="0"/>
              <w:rPr>
                <w:sz w:val="20"/>
                <w:szCs w:val="20"/>
                <w:color w:val="auto"/>
              </w:rPr>
            </w:pPr>
            <w:r>
              <w:rPr>
                <w:rFonts w:ascii="Arial" w:cs="Arial" w:eastAsia="Arial" w:hAnsi="Arial"/>
                <w:sz w:val="11"/>
                <w:szCs w:val="11"/>
                <w:color w:val="auto"/>
              </w:rPr>
              <w:t>Office</w:t>
            </w:r>
          </w:p>
        </w:tc>
        <w:tc>
          <w:tcPr>
            <w:tcW w:w="2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1,260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1,998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583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3,061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2,937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9,839</w:t>
            </w: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10,185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4,967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8,513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26,145</w:t>
            </w:r>
          </w:p>
        </w:tc>
        <w:tc>
          <w:tcPr>
            <w:tcW w:w="0" w:type="dxa"/>
            <w:vAlign w:val="bottom"/>
          </w:tcPr>
          <w:p>
            <w:pPr>
              <w:spacing w:after="0"/>
              <w:rPr>
                <w:sz w:val="1"/>
                <w:szCs w:val="1"/>
                <w:color w:val="auto"/>
              </w:rPr>
            </w:pPr>
          </w:p>
        </w:tc>
      </w:tr>
      <w:tr>
        <w:trPr>
          <w:trHeight w:val="97"/>
        </w:trPr>
        <w:tc>
          <w:tcPr>
            <w:tcW w:w="3280" w:type="dxa"/>
            <w:vAlign w:val="bottom"/>
          </w:tcPr>
          <w:p>
            <w:pPr>
              <w:ind w:left="180"/>
              <w:spacing w:after="0" w:line="97" w:lineRule="exact"/>
              <w:rPr>
                <w:sz w:val="20"/>
                <w:szCs w:val="20"/>
                <w:color w:val="auto"/>
              </w:rPr>
            </w:pPr>
            <w:r>
              <w:rPr>
                <w:rFonts w:ascii="Arial" w:cs="Arial" w:eastAsia="Arial" w:hAnsi="Arial"/>
                <w:sz w:val="11"/>
                <w:szCs w:val="11"/>
                <w:color w:val="auto"/>
              </w:rPr>
              <w:t>Total fixed rate non owner-occupied commercial real estate</w:t>
            </w:r>
          </w:p>
        </w:tc>
        <w:tc>
          <w:tcPr>
            <w:tcW w:w="280" w:type="dxa"/>
            <w:vAlign w:val="bottom"/>
            <w:tcBorders>
              <w:top w:val="single" w:sz="8" w:color="auto"/>
            </w:tcBorders>
            <w:vMerge w:val="restart"/>
          </w:tcPr>
          <w:p>
            <w:pPr>
              <w:jc w:val="right"/>
              <w:ind w:right="14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1"/>
                <w:szCs w:val="11"/>
                <w:color w:val="auto"/>
              </w:rPr>
              <w:t>47,163</w:t>
            </w:r>
          </w:p>
        </w:tc>
        <w:tc>
          <w:tcPr>
            <w:tcW w:w="100" w:type="dxa"/>
            <w:vAlign w:val="bottom"/>
          </w:tcPr>
          <w:p>
            <w:pPr>
              <w:spacing w:after="0"/>
              <w:rPr>
                <w:sz w:val="8"/>
                <w:szCs w:val="8"/>
                <w:color w:val="auto"/>
              </w:rPr>
            </w:pPr>
          </w:p>
        </w:tc>
        <w:tc>
          <w:tcPr>
            <w:tcW w:w="260" w:type="dxa"/>
            <w:vAlign w:val="bottom"/>
            <w:tcBorders>
              <w:top w:val="single" w:sz="8" w:color="auto"/>
            </w:tcBorders>
            <w:vMerge w:val="restart"/>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15,044</w:t>
            </w:r>
          </w:p>
        </w:tc>
        <w:tc>
          <w:tcPr>
            <w:tcW w:w="100" w:type="dxa"/>
            <w:vAlign w:val="bottom"/>
          </w:tcPr>
          <w:p>
            <w:pPr>
              <w:spacing w:after="0"/>
              <w:rPr>
                <w:sz w:val="8"/>
                <w:szCs w:val="8"/>
                <w:color w:val="auto"/>
              </w:rPr>
            </w:pPr>
          </w:p>
        </w:tc>
        <w:tc>
          <w:tcPr>
            <w:tcW w:w="280" w:type="dxa"/>
            <w:vAlign w:val="bottom"/>
            <w:tcBorders>
              <w:top w:val="single" w:sz="8" w:color="auto"/>
            </w:tcBorders>
            <w:vMerge w:val="restart"/>
          </w:tcPr>
          <w:p>
            <w:pPr>
              <w:jc w:val="right"/>
              <w:ind w:right="14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1"/>
                <w:szCs w:val="11"/>
                <w:color w:val="auto"/>
              </w:rPr>
              <w:t>47,257</w:t>
            </w:r>
          </w:p>
        </w:tc>
        <w:tc>
          <w:tcPr>
            <w:tcW w:w="100" w:type="dxa"/>
            <w:vAlign w:val="bottom"/>
          </w:tcPr>
          <w:p>
            <w:pPr>
              <w:spacing w:after="0"/>
              <w:rPr>
                <w:sz w:val="8"/>
                <w:szCs w:val="8"/>
                <w:color w:val="auto"/>
              </w:rPr>
            </w:pPr>
          </w:p>
        </w:tc>
        <w:tc>
          <w:tcPr>
            <w:tcW w:w="280" w:type="dxa"/>
            <w:vAlign w:val="bottom"/>
            <w:tcBorders>
              <w:top w:val="single" w:sz="8" w:color="auto"/>
            </w:tcBorders>
            <w:vMerge w:val="restart"/>
          </w:tcPr>
          <w:p>
            <w:pPr>
              <w:jc w:val="right"/>
              <w:ind w:right="14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43,002</w:t>
            </w:r>
          </w:p>
        </w:tc>
        <w:tc>
          <w:tcPr>
            <w:tcW w:w="140" w:type="dxa"/>
            <w:vAlign w:val="bottom"/>
          </w:tcPr>
          <w:p>
            <w:pPr>
              <w:spacing w:after="0"/>
              <w:rPr>
                <w:sz w:val="8"/>
                <w:szCs w:val="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69,862</w:t>
            </w:r>
          </w:p>
        </w:tc>
        <w:tc>
          <w:tcPr>
            <w:tcW w:w="100" w:type="dxa"/>
            <w:vAlign w:val="bottom"/>
          </w:tcPr>
          <w:p>
            <w:pPr>
              <w:spacing w:after="0"/>
              <w:rPr>
                <w:sz w:val="8"/>
                <w:szCs w:val="8"/>
                <w:color w:val="auto"/>
              </w:rPr>
            </w:pPr>
          </w:p>
        </w:tc>
        <w:tc>
          <w:tcPr>
            <w:tcW w:w="260" w:type="dxa"/>
            <w:vAlign w:val="bottom"/>
            <w:tcBorders>
              <w:top w:val="single" w:sz="8" w:color="auto"/>
            </w:tcBorders>
            <w:vMerge w:val="restart"/>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222,328</w:t>
            </w:r>
          </w:p>
        </w:tc>
        <w:tc>
          <w:tcPr>
            <w:tcW w:w="0" w:type="dxa"/>
            <w:vAlign w:val="bottom"/>
          </w:tcPr>
          <w:p>
            <w:pPr>
              <w:spacing w:after="0"/>
              <w:rPr>
                <w:sz w:val="1"/>
                <w:szCs w:val="1"/>
                <w:color w:val="auto"/>
              </w:rPr>
            </w:pPr>
          </w:p>
        </w:tc>
      </w:tr>
      <w:tr>
        <w:trPr>
          <w:trHeight w:val="132"/>
        </w:trPr>
        <w:tc>
          <w:tcPr>
            <w:tcW w:w="3280" w:type="dxa"/>
            <w:vAlign w:val="bottom"/>
          </w:tcPr>
          <w:p>
            <w:pPr>
              <w:ind w:left="180"/>
              <w:spacing w:after="0"/>
              <w:rPr>
                <w:sz w:val="20"/>
                <w:szCs w:val="20"/>
                <w:color w:val="auto"/>
              </w:rPr>
            </w:pPr>
            <w:r>
              <w:rPr>
                <w:rFonts w:ascii="Arial" w:cs="Arial" w:eastAsia="Arial" w:hAnsi="Arial"/>
                <w:sz w:val="11"/>
                <w:szCs w:val="11"/>
                <w:color w:val="auto"/>
              </w:rPr>
              <w:t>loans</w:t>
            </w:r>
          </w:p>
        </w:tc>
        <w:tc>
          <w:tcPr>
            <w:tcW w:w="28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Owner-occupied commercial real estate loans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As of December 31, 2023</w:t>
            </w:r>
          </w:p>
        </w:tc>
        <w:tc>
          <w:tcPr>
            <w:tcW w:w="1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jc w:val="center"/>
              <w:ind w:right="140"/>
              <w:spacing w:after="0" w:line="117" w:lineRule="exact"/>
              <w:rPr>
                <w:sz w:val="20"/>
                <w:szCs w:val="20"/>
                <w:color w:val="auto"/>
              </w:rPr>
            </w:pPr>
            <w:r>
              <w:rPr>
                <w:rFonts w:ascii="Arial" w:cs="Arial" w:eastAsia="Arial" w:hAnsi="Arial"/>
                <w:sz w:val="11"/>
                <w:szCs w:val="11"/>
                <w:b w:val="1"/>
                <w:bCs w:val="1"/>
                <w:color w:val="auto"/>
              </w:rPr>
              <w:t>% of Owner-Occupied</w:t>
            </w:r>
          </w:p>
        </w:tc>
        <w:tc>
          <w:tcPr>
            <w:tcW w:w="1380" w:type="dxa"/>
            <w:vAlign w:val="bottom"/>
            <w:vMerge w:val="restart"/>
          </w:tcPr>
          <w:p>
            <w:pPr>
              <w:jc w:val="right"/>
              <w:ind w:right="123"/>
              <w:spacing w:after="0"/>
              <w:rPr>
                <w:sz w:val="20"/>
                <w:szCs w:val="20"/>
                <w:color w:val="auto"/>
              </w:rPr>
            </w:pPr>
            <w:r>
              <w:rPr>
                <w:rFonts w:ascii="Arial" w:cs="Arial" w:eastAsia="Arial" w:hAnsi="Arial"/>
                <w:sz w:val="11"/>
                <w:szCs w:val="11"/>
                <w:b w:val="1"/>
                <w:bCs w:val="1"/>
                <w:color w:val="auto"/>
              </w:rPr>
              <w:t>% of Total Portfolio</w:t>
            </w:r>
          </w:p>
        </w:tc>
        <w:tc>
          <w:tcPr>
            <w:tcW w:w="0" w:type="dxa"/>
            <w:vAlign w:val="bottom"/>
          </w:tcPr>
          <w:p>
            <w:pPr>
              <w:spacing w:after="0"/>
              <w:rPr>
                <w:sz w:val="1"/>
                <w:szCs w:val="1"/>
                <w:color w:val="auto"/>
              </w:rPr>
            </w:pPr>
          </w:p>
        </w:tc>
      </w:tr>
      <w:tr>
        <w:trPr>
          <w:trHeight w:val="117"/>
        </w:trPr>
        <w:tc>
          <w:tcPr>
            <w:tcW w:w="2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vMerge w:val="restart"/>
          </w:tcPr>
          <w:p>
            <w:pPr>
              <w:jc w:val="right"/>
              <w:ind w:right="503"/>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Average Loan Size</w:t>
            </w:r>
          </w:p>
        </w:tc>
        <w:tc>
          <w:tcPr>
            <w:tcW w:w="1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Weighted Average LTV</w:t>
            </w:r>
            <w:r>
              <w:rPr>
                <w:rFonts w:ascii="Arial" w:cs="Arial" w:eastAsia="Arial" w:hAnsi="Arial"/>
                <w:sz w:val="7"/>
                <w:szCs w:val="7"/>
                <w:b w:val="1"/>
                <w:bCs w:val="1"/>
                <w:color w:val="auto"/>
              </w:rPr>
              <w:t>(1)</w:t>
            </w:r>
          </w:p>
        </w:tc>
        <w:tc>
          <w:tcPr>
            <w:tcW w:w="1540" w:type="dxa"/>
            <w:vAlign w:val="bottom"/>
            <w:gridSpan w:val="2"/>
          </w:tcPr>
          <w:p>
            <w:pPr>
              <w:jc w:val="center"/>
              <w:ind w:right="140"/>
              <w:spacing w:after="0" w:line="117" w:lineRule="exact"/>
              <w:rPr>
                <w:sz w:val="20"/>
                <w:szCs w:val="20"/>
                <w:color w:val="auto"/>
              </w:rPr>
            </w:pPr>
            <w:r>
              <w:rPr>
                <w:rFonts w:ascii="Arial" w:cs="Arial" w:eastAsia="Arial" w:hAnsi="Arial"/>
                <w:sz w:val="11"/>
                <w:szCs w:val="11"/>
                <w:b w:val="1"/>
                <w:bCs w:val="1"/>
                <w:color w:val="auto"/>
              </w:rPr>
              <w:t>Commercial Real Estate</w:t>
            </w: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6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3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Loans</w:t>
            </w:r>
          </w:p>
        </w:tc>
        <w:tc>
          <w:tcPr>
            <w:tcW w:w="1380" w:type="dxa"/>
            <w:vAlign w:val="bottom"/>
          </w:tcPr>
          <w:p>
            <w:pPr>
              <w:jc w:val="right"/>
              <w:ind w:right="263"/>
              <w:spacing w:after="0"/>
              <w:rPr>
                <w:sz w:val="20"/>
                <w:szCs w:val="20"/>
                <w:color w:val="auto"/>
              </w:rPr>
            </w:pPr>
            <w:r>
              <w:rPr>
                <w:rFonts w:ascii="Arial" w:cs="Arial" w:eastAsia="Arial" w:hAnsi="Arial"/>
                <w:sz w:val="11"/>
                <w:szCs w:val="11"/>
                <w:b w:val="1"/>
                <w:bCs w:val="1"/>
                <w:color w:val="auto"/>
              </w:rPr>
              <w:t>Loans, Gross</w:t>
            </w:r>
          </w:p>
        </w:tc>
        <w:tc>
          <w:tcPr>
            <w:tcW w:w="0" w:type="dxa"/>
            <w:vAlign w:val="bottom"/>
          </w:tcPr>
          <w:p>
            <w:pPr>
              <w:spacing w:after="0"/>
              <w:rPr>
                <w:sz w:val="1"/>
                <w:szCs w:val="1"/>
                <w:color w:val="auto"/>
              </w:rPr>
            </w:pPr>
          </w:p>
        </w:tc>
      </w:tr>
      <w:tr>
        <w:trPr>
          <w:trHeight w:val="13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Loan type:</w:t>
            </w:r>
          </w:p>
        </w:tc>
        <w:tc>
          <w:tcPr>
            <w:tcW w:w="30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60" w:type="dxa"/>
            <w:vAlign w:val="bottom"/>
          </w:tcPr>
          <w:p>
            <w:pPr>
              <w:ind w:left="120"/>
              <w:spacing w:after="0"/>
              <w:rPr>
                <w:sz w:val="20"/>
                <w:szCs w:val="20"/>
                <w:color w:val="auto"/>
              </w:rPr>
            </w:pPr>
            <w:r>
              <w:rPr>
                <w:rFonts w:ascii="Arial" w:cs="Arial" w:eastAsia="Arial" w:hAnsi="Arial"/>
                <w:sz w:val="11"/>
                <w:szCs w:val="11"/>
                <w:color w:val="auto"/>
              </w:rPr>
              <w:t>Industrial</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79,908</w:t>
            </w: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tcPr>
          <w:p>
            <w:pPr>
              <w:jc w:val="right"/>
              <w:ind w:right="3"/>
              <w:spacing w:after="0"/>
              <w:rPr>
                <w:sz w:val="20"/>
                <w:szCs w:val="20"/>
                <w:color w:val="auto"/>
              </w:rPr>
            </w:pPr>
            <w:r>
              <w:rPr>
                <w:rFonts w:ascii="Arial" w:cs="Arial" w:eastAsia="Arial" w:hAnsi="Arial"/>
                <w:sz w:val="11"/>
                <w:szCs w:val="11"/>
                <w:color w:val="auto"/>
              </w:rPr>
              <w:t>1,332</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46.8 %</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26.0 %</w:t>
            </w: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4.2 %</w:t>
            </w: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Office</w:t>
            </w: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42,482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664</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47.7 %</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13.8 %</w:t>
            </w: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56"/>
        </w:trPr>
        <w:tc>
          <w:tcPr>
            <w:tcW w:w="2960" w:type="dxa"/>
            <w:vAlign w:val="bottom"/>
          </w:tcPr>
          <w:p>
            <w:pPr>
              <w:ind w:left="120"/>
              <w:spacing w:after="0"/>
              <w:rPr>
                <w:sz w:val="20"/>
                <w:szCs w:val="20"/>
                <w:color w:val="auto"/>
              </w:rPr>
            </w:pPr>
            <w:r>
              <w:rPr>
                <w:rFonts w:ascii="Arial" w:cs="Arial" w:eastAsia="Arial" w:hAnsi="Arial"/>
                <w:sz w:val="11"/>
                <w:szCs w:val="11"/>
                <w:color w:val="auto"/>
              </w:rPr>
              <w:t>Retail</w:t>
            </w:r>
          </w:p>
        </w:tc>
        <w:tc>
          <w:tcPr>
            <w:tcW w:w="30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42,373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right"/>
              <w:ind w:right="3"/>
              <w:spacing w:after="0"/>
              <w:rPr>
                <w:sz w:val="20"/>
                <w:szCs w:val="20"/>
                <w:color w:val="auto"/>
              </w:rPr>
            </w:pPr>
            <w:r>
              <w:rPr>
                <w:rFonts w:ascii="Arial" w:cs="Arial" w:eastAsia="Arial" w:hAnsi="Arial"/>
                <w:sz w:val="11"/>
                <w:szCs w:val="11"/>
                <w:color w:val="auto"/>
              </w:rPr>
              <w:t>799</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54.4 %</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13.8 %</w:t>
            </w: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Mixed use</w:t>
            </w: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17,872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1,117</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62.7 %</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5.8 %</w:t>
            </w: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0.9 %</w:t>
            </w:r>
          </w:p>
        </w:tc>
        <w:tc>
          <w:tcPr>
            <w:tcW w:w="0" w:type="dxa"/>
            <w:vAlign w:val="bottom"/>
          </w:tcPr>
          <w:p>
            <w:pPr>
              <w:spacing w:after="0"/>
              <w:rPr>
                <w:sz w:val="1"/>
                <w:szCs w:val="1"/>
                <w:color w:val="auto"/>
              </w:rPr>
            </w:pPr>
          </w:p>
        </w:tc>
      </w:tr>
      <w:tr>
        <w:trPr>
          <w:trHeight w:val="156"/>
        </w:trPr>
        <w:tc>
          <w:tcPr>
            <w:tcW w:w="296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Other</w:t>
            </w:r>
            <w:r>
              <w:rPr>
                <w:rFonts w:ascii="Arial" w:cs="Arial" w:eastAsia="Arial" w:hAnsi="Arial"/>
                <w:sz w:val="7"/>
                <w:szCs w:val="7"/>
                <w:color w:val="auto"/>
              </w:rPr>
              <w:t>(3)</w:t>
            </w: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125,276</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2,983</w:t>
            </w:r>
          </w:p>
        </w:tc>
        <w:tc>
          <w:tcPr>
            <w:tcW w:w="10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56.4 %</w:t>
            </w:r>
          </w:p>
        </w:tc>
        <w:tc>
          <w:tcPr>
            <w:tcW w:w="10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40.6 %</w:t>
            </w:r>
          </w:p>
        </w:tc>
        <w:tc>
          <w:tcPr>
            <w:tcW w:w="1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6.6 %</w:t>
            </w:r>
          </w:p>
        </w:tc>
        <w:tc>
          <w:tcPr>
            <w:tcW w:w="0" w:type="dxa"/>
            <w:vAlign w:val="bottom"/>
          </w:tcPr>
          <w:p>
            <w:pPr>
              <w:spacing w:after="0"/>
              <w:rPr>
                <w:sz w:val="1"/>
                <w:szCs w:val="1"/>
                <w:color w:val="auto"/>
              </w:rPr>
            </w:pPr>
          </w:p>
        </w:tc>
      </w:tr>
      <w:tr>
        <w:trPr>
          <w:trHeight w:val="173"/>
        </w:trPr>
        <w:tc>
          <w:tcPr>
            <w:tcW w:w="29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owner-occupied commercial real estate loans</w:t>
            </w: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307,911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1,310</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52.8 %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100.0 %</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16.1 %</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960" w:type="dxa"/>
            <w:vAlign w:val="bottom"/>
          </w:tcPr>
          <w:p>
            <w:pPr>
              <w:ind w:left="180"/>
              <w:spacing w:after="0" w:line="122" w:lineRule="exact"/>
              <w:rPr>
                <w:sz w:val="20"/>
                <w:szCs w:val="20"/>
                <w:color w:val="auto"/>
              </w:rPr>
            </w:pPr>
            <w:r>
              <w:rPr>
                <w:rFonts w:ascii="Arial" w:cs="Arial" w:eastAsia="Arial" w:hAnsi="Arial"/>
                <w:sz w:val="11"/>
                <w:szCs w:val="11"/>
                <w:color w:val="auto"/>
              </w:rPr>
              <w:t>Total portfolio loans, gross</w:t>
            </w:r>
          </w:p>
        </w:tc>
        <w:tc>
          <w:tcPr>
            <w:tcW w:w="300" w:type="dxa"/>
            <w:vAlign w:val="bottom"/>
            <w:tcBorders>
              <w:bottom w:val="single" w:sz="8" w:color="auto"/>
            </w:tcBorders>
          </w:tcPr>
          <w:p>
            <w:pPr>
              <w:jc w:val="right"/>
              <w:ind w:right="163"/>
              <w:spacing w:after="0" w:line="122" w:lineRule="exact"/>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ind w:right="3"/>
              <w:spacing w:after="0" w:line="122" w:lineRule="exact"/>
              <w:rPr>
                <w:sz w:val="20"/>
                <w:szCs w:val="20"/>
                <w:color w:val="auto"/>
              </w:rPr>
            </w:pPr>
            <w:r>
              <w:rPr>
                <w:rFonts w:ascii="Arial" w:cs="Arial" w:eastAsia="Arial" w:hAnsi="Arial"/>
                <w:sz w:val="11"/>
                <w:szCs w:val="11"/>
                <w:color w:val="auto"/>
              </w:rPr>
              <w:t>1,910,270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40"/>
          </w:cols>
          <w:pgMar w:left="300" w:top="1313" w:right="75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color w:val="auto"/>
        </w:rPr>
        <w:t>Scheduled maturities of fixed rate owner-occupied commercial real estate loans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rPr>
              <w:t>As of December 31, 2023</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(in thousands)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2025</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2027</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2028 and Onwards</w:t>
            </w:r>
          </w:p>
        </w:tc>
        <w:tc>
          <w:tcPr>
            <w:tcW w:w="0" w:type="dxa"/>
            <w:vAlign w:val="bottom"/>
          </w:tcPr>
          <w:p>
            <w:pPr>
              <w:spacing w:after="0"/>
              <w:rPr>
                <w:sz w:val="1"/>
                <w:szCs w:val="1"/>
                <w:color w:val="auto"/>
              </w:rPr>
            </w:pPr>
          </w:p>
        </w:tc>
      </w:tr>
      <w:tr>
        <w:trPr>
          <w:trHeight w:val="139"/>
        </w:trPr>
        <w:tc>
          <w:tcPr>
            <w:tcW w:w="3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Loan type:</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60" w:type="dxa"/>
            <w:vAlign w:val="bottom"/>
          </w:tcPr>
          <w:p>
            <w:pPr>
              <w:ind w:left="120"/>
              <w:spacing w:after="0"/>
              <w:rPr>
                <w:sz w:val="20"/>
                <w:szCs w:val="20"/>
                <w:color w:val="auto"/>
              </w:rPr>
            </w:pPr>
            <w:r>
              <w:rPr>
                <w:rFonts w:ascii="Arial" w:cs="Arial" w:eastAsia="Arial" w:hAnsi="Arial"/>
                <w:sz w:val="11"/>
                <w:szCs w:val="11"/>
                <w:color w:val="auto"/>
              </w:rPr>
              <w:t>Industrial</w:t>
            </w: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5,623</w:t>
            </w:r>
          </w:p>
        </w:tc>
        <w:tc>
          <w:tcPr>
            <w:tcW w:w="10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10,200</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7,432</w:t>
            </w: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35,104</w:t>
            </w: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Office</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2,974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889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26,231</w:t>
            </w:r>
          </w:p>
        </w:tc>
        <w:tc>
          <w:tcPr>
            <w:tcW w:w="0" w:type="dxa"/>
            <w:vAlign w:val="bottom"/>
          </w:tcPr>
          <w:p>
            <w:pPr>
              <w:spacing w:after="0"/>
              <w:rPr>
                <w:sz w:val="1"/>
                <w:szCs w:val="1"/>
                <w:color w:val="auto"/>
              </w:rPr>
            </w:pPr>
          </w:p>
        </w:tc>
      </w:tr>
      <w:tr>
        <w:trPr>
          <w:trHeight w:val="156"/>
        </w:trPr>
        <w:tc>
          <w:tcPr>
            <w:tcW w:w="3060" w:type="dxa"/>
            <w:vAlign w:val="bottom"/>
          </w:tcPr>
          <w:p>
            <w:pPr>
              <w:ind w:left="120"/>
              <w:spacing w:after="0"/>
              <w:rPr>
                <w:sz w:val="20"/>
                <w:szCs w:val="20"/>
                <w:color w:val="auto"/>
              </w:rPr>
            </w:pPr>
            <w:r>
              <w:rPr>
                <w:rFonts w:ascii="Arial" w:cs="Arial" w:eastAsia="Arial" w:hAnsi="Arial"/>
                <w:sz w:val="11"/>
                <w:szCs w:val="11"/>
                <w:color w:val="auto"/>
              </w:rPr>
              <w:t>Retail</w:t>
            </w:r>
          </w:p>
        </w:tc>
        <w:tc>
          <w:tcPr>
            <w:tcW w:w="36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6,090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1,045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1,054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4,776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19,958</w:t>
            </w: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Mixed use</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1,122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9,334</w:t>
            </w:r>
          </w:p>
        </w:tc>
        <w:tc>
          <w:tcPr>
            <w:tcW w:w="0" w:type="dxa"/>
            <w:vAlign w:val="bottom"/>
          </w:tcPr>
          <w:p>
            <w:pPr>
              <w:spacing w:after="0"/>
              <w:rPr>
                <w:sz w:val="1"/>
                <w:szCs w:val="1"/>
                <w:color w:val="auto"/>
              </w:rPr>
            </w:pPr>
          </w:p>
        </w:tc>
      </w:tr>
      <w:tr>
        <w:trPr>
          <w:trHeight w:val="156"/>
        </w:trPr>
        <w:tc>
          <w:tcPr>
            <w:tcW w:w="306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Other</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25,879</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2,564</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5,484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10,525</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28,506</w:t>
            </w:r>
          </w:p>
        </w:tc>
        <w:tc>
          <w:tcPr>
            <w:tcW w:w="0" w:type="dxa"/>
            <w:vAlign w:val="bottom"/>
          </w:tcPr>
          <w:p>
            <w:pPr>
              <w:spacing w:after="0"/>
              <w:rPr>
                <w:sz w:val="1"/>
                <w:szCs w:val="1"/>
                <w:color w:val="auto"/>
              </w:rPr>
            </w:pPr>
          </w:p>
        </w:tc>
      </w:tr>
      <w:tr>
        <w:trPr>
          <w:trHeight w:val="104"/>
        </w:trPr>
        <w:tc>
          <w:tcPr>
            <w:tcW w:w="3060" w:type="dxa"/>
            <w:vAlign w:val="bottom"/>
            <w:shd w:val="clear" w:color="auto" w:fill="CCEEFF"/>
          </w:tcPr>
          <w:p>
            <w:pPr>
              <w:ind w:left="180"/>
              <w:spacing w:after="0" w:line="104" w:lineRule="exact"/>
              <w:rPr>
                <w:sz w:val="20"/>
                <w:szCs w:val="20"/>
                <w:color w:val="auto"/>
              </w:rPr>
            </w:pPr>
            <w:r>
              <w:rPr>
                <w:rFonts w:ascii="Arial" w:cs="Arial" w:eastAsia="Arial" w:hAnsi="Arial"/>
                <w:sz w:val="11"/>
                <w:szCs w:val="11"/>
                <w:color w:val="auto"/>
              </w:rPr>
              <w:t>Total fixed rate owner-occupied commercial real estate</w:t>
            </w:r>
          </w:p>
        </w:tc>
        <w:tc>
          <w:tcPr>
            <w:tcW w:w="360" w:type="dxa"/>
            <w:vAlign w:val="bottom"/>
            <w:vMerge w:val="restart"/>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2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37,737</w:t>
            </w:r>
          </w:p>
        </w:tc>
        <w:tc>
          <w:tcPr>
            <w:tcW w:w="1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6,583</w:t>
            </w:r>
          </w:p>
        </w:tc>
        <w:tc>
          <w:tcPr>
            <w:tcW w:w="4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12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18,749</w:t>
            </w:r>
          </w:p>
        </w:tc>
        <w:tc>
          <w:tcPr>
            <w:tcW w:w="10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25,949</w:t>
            </w:r>
          </w:p>
        </w:tc>
        <w:tc>
          <w:tcPr>
            <w:tcW w:w="14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119,133</w:t>
            </w:r>
          </w:p>
        </w:tc>
        <w:tc>
          <w:tcPr>
            <w:tcW w:w="0" w:type="dxa"/>
            <w:vAlign w:val="bottom"/>
          </w:tcPr>
          <w:p>
            <w:pPr>
              <w:spacing w:after="0"/>
              <w:rPr>
                <w:sz w:val="1"/>
                <w:szCs w:val="1"/>
                <w:color w:val="auto"/>
              </w:rPr>
            </w:pPr>
          </w:p>
        </w:tc>
      </w:tr>
      <w:tr>
        <w:trPr>
          <w:trHeight w:val="143"/>
        </w:trPr>
        <w:tc>
          <w:tcPr>
            <w:tcW w:w="3060" w:type="dxa"/>
            <w:vAlign w:val="bottom"/>
            <w:shd w:val="clear" w:color="auto" w:fill="CCEEFF"/>
          </w:tcPr>
          <w:p>
            <w:pPr>
              <w:ind w:left="180"/>
              <w:spacing w:after="0" w:line="123" w:lineRule="exact"/>
              <w:rPr>
                <w:sz w:val="20"/>
                <w:szCs w:val="20"/>
                <w:color w:val="auto"/>
              </w:rPr>
            </w:pPr>
            <w:r>
              <w:rPr>
                <w:rFonts w:ascii="Arial" w:cs="Arial" w:eastAsia="Arial" w:hAnsi="Arial"/>
                <w:sz w:val="11"/>
                <w:szCs w:val="11"/>
                <w:color w:val="auto"/>
              </w:rPr>
              <w:t>loans</w:t>
            </w:r>
          </w:p>
        </w:tc>
        <w:tc>
          <w:tcPr>
            <w:tcW w:w="360" w:type="dxa"/>
            <w:vAlign w:val="bottom"/>
            <w:vMerge w:val="continue"/>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420" w:hanging="160"/>
        <w:spacing w:after="0"/>
        <w:tabs>
          <w:tab w:leader="none" w:pos="4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Weighted average LTV is calculated by reference to the most recent available appraisal of the property securing each loan.</w:t>
      </w:r>
    </w:p>
    <w:p>
      <w:pPr>
        <w:spacing w:after="0" w:line="10" w:lineRule="exact"/>
        <w:rPr>
          <w:rFonts w:ascii="Arial" w:cs="Arial" w:eastAsia="Arial" w:hAnsi="Arial"/>
          <w:sz w:val="11"/>
          <w:szCs w:val="11"/>
          <w:color w:val="auto"/>
        </w:rPr>
      </w:pPr>
    </w:p>
    <w:p>
      <w:pPr>
        <w:ind w:left="420" w:hanging="160"/>
        <w:spacing w:after="0"/>
        <w:tabs>
          <w:tab w:leader="none" w:pos="4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Other non-owner-occupied commercial real estate loans include a land loan of $9.0 million, skilled nursing loans of $9.9 million, special purpose loans of $6.4 million, and other loans of $9.7 million.</w:t>
      </w:r>
    </w:p>
    <w:p>
      <w:pPr>
        <w:spacing w:after="0" w:line="11" w:lineRule="exact"/>
        <w:rPr>
          <w:rFonts w:ascii="Arial" w:cs="Arial" w:eastAsia="Arial" w:hAnsi="Arial"/>
          <w:sz w:val="11"/>
          <w:szCs w:val="11"/>
          <w:color w:val="auto"/>
        </w:rPr>
      </w:pPr>
    </w:p>
    <w:p>
      <w:pPr>
        <w:ind w:left="420" w:hanging="160"/>
        <w:spacing w:after="0"/>
        <w:tabs>
          <w:tab w:leader="none" w:pos="4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Other owner-occupied commercial real estate loans include special purpose loans of $51.5 million, skilled nursing loans of $45.5 million, and other loans of $28.3 million.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Nonperforming Assets</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In general, we place loans on nonaccrual status when they become 90 days past due. We also place loans on nonaccrual status if they are less than 90 days past due if the collection of principal or interest is in doubt. When the interest accrual is discontinued, all unpaid accrued interest is reversed from income.</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Loans are returned to accrual status when all the principal and interest amounts contractually due are brought current and future payments are, in management’s opinion, reasonably assured.</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Loans are generally charged-off in part or in full when management determines the loan to be uncollectible. Factors for charge-off that may be considered include: repayments deemed to be extended out beyond reasonable time frames, customer bankruptcy and lack of assets, and/or collateral deficiencies. Consumer credit card balances are moved into the charge off queue after they become more than 90 days past due and are charged off not later than 120 days after they become past due. Otherwise, loans that are past due for 180 days or more are charged off unless the loan is well secured and in the process of collection.</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believes its approach to lending and the management of nonperforming assets has resulted in sound asset quality and timely resolution of problem assets. The Company has established underwriting guidelines to be followed by our bankers, and routinely monitors our delinquency levels for any negative or adverse trends. There can be no assurance, however, that our loan portfolio will not become subject to increasing pressures from deteriorating borrower credit.</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From a credit risk standpoint, we grade watchlist and problem loans into one of five credit quality indicators: pass/watch, special mention, substandard, doubtful or loss. The classifications of loans reflect a judgment about the risks of default and loss associated with each loan. Credit ratings are reviewed regularly and adjusted regularly to reflect the degree of risk and loss that our management believes to be appropriate for each credit. Our lending policy requires the routine monitoring of past due reports, daily overdraft reports, monthly maturing loans, monthly risk rating reports and internal loan review reports. The lending and credit management of the Bank meet periodically to review loans rated pass/watch. The focus of each meeting is to identify and promptly determine any necessary required action within this loan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auto"/>
        </w:rPr>
        <w:t>population, which consists of loans that, although considered satisfactory and performing to terms, may exhibit special risk features that warrant management’s attention.</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Management is intent on maintaining a strong credit review function and risk rating process. The Company has an experienced Credit Administration function, which provides independent analysis of credit requests and the management of problem credits. The Credit Department has developed and implemented analytical procedures for evaluating credit requests, has refined the Company’s risk rating system, and continues to adapt and enhance the monitoring of the loan portfolio. The loan portfolio analysis process is intended to contribute to the identification of weaknesses before they become more severe.</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 special mention loan has potential weaknesses deserving of management’s attention. If uncorrected, such weaknesses may, at a future date, impair the repayment prospects for the asset or our credit position.</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Loans that are deemed special mention, substandard, doubtful or loss are listed in the Bank’s Problem Loan Status Report. The Problem Loan Status Report provides a detailed summary of the borrower and guarantor status, loan accrual status, collateral evaluation and includes a description of the planned collection and administration program designed to mitigate the Bank’s risk of loss and remove the loan from problem status. The Special Asset Committee reviews the Problem Loan Status Report on a quarterly basis for borrowers with an overall loan exposure in excess of $250,000.</w:t>
      </w:r>
    </w:p>
    <w:p>
      <w:pPr>
        <w:spacing w:after="0" w:line="13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At December 31, 2023, the recorded investment in individually assessed loans was $16.0 million, requiring a specific reserve of $0.4 million. At December 31, 2022, prior to the adoption of CECL, the Company carried a recorded investment in impaired loans of $9.4 million, $0.5 million of which required a specific reserve of $0.4 million. The $16.0 million of individually assessed loans at December 31, 2023 included a single multi-unit residential real estate loan secured by four properties with a balance of $7.6 million at December 31, 2023.</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Allowance for Credit Losses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maintain an ACL that represents management’s estimate of expected credit losses and risks inherent in our loan portfolio. The balance of the ACL is based on internally assigned risk classifications of loans, historical loss rates, changes in the nature of our loan portfolio, overall portfolio quality, industry concentrations, delinquency trends, current economic factors and the estimated impact of current economic conditions on certain historical loss rates.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 major consideration in the determination of the allowance for credit loss on the credit card portfolio is based on historical loss experience in that portfolio. The Company calculates the credit card ACL collectively, applying segmentation based on collateral positions: secured, partially secured, and unsecured.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auto"/>
        </w:rPr>
        <w:t>The following table presents key ratios for the ACL and nonaccrual loans for the periods indicated:</w:t>
      </w:r>
    </w:p>
    <w:p>
      <w:pPr>
        <w:spacing w:after="0" w:line="219" w:lineRule="exact"/>
        <w:rPr>
          <w:sz w:val="20"/>
          <w:szCs w:val="20"/>
          <w:color w:val="auto"/>
        </w:rPr>
      </w:pPr>
    </w:p>
    <w:p>
      <w:pPr>
        <w:ind w:left="6260"/>
        <w:spacing w:after="0"/>
        <w:rPr>
          <w:sz w:val="20"/>
          <w:szCs w:val="20"/>
          <w:color w:val="auto"/>
        </w:rPr>
      </w:pPr>
      <w:r>
        <w:rPr>
          <w:rFonts w:ascii="Arial" w:cs="Arial" w:eastAsia="Arial" w:hAnsi="Arial"/>
          <w:sz w:val="11"/>
          <w:szCs w:val="11"/>
          <w:b w:val="1"/>
          <w:bCs w:val="1"/>
          <w:color w:val="auto"/>
        </w:rPr>
        <w:t>For the 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18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4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1"/>
                <w:szCs w:val="11"/>
                <w:b w:val="1"/>
                <w:bCs w:val="1"/>
                <w:color w:val="auto"/>
              </w:rPr>
              <w:t>2022</w:t>
            </w: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2022</w:t>
            </w: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09"/>
        </w:trPr>
        <w:tc>
          <w:tcPr>
            <w:tcW w:w="3180" w:type="dxa"/>
            <w:vAlign w:val="bottom"/>
          </w:tcPr>
          <w:p>
            <w:pPr>
              <w:spacing w:after="0"/>
              <w:rPr>
                <w:sz w:val="9"/>
                <w:szCs w:val="9"/>
                <w:color w:val="auto"/>
              </w:rPr>
            </w:pPr>
          </w:p>
        </w:tc>
        <w:tc>
          <w:tcPr>
            <w:tcW w:w="2740" w:type="dxa"/>
            <w:vAlign w:val="bottom"/>
            <w:gridSpan w:val="6"/>
          </w:tcPr>
          <w:p>
            <w:pPr>
              <w:ind w:left="160"/>
              <w:spacing w:after="0" w:line="109" w:lineRule="exact"/>
              <w:rPr>
                <w:sz w:val="20"/>
                <w:szCs w:val="20"/>
                <w:color w:val="auto"/>
              </w:rPr>
            </w:pPr>
            <w:r>
              <w:rPr>
                <w:rFonts w:ascii="Arial" w:cs="Arial" w:eastAsia="Arial" w:hAnsi="Arial"/>
                <w:sz w:val="11"/>
                <w:szCs w:val="11"/>
                <w:b w:val="1"/>
                <w:bCs w:val="1"/>
                <w:color w:val="auto"/>
              </w:rPr>
              <w:t>Allowance for credit losses to period end</w:t>
            </w:r>
          </w:p>
        </w:tc>
        <w:tc>
          <w:tcPr>
            <w:tcW w:w="2760" w:type="dxa"/>
            <w:vAlign w:val="bottom"/>
            <w:gridSpan w:val="4"/>
            <w:vMerge w:val="restart"/>
          </w:tcPr>
          <w:p>
            <w:pPr>
              <w:ind w:left="180"/>
              <w:spacing w:after="0"/>
              <w:rPr>
                <w:sz w:val="20"/>
                <w:szCs w:val="20"/>
                <w:color w:val="auto"/>
              </w:rPr>
            </w:pPr>
            <w:r>
              <w:rPr>
                <w:rFonts w:ascii="Arial" w:cs="Arial" w:eastAsia="Arial" w:hAnsi="Arial"/>
                <w:sz w:val="11"/>
                <w:szCs w:val="11"/>
                <w:b w:val="1"/>
                <w:bCs w:val="1"/>
                <w:color w:val="auto"/>
              </w:rPr>
              <w:t>Nonaccrual loans to total portfolio loans</w:t>
            </w:r>
          </w:p>
        </w:tc>
        <w:tc>
          <w:tcPr>
            <w:tcW w:w="2520" w:type="dxa"/>
            <w:vAlign w:val="bottom"/>
            <w:gridSpan w:val="4"/>
          </w:tcPr>
          <w:p>
            <w:pPr>
              <w:jc w:val="center"/>
              <w:spacing w:after="0" w:line="109" w:lineRule="exact"/>
              <w:rPr>
                <w:sz w:val="20"/>
                <w:szCs w:val="20"/>
                <w:color w:val="auto"/>
              </w:rPr>
            </w:pPr>
            <w:r>
              <w:rPr>
                <w:rFonts w:ascii="Arial" w:cs="Arial" w:eastAsia="Arial" w:hAnsi="Arial"/>
                <w:sz w:val="11"/>
                <w:szCs w:val="11"/>
                <w:b w:val="1"/>
                <w:bCs w:val="1"/>
                <w:color w:val="auto"/>
              </w:rPr>
              <w:t>Allowance for credit losses to nonaccrual</w:t>
            </w:r>
          </w:p>
        </w:tc>
        <w:tc>
          <w:tcPr>
            <w:tcW w:w="0" w:type="dxa"/>
            <w:vAlign w:val="bottom"/>
          </w:tcPr>
          <w:p>
            <w:pPr>
              <w:spacing w:after="0"/>
              <w:rPr>
                <w:sz w:val="1"/>
                <w:szCs w:val="1"/>
                <w:color w:val="auto"/>
              </w:rPr>
            </w:pPr>
          </w:p>
        </w:tc>
      </w:tr>
      <w:tr>
        <w:trPr>
          <w:trHeight w:val="157"/>
        </w:trPr>
        <w:tc>
          <w:tcPr>
            <w:tcW w:w="3960" w:type="dxa"/>
            <w:vAlign w:val="bottom"/>
            <w:gridSpan w:val="2"/>
          </w:tcPr>
          <w:p>
            <w:pPr>
              <w:ind w:left="20"/>
              <w:spacing w:after="0"/>
              <w:rPr>
                <w:sz w:val="20"/>
                <w:szCs w:val="20"/>
                <w:color w:val="auto"/>
              </w:rPr>
            </w:pPr>
            <w:r>
              <w:rPr>
                <w:rFonts w:ascii="Arial" w:cs="Arial" w:eastAsia="Arial" w:hAnsi="Arial"/>
                <w:sz w:val="8"/>
                <w:szCs w:val="8"/>
                <w:i w:val="1"/>
                <w:iCs w:val="1"/>
                <w:color w:val="auto"/>
              </w:rPr>
              <w:t>(in thousands)</w:t>
            </w:r>
          </w:p>
        </w:tc>
        <w:tc>
          <w:tcPr>
            <w:tcW w:w="960" w:type="dxa"/>
            <w:vAlign w:val="bottom"/>
            <w:gridSpan w:val="3"/>
          </w:tcPr>
          <w:p>
            <w:pPr>
              <w:ind w:left="40"/>
              <w:spacing w:after="0" w:line="157" w:lineRule="exact"/>
              <w:rPr>
                <w:sz w:val="20"/>
                <w:szCs w:val="20"/>
                <w:color w:val="auto"/>
              </w:rPr>
            </w:pPr>
            <w:r>
              <w:rPr>
                <w:rFonts w:ascii="Arial" w:cs="Arial" w:eastAsia="Arial" w:hAnsi="Arial"/>
                <w:sz w:val="11"/>
                <w:szCs w:val="11"/>
                <w:b w:val="1"/>
                <w:bCs w:val="1"/>
                <w:color w:val="auto"/>
                <w:w w:val="98"/>
              </w:rPr>
              <w:t xml:space="preserve">portfolio loans </w:t>
            </w:r>
            <w:r>
              <w:rPr>
                <w:rFonts w:ascii="Arial" w:cs="Arial" w:eastAsia="Arial" w:hAnsi="Arial"/>
                <w:sz w:val="14"/>
                <w:szCs w:val="14"/>
                <w:b w:val="1"/>
                <w:bCs w:val="1"/>
                <w:color w:val="auto"/>
                <w:w w:val="98"/>
                <w:vertAlign w:val="superscript"/>
              </w:rPr>
              <w:t>(1)</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60" w:type="dxa"/>
            <w:vAlign w:val="bottom"/>
            <w:gridSpan w:val="4"/>
            <w:vMerge w:val="continue"/>
          </w:tcPr>
          <w:p>
            <w:pPr>
              <w:spacing w:after="0"/>
              <w:rPr>
                <w:sz w:val="13"/>
                <w:szCs w:val="13"/>
                <w:color w:val="auto"/>
              </w:rPr>
            </w:pPr>
          </w:p>
        </w:tc>
        <w:tc>
          <w:tcPr>
            <w:tcW w:w="1620" w:type="dxa"/>
            <w:vAlign w:val="bottom"/>
            <w:gridSpan w:val="3"/>
          </w:tcPr>
          <w:p>
            <w:pPr>
              <w:jc w:val="center"/>
              <w:ind w:left="843"/>
              <w:spacing w:after="0" w:line="157" w:lineRule="exact"/>
              <w:rPr>
                <w:sz w:val="20"/>
                <w:szCs w:val="20"/>
                <w:color w:val="auto"/>
              </w:rPr>
            </w:pPr>
            <w:r>
              <w:rPr>
                <w:rFonts w:ascii="Arial" w:cs="Arial" w:eastAsia="Arial" w:hAnsi="Arial"/>
                <w:sz w:val="11"/>
                <w:szCs w:val="11"/>
                <w:b w:val="1"/>
                <w:bCs w:val="1"/>
                <w:color w:val="auto"/>
                <w:w w:val="92"/>
              </w:rPr>
              <w:t xml:space="preserve">loans </w:t>
            </w:r>
            <w:r>
              <w:rPr>
                <w:rFonts w:ascii="Arial" w:cs="Arial" w:eastAsia="Arial" w:hAnsi="Arial"/>
                <w:sz w:val="14"/>
                <w:szCs w:val="14"/>
                <w:b w:val="1"/>
                <w:bCs w:val="1"/>
                <w:color w:val="auto"/>
                <w:w w:val="92"/>
                <w:vertAlign w:val="superscript"/>
              </w:rPr>
              <w:t>(1)</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9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Real estate:</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60" w:type="dxa"/>
            <w:vAlign w:val="bottom"/>
            <w:gridSpan w:val="2"/>
          </w:tcPr>
          <w:p>
            <w:pPr>
              <w:ind w:left="160"/>
              <w:spacing w:after="0"/>
              <w:rPr>
                <w:sz w:val="20"/>
                <w:szCs w:val="20"/>
                <w:color w:val="auto"/>
              </w:rPr>
            </w:pPr>
            <w:r>
              <w:rPr>
                <w:rFonts w:ascii="Arial" w:cs="Arial" w:eastAsia="Arial" w:hAnsi="Arial"/>
                <w:sz w:val="11"/>
                <w:szCs w:val="11"/>
                <w:color w:val="auto"/>
              </w:rPr>
              <w:t>Residential</w:t>
            </w:r>
          </w:p>
        </w:tc>
        <w:tc>
          <w:tcPr>
            <w:tcW w:w="440" w:type="dxa"/>
            <w:vAlign w:val="bottom"/>
          </w:tcPr>
          <w:p>
            <w:pPr>
              <w:ind w:left="60"/>
              <w:spacing w:after="0"/>
              <w:rPr>
                <w:sz w:val="20"/>
                <w:szCs w:val="20"/>
                <w:color w:val="auto"/>
              </w:rPr>
            </w:pPr>
            <w:r>
              <w:rPr>
                <w:rFonts w:ascii="Arial" w:cs="Arial" w:eastAsia="Arial" w:hAnsi="Arial"/>
                <w:sz w:val="11"/>
                <w:szCs w:val="11"/>
                <w:color w:val="auto"/>
              </w:rPr>
              <w:t>0.96 %</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ind w:left="420"/>
              <w:spacing w:after="0"/>
              <w:rPr>
                <w:sz w:val="20"/>
                <w:szCs w:val="20"/>
                <w:color w:val="auto"/>
              </w:rPr>
            </w:pPr>
            <w:r>
              <w:rPr>
                <w:rFonts w:ascii="Arial" w:cs="Arial" w:eastAsia="Arial" w:hAnsi="Arial"/>
                <w:sz w:val="11"/>
                <w:szCs w:val="11"/>
                <w:color w:val="auto"/>
                <w:w w:val="99"/>
              </w:rPr>
              <w:t>1.13 %</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1.99 %</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0.88 %</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48 %</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128 %</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Commercial</w:t>
            </w:r>
          </w:p>
        </w:tc>
        <w:tc>
          <w:tcPr>
            <w:tcW w:w="440" w:type="dxa"/>
            <w:vAlign w:val="bottom"/>
            <w:shd w:val="clear" w:color="auto" w:fill="CCEEFF"/>
          </w:tcPr>
          <w:p>
            <w:pPr>
              <w:ind w:left="60"/>
              <w:spacing w:after="0"/>
              <w:rPr>
                <w:sz w:val="20"/>
                <w:szCs w:val="20"/>
                <w:color w:val="auto"/>
              </w:rPr>
            </w:pPr>
            <w:r>
              <w:rPr>
                <w:rFonts w:ascii="Arial" w:cs="Arial" w:eastAsia="Arial" w:hAnsi="Arial"/>
                <w:sz w:val="11"/>
                <w:szCs w:val="11"/>
                <w:color w:val="auto"/>
              </w:rPr>
              <w:t>1.51</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1.22</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0.09</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0.24</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1,773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518</w:t>
            </w:r>
          </w:p>
        </w:tc>
        <w:tc>
          <w:tcPr>
            <w:tcW w:w="0" w:type="dxa"/>
            <w:vAlign w:val="bottom"/>
          </w:tcPr>
          <w:p>
            <w:pPr>
              <w:spacing w:after="0"/>
              <w:rPr>
                <w:sz w:val="1"/>
                <w:szCs w:val="1"/>
                <w:color w:val="auto"/>
              </w:rPr>
            </w:pPr>
          </w:p>
        </w:tc>
      </w:tr>
      <w:tr>
        <w:trPr>
          <w:trHeight w:val="156"/>
        </w:trPr>
        <w:tc>
          <w:tcPr>
            <w:tcW w:w="3960" w:type="dxa"/>
            <w:vAlign w:val="bottom"/>
            <w:gridSpan w:val="2"/>
          </w:tcPr>
          <w:p>
            <w:pPr>
              <w:ind w:left="160"/>
              <w:spacing w:after="0"/>
              <w:rPr>
                <w:sz w:val="20"/>
                <w:szCs w:val="20"/>
                <w:color w:val="auto"/>
              </w:rPr>
            </w:pPr>
            <w:r>
              <w:rPr>
                <w:rFonts w:ascii="Arial" w:cs="Arial" w:eastAsia="Arial" w:hAnsi="Arial"/>
                <w:sz w:val="11"/>
                <w:szCs w:val="11"/>
                <w:color w:val="auto"/>
              </w:rPr>
              <w:t>Construction</w:t>
            </w:r>
          </w:p>
        </w:tc>
        <w:tc>
          <w:tcPr>
            <w:tcW w:w="440" w:type="dxa"/>
            <w:vAlign w:val="bottom"/>
          </w:tcPr>
          <w:p>
            <w:pPr>
              <w:ind w:left="60"/>
              <w:spacing w:after="0"/>
              <w:rPr>
                <w:sz w:val="20"/>
                <w:szCs w:val="20"/>
                <w:color w:val="auto"/>
              </w:rPr>
            </w:pPr>
            <w:r>
              <w:rPr>
                <w:rFonts w:ascii="Arial" w:cs="Arial" w:eastAsia="Arial" w:hAnsi="Arial"/>
                <w:sz w:val="11"/>
                <w:szCs w:val="11"/>
                <w:color w:val="auto"/>
              </w:rPr>
              <w:t>0.78</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ind w:left="420"/>
              <w:spacing w:after="0"/>
              <w:rPr>
                <w:sz w:val="20"/>
                <w:szCs w:val="20"/>
                <w:color w:val="auto"/>
              </w:rPr>
            </w:pPr>
            <w:r>
              <w:rPr>
                <w:rFonts w:ascii="Arial" w:cs="Arial" w:eastAsia="Arial" w:hAnsi="Arial"/>
                <w:sz w:val="11"/>
                <w:szCs w:val="11"/>
                <w:color w:val="auto"/>
              </w:rPr>
              <w:t>1.59</w:t>
            </w:r>
          </w:p>
        </w:tc>
        <w:tc>
          <w:tcPr>
            <w:tcW w:w="220" w:type="dxa"/>
            <w:vAlign w:val="bottom"/>
          </w:tcPr>
          <w:p>
            <w:pPr>
              <w:spacing w:after="0"/>
              <w:rPr>
                <w:sz w:val="13"/>
                <w:szCs w:val="13"/>
                <w:color w:val="auto"/>
              </w:rPr>
            </w:pP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1.13</w:t>
            </w:r>
          </w:p>
        </w:tc>
        <w:tc>
          <w:tcPr>
            <w:tcW w:w="100" w:type="dxa"/>
            <w:vAlign w:val="bottom"/>
          </w:tcPr>
          <w:p>
            <w:pPr>
              <w:spacing w:after="0"/>
              <w:rPr>
                <w:sz w:val="13"/>
                <w:szCs w:val="13"/>
                <w:color w:val="auto"/>
              </w:rPr>
            </w:pPr>
          </w:p>
        </w:tc>
        <w:tc>
          <w:tcPr>
            <w:tcW w:w="1220" w:type="dxa"/>
            <w:vAlign w:val="bottom"/>
          </w:tcPr>
          <w:p>
            <w:pPr>
              <w:jc w:val="right"/>
              <w:ind w:right="103"/>
              <w:spacing w:after="0"/>
              <w:rPr>
                <w:sz w:val="20"/>
                <w:szCs w:val="20"/>
                <w:color w:val="auto"/>
              </w:rPr>
            </w:pPr>
            <w:r>
              <w:rPr>
                <w:rFonts w:ascii="Arial" w:cs="Arial" w:eastAsia="Arial" w:hAnsi="Arial"/>
                <w:sz w:val="11"/>
                <w:szCs w:val="11"/>
                <w:color w:val="auto"/>
              </w:rPr>
              <w:t>1.19</w:t>
            </w:r>
          </w:p>
        </w:tc>
        <w:tc>
          <w:tcPr>
            <w:tcW w:w="220" w:type="dxa"/>
            <w:vAlign w:val="bottom"/>
          </w:tcPr>
          <w:p>
            <w:pPr>
              <w:spacing w:after="0"/>
              <w:rPr>
                <w:sz w:val="13"/>
                <w:szCs w:val="13"/>
                <w:color w:val="auto"/>
              </w:rPr>
            </w:pP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69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133</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Commercial and Industrial</w:t>
            </w:r>
          </w:p>
        </w:tc>
        <w:tc>
          <w:tcPr>
            <w:tcW w:w="440" w:type="dxa"/>
            <w:vAlign w:val="bottom"/>
            <w:shd w:val="clear" w:color="auto" w:fill="CCEEFF"/>
          </w:tcPr>
          <w:p>
            <w:pPr>
              <w:ind w:left="60"/>
              <w:spacing w:after="0"/>
              <w:rPr>
                <w:sz w:val="20"/>
                <w:szCs w:val="20"/>
                <w:color w:val="auto"/>
              </w:rPr>
            </w:pPr>
            <w:r>
              <w:rPr>
                <w:rFonts w:ascii="Arial" w:cs="Arial" w:eastAsia="Arial" w:hAnsi="Arial"/>
                <w:sz w:val="11"/>
                <w:szCs w:val="11"/>
                <w:color w:val="auto"/>
              </w:rPr>
              <w:t>1.85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1.33</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0.32</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0.32</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569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417</w:t>
            </w:r>
          </w:p>
        </w:tc>
        <w:tc>
          <w:tcPr>
            <w:tcW w:w="0" w:type="dxa"/>
            <w:vAlign w:val="bottom"/>
          </w:tcPr>
          <w:p>
            <w:pPr>
              <w:spacing w:after="0"/>
              <w:rPr>
                <w:sz w:val="1"/>
                <w:szCs w:val="1"/>
                <w:color w:val="auto"/>
              </w:rPr>
            </w:pPr>
          </w:p>
        </w:tc>
      </w:tr>
      <w:tr>
        <w:trPr>
          <w:trHeight w:val="156"/>
        </w:trPr>
        <w:tc>
          <w:tcPr>
            <w:tcW w:w="3960" w:type="dxa"/>
            <w:vAlign w:val="bottom"/>
            <w:gridSpan w:val="2"/>
          </w:tcPr>
          <w:p>
            <w:pPr>
              <w:ind w:left="20"/>
              <w:spacing w:after="0"/>
              <w:rPr>
                <w:sz w:val="20"/>
                <w:szCs w:val="20"/>
                <w:color w:val="auto"/>
              </w:rPr>
            </w:pPr>
            <w:r>
              <w:rPr>
                <w:rFonts w:ascii="Arial" w:cs="Arial" w:eastAsia="Arial" w:hAnsi="Arial"/>
                <w:sz w:val="11"/>
                <w:szCs w:val="11"/>
                <w:color w:val="auto"/>
              </w:rPr>
              <w:t>Credit card</w:t>
            </w:r>
          </w:p>
        </w:tc>
        <w:tc>
          <w:tcPr>
            <w:tcW w:w="440" w:type="dxa"/>
            <w:vAlign w:val="bottom"/>
          </w:tcPr>
          <w:p>
            <w:pPr>
              <w:ind w:left="60"/>
              <w:spacing w:after="0"/>
              <w:rPr>
                <w:sz w:val="20"/>
                <w:szCs w:val="20"/>
                <w:color w:val="auto"/>
              </w:rPr>
            </w:pPr>
            <w:r>
              <w:rPr>
                <w:rFonts w:ascii="Arial" w:cs="Arial" w:eastAsia="Arial" w:hAnsi="Arial"/>
                <w:sz w:val="11"/>
                <w:szCs w:val="11"/>
                <w:color w:val="auto"/>
              </w:rPr>
              <w:t>4.94</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ind w:left="420"/>
              <w:spacing w:after="0"/>
              <w:rPr>
                <w:sz w:val="20"/>
                <w:szCs w:val="20"/>
                <w:color w:val="auto"/>
              </w:rPr>
            </w:pPr>
            <w:r>
              <w:rPr>
                <w:rFonts w:ascii="Arial" w:cs="Arial" w:eastAsia="Arial" w:hAnsi="Arial"/>
                <w:sz w:val="11"/>
                <w:szCs w:val="11"/>
                <w:color w:val="auto"/>
              </w:rPr>
              <w:t>4.73</w:t>
            </w:r>
          </w:p>
        </w:tc>
        <w:tc>
          <w:tcPr>
            <w:tcW w:w="22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4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1620" w:type="dxa"/>
            <w:vAlign w:val="bottom"/>
            <w:gridSpan w:val="3"/>
          </w:tcPr>
          <w:p>
            <w:pPr>
              <w:jc w:val="right"/>
              <w:ind w:right="54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3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consumer</w:t>
            </w:r>
          </w:p>
        </w:tc>
        <w:tc>
          <w:tcPr>
            <w:tcW w:w="7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1.26</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0.88</w:t>
            </w:r>
          </w:p>
        </w:tc>
        <w:tc>
          <w:tcPr>
            <w:tcW w:w="22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180" w:type="dxa"/>
            <w:vAlign w:val="bottom"/>
          </w:tcPr>
          <w:p>
            <w:pPr>
              <w:ind w:left="180"/>
              <w:spacing w:after="0"/>
              <w:rPr>
                <w:sz w:val="20"/>
                <w:szCs w:val="20"/>
                <w:color w:val="auto"/>
              </w:rPr>
            </w:pPr>
            <w:r>
              <w:rPr>
                <w:rFonts w:ascii="Arial" w:cs="Arial" w:eastAsia="Arial" w:hAnsi="Arial"/>
                <w:sz w:val="11"/>
                <w:szCs w:val="11"/>
                <w:color w:val="auto"/>
              </w:rPr>
              <w:t>Total</w:t>
            </w: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1.50 %</w:t>
            </w: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420"/>
              <w:spacing w:after="0"/>
              <w:rPr>
                <w:sz w:val="20"/>
                <w:szCs w:val="20"/>
                <w:color w:val="auto"/>
              </w:rPr>
            </w:pPr>
            <w:r>
              <w:rPr>
                <w:rFonts w:ascii="Arial" w:cs="Arial" w:eastAsia="Arial" w:hAnsi="Arial"/>
                <w:sz w:val="11"/>
                <w:szCs w:val="11"/>
                <w:color w:val="auto"/>
                <w:w w:val="99"/>
              </w:rPr>
              <w:t>1.53 %</w:t>
            </w:r>
          </w:p>
        </w:tc>
        <w:tc>
          <w:tcPr>
            <w:tcW w:w="22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0.84 %</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0.56 %</w:t>
            </w:r>
          </w:p>
        </w:tc>
        <w:tc>
          <w:tcPr>
            <w:tcW w:w="22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178 %</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270 %</w:t>
            </w: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ind w:left="260" w:hanging="255"/>
        <w:spacing w:after="0" w:line="230" w:lineRule="auto"/>
        <w:tabs>
          <w:tab w:leader="none" w:pos="260" w:val="left"/>
        </w:tabs>
        <w:numPr>
          <w:ilvl w:val="0"/>
          <w:numId w:val="14"/>
        </w:numPr>
        <w:rPr>
          <w:rFonts w:ascii="Arial" w:cs="Arial" w:eastAsia="Arial" w:hAnsi="Arial"/>
          <w:sz w:val="15"/>
          <w:szCs w:val="15"/>
          <w:color w:val="auto"/>
          <w:vertAlign w:val="superscript"/>
        </w:rPr>
      </w:pPr>
      <w:r>
        <w:rPr>
          <w:rFonts w:ascii="Arial" w:cs="Arial" w:eastAsia="Arial" w:hAnsi="Arial"/>
          <w:sz w:val="11"/>
          <w:szCs w:val="11"/>
          <w:color w:val="auto"/>
        </w:rPr>
        <w:t>Allowance calculation excludes SBA-PPP loans.</w:t>
      </w:r>
    </w:p>
    <w:p>
      <w:pPr>
        <w:spacing w:after="0" w:line="33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Total charge-offs for the year ended December 31, 2023 and December 31, 2022 were primarily comprised of credit card charge-offs resulting both from the aging of the portfolio and the shift from an almost exclusively secured card portfolio to a portfolio that also includes partially secured and unsecured exposures. Commercial and industrial loans experienced net charge-offs for year ended December 31, 2023 of $0.1 million. Commercial real estate loans experienced net charge-offs for the year ended December 31, 2023 of $0.8 million. The following table presents a summary of the net charge-off (recovery) of loans as a percentage of average loans for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5"/>
          </w:tcPr>
          <w:p>
            <w:pPr>
              <w:ind w:left="680"/>
              <w:spacing w:after="0"/>
              <w:rPr>
                <w:sz w:val="20"/>
                <w:szCs w:val="20"/>
                <w:color w:val="auto"/>
              </w:rPr>
            </w:pPr>
            <w:r>
              <w:rPr>
                <w:rFonts w:ascii="Arial" w:cs="Arial" w:eastAsia="Arial" w:hAnsi="Arial"/>
                <w:sz w:val="11"/>
                <w:szCs w:val="11"/>
                <w:b w:val="1"/>
                <w:bCs w:val="1"/>
                <w:color w:val="auto"/>
              </w:rPr>
              <w:t>For the Years Ended December 31,</w:t>
            </w: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tcPr>
          <w:p>
            <w:pPr>
              <w:jc w:val="center"/>
              <w:ind w:right="220"/>
              <w:spacing w:after="0" w:line="112" w:lineRule="exact"/>
              <w:rPr>
                <w:sz w:val="20"/>
                <w:szCs w:val="20"/>
                <w:color w:val="auto"/>
              </w:rPr>
            </w:pPr>
            <w:r>
              <w:rPr>
                <w:rFonts w:ascii="Arial" w:cs="Arial" w:eastAsia="Arial" w:hAnsi="Arial"/>
                <w:sz w:val="11"/>
                <w:szCs w:val="11"/>
                <w:b w:val="1"/>
                <w:bCs w:val="1"/>
                <w:color w:val="auto"/>
              </w:rPr>
              <w:t>Net Charge-offs</w:t>
            </w:r>
          </w:p>
        </w:tc>
        <w:tc>
          <w:tcPr>
            <w:tcW w:w="160" w:type="dxa"/>
            <w:vAlign w:val="bottom"/>
          </w:tcPr>
          <w:p>
            <w:pPr>
              <w:spacing w:after="0"/>
              <w:rPr>
                <w:sz w:val="9"/>
                <w:szCs w:val="9"/>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Average Loans</w:t>
            </w:r>
          </w:p>
        </w:tc>
        <w:tc>
          <w:tcPr>
            <w:tcW w:w="1760" w:type="dxa"/>
            <w:vAlign w:val="bottom"/>
            <w:gridSpan w:val="2"/>
          </w:tcPr>
          <w:p>
            <w:pPr>
              <w:jc w:val="center"/>
              <w:ind w:right="300"/>
              <w:spacing w:after="0" w:line="112" w:lineRule="exact"/>
              <w:rPr>
                <w:sz w:val="20"/>
                <w:szCs w:val="20"/>
                <w:color w:val="auto"/>
              </w:rPr>
            </w:pPr>
            <w:r>
              <w:rPr>
                <w:rFonts w:ascii="Arial" w:cs="Arial" w:eastAsia="Arial" w:hAnsi="Arial"/>
                <w:sz w:val="11"/>
                <w:szCs w:val="11"/>
                <w:b w:val="1"/>
                <w:bCs w:val="1"/>
                <w:color w:val="auto"/>
              </w:rPr>
              <w:t>Percent of average</w:t>
            </w:r>
          </w:p>
        </w:tc>
        <w:tc>
          <w:tcPr>
            <w:tcW w:w="140" w:type="dxa"/>
            <w:vAlign w:val="bottom"/>
          </w:tcPr>
          <w:p>
            <w:pPr>
              <w:spacing w:after="0"/>
              <w:rPr>
                <w:sz w:val="9"/>
                <w:szCs w:val="9"/>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Net Charge-offs</w:t>
            </w:r>
          </w:p>
        </w:tc>
        <w:tc>
          <w:tcPr>
            <w:tcW w:w="140" w:type="dxa"/>
            <w:vAlign w:val="bottom"/>
          </w:tcPr>
          <w:p>
            <w:pPr>
              <w:spacing w:after="0"/>
              <w:rPr>
                <w:sz w:val="9"/>
                <w:szCs w:val="9"/>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Average Loans</w:t>
            </w:r>
          </w:p>
        </w:tc>
        <w:tc>
          <w:tcPr>
            <w:tcW w:w="1480" w:type="dxa"/>
            <w:vAlign w:val="bottom"/>
          </w:tcPr>
          <w:p>
            <w:pPr>
              <w:jc w:val="right"/>
              <w:ind w:right="183"/>
              <w:spacing w:after="0" w:line="112" w:lineRule="exact"/>
              <w:rPr>
                <w:sz w:val="20"/>
                <w:szCs w:val="20"/>
                <w:color w:val="auto"/>
              </w:rPr>
            </w:pPr>
            <w:r>
              <w:rPr>
                <w:rFonts w:ascii="Arial" w:cs="Arial" w:eastAsia="Arial" w:hAnsi="Arial"/>
                <w:sz w:val="11"/>
                <w:szCs w:val="11"/>
                <w:b w:val="1"/>
                <w:bCs w:val="1"/>
                <w:color w:val="auto"/>
              </w:rPr>
              <w:t>Percent of average</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(Recoveries)</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portfolio loans</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80" w:type="dxa"/>
            <w:vAlign w:val="bottom"/>
          </w:tcPr>
          <w:p>
            <w:pPr>
              <w:jc w:val="right"/>
              <w:ind w:right="283"/>
              <w:spacing w:after="0"/>
              <w:rPr>
                <w:sz w:val="20"/>
                <w:szCs w:val="20"/>
                <w:color w:val="auto"/>
              </w:rPr>
            </w:pPr>
            <w:r>
              <w:rPr>
                <w:rFonts w:ascii="Arial" w:cs="Arial" w:eastAsia="Arial" w:hAnsi="Arial"/>
                <w:sz w:val="11"/>
                <w:szCs w:val="11"/>
                <w:b w:val="1"/>
                <w:bCs w:val="1"/>
                <w:color w:val="auto"/>
              </w:rPr>
              <w:t>portfolio loans</w:t>
            </w:r>
          </w:p>
        </w:tc>
        <w:tc>
          <w:tcPr>
            <w:tcW w:w="0" w:type="dxa"/>
            <w:vAlign w:val="bottom"/>
          </w:tcPr>
          <w:p>
            <w:pPr>
              <w:spacing w:after="0"/>
              <w:rPr>
                <w:sz w:val="1"/>
                <w:szCs w:val="1"/>
                <w:color w:val="auto"/>
              </w:rPr>
            </w:pPr>
          </w:p>
        </w:tc>
      </w:tr>
      <w:tr>
        <w:trPr>
          <w:trHeight w:val="159"/>
        </w:trPr>
        <w:tc>
          <w:tcPr>
            <w:tcW w:w="2640" w:type="dxa"/>
            <w:vAlign w:val="bottom"/>
            <w:shd w:val="clear" w:color="auto" w:fill="CCEEFF"/>
          </w:tcPr>
          <w:p>
            <w:pPr>
              <w:ind w:left="60"/>
              <w:spacing w:after="0"/>
              <w:rPr>
                <w:sz w:val="20"/>
                <w:szCs w:val="20"/>
                <w:color w:val="auto"/>
              </w:rPr>
            </w:pPr>
            <w:r>
              <w:rPr>
                <w:rFonts w:ascii="Arial" w:cs="Arial" w:eastAsia="Arial" w:hAnsi="Arial"/>
                <w:sz w:val="11"/>
                <w:szCs w:val="11"/>
                <w:color w:val="auto"/>
              </w:rPr>
              <w:t>Real estate:</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40" w:type="dxa"/>
            <w:vAlign w:val="bottom"/>
          </w:tcPr>
          <w:p>
            <w:pPr>
              <w:ind w:left="160"/>
              <w:spacing w:after="0"/>
              <w:rPr>
                <w:sz w:val="20"/>
                <w:szCs w:val="20"/>
                <w:color w:val="auto"/>
              </w:rPr>
            </w:pPr>
            <w:r>
              <w:rPr>
                <w:rFonts w:ascii="Arial" w:cs="Arial" w:eastAsia="Arial" w:hAnsi="Arial"/>
                <w:sz w:val="11"/>
                <w:szCs w:val="11"/>
                <w:color w:val="auto"/>
              </w:rPr>
              <w:t>Residential</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670</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544,552</w:t>
            </w: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0.12 %</w:t>
            </w:r>
          </w:p>
        </w:tc>
        <w:tc>
          <w:tcPr>
            <w:tcW w:w="2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434,714</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62"/>
        </w:trPr>
        <w:tc>
          <w:tcPr>
            <w:tcW w:w="26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Commercial</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665,535</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0.13</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593,981</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640" w:type="dxa"/>
            <w:vAlign w:val="bottom"/>
          </w:tcPr>
          <w:p>
            <w:pPr>
              <w:ind w:left="160"/>
              <w:spacing w:after="0"/>
              <w:rPr>
                <w:sz w:val="20"/>
                <w:szCs w:val="20"/>
                <w:color w:val="auto"/>
              </w:rPr>
            </w:pPr>
            <w:r>
              <w:rPr>
                <w:rFonts w:ascii="Arial" w:cs="Arial" w:eastAsia="Arial" w:hAnsi="Arial"/>
                <w:sz w:val="11"/>
                <w:szCs w:val="11"/>
                <w:color w:val="auto"/>
              </w:rPr>
              <w:t>Construction</w:t>
            </w:r>
          </w:p>
        </w:tc>
        <w:tc>
          <w:tcPr>
            <w:tcW w:w="14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266,274</w:t>
            </w:r>
          </w:p>
        </w:tc>
        <w:tc>
          <w:tcPr>
            <w:tcW w:w="100" w:type="dxa"/>
            <w:vAlign w:val="bottom"/>
          </w:tcPr>
          <w:p>
            <w:pPr>
              <w:spacing w:after="0"/>
              <w:rPr>
                <w:sz w:val="13"/>
                <w:szCs w:val="13"/>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243,921</w:t>
            </w:r>
          </w:p>
        </w:tc>
        <w:tc>
          <w:tcPr>
            <w:tcW w:w="80" w:type="dxa"/>
            <w:vAlign w:val="bottom"/>
          </w:tcPr>
          <w:p>
            <w:pPr>
              <w:spacing w:after="0"/>
              <w:rPr>
                <w:sz w:val="13"/>
                <w:szCs w:val="13"/>
                <w:color w:val="auto"/>
              </w:rPr>
            </w:pP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0.01</w:t>
            </w:r>
          </w:p>
        </w:tc>
        <w:tc>
          <w:tcPr>
            <w:tcW w:w="0" w:type="dxa"/>
            <w:vAlign w:val="bottom"/>
          </w:tcPr>
          <w:p>
            <w:pPr>
              <w:spacing w:after="0"/>
              <w:rPr>
                <w:sz w:val="1"/>
                <w:szCs w:val="1"/>
                <w:color w:val="auto"/>
              </w:rPr>
            </w:pPr>
          </w:p>
        </w:tc>
      </w:tr>
      <w:tr>
        <w:trPr>
          <w:trHeight w:val="162"/>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Commercial and Industrial</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222,856</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0.03</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179,757</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640" w:type="dxa"/>
            <w:vAlign w:val="bottom"/>
          </w:tcPr>
          <w:p>
            <w:pPr>
              <w:ind w:left="20"/>
              <w:spacing w:after="0"/>
              <w:rPr>
                <w:sz w:val="20"/>
                <w:szCs w:val="20"/>
                <w:color w:val="auto"/>
              </w:rPr>
            </w:pPr>
            <w:r>
              <w:rPr>
                <w:rFonts w:ascii="Arial" w:cs="Arial" w:eastAsia="Arial" w:hAnsi="Arial"/>
                <w:sz w:val="11"/>
                <w:szCs w:val="11"/>
                <w:color w:val="auto"/>
              </w:rPr>
              <w:t>Credit card</w:t>
            </w:r>
          </w:p>
        </w:tc>
        <w:tc>
          <w:tcPr>
            <w:tcW w:w="1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6,885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114,450</w:t>
            </w:r>
          </w:p>
        </w:tc>
        <w:tc>
          <w:tcPr>
            <w:tcW w:w="100" w:type="dxa"/>
            <w:vAlign w:val="bottom"/>
          </w:tcPr>
          <w:p>
            <w:pPr>
              <w:spacing w:after="0"/>
              <w:rPr>
                <w:sz w:val="13"/>
                <w:szCs w:val="13"/>
                <w:color w:val="auto"/>
              </w:rPr>
            </w:pPr>
          </w:p>
        </w:tc>
        <w:tc>
          <w:tcPr>
            <w:tcW w:w="1480" w:type="dxa"/>
            <w:vAlign w:val="bottom"/>
          </w:tcPr>
          <w:p>
            <w:pPr>
              <w:jc w:val="right"/>
              <w:ind w:right="103"/>
              <w:spacing w:after="0"/>
              <w:rPr>
                <w:sz w:val="20"/>
                <w:szCs w:val="20"/>
                <w:color w:val="auto"/>
              </w:rPr>
            </w:pPr>
            <w:r>
              <w:rPr>
                <w:rFonts w:ascii="Arial" w:cs="Arial" w:eastAsia="Arial" w:hAnsi="Arial"/>
                <w:sz w:val="11"/>
                <w:szCs w:val="11"/>
                <w:color w:val="auto"/>
              </w:rPr>
              <w:t>6.02</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5,410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126,473</w:t>
            </w:r>
          </w:p>
        </w:tc>
        <w:tc>
          <w:tcPr>
            <w:tcW w:w="80" w:type="dxa"/>
            <w:vAlign w:val="bottom"/>
          </w:tcPr>
          <w:p>
            <w:pPr>
              <w:spacing w:after="0"/>
              <w:rPr>
                <w:sz w:val="13"/>
                <w:szCs w:val="13"/>
                <w:color w:val="auto"/>
              </w:rPr>
            </w:pP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4.28</w:t>
            </w:r>
          </w:p>
        </w:tc>
        <w:tc>
          <w:tcPr>
            <w:tcW w:w="0" w:type="dxa"/>
            <w:vAlign w:val="bottom"/>
          </w:tcPr>
          <w:p>
            <w:pPr>
              <w:spacing w:after="0"/>
              <w:rPr>
                <w:sz w:val="1"/>
                <w:szCs w:val="1"/>
                <w:color w:val="auto"/>
              </w:rPr>
            </w:pPr>
          </w:p>
        </w:tc>
      </w:tr>
      <w:tr>
        <w:trPr>
          <w:trHeight w:val="162"/>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consumer</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1,928</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815</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640" w:type="dxa"/>
            <w:vAlign w:val="bottom"/>
          </w:tcPr>
          <w:p>
            <w:pPr>
              <w:ind w:left="180"/>
              <w:spacing w:after="0"/>
              <w:rPr>
                <w:sz w:val="20"/>
                <w:szCs w:val="20"/>
                <w:color w:val="auto"/>
              </w:rPr>
            </w:pPr>
            <w:r>
              <w:rPr>
                <w:rFonts w:ascii="Arial" w:cs="Arial" w:eastAsia="Arial" w:hAnsi="Arial"/>
                <w:sz w:val="11"/>
                <w:szCs w:val="11"/>
                <w:color w:val="auto"/>
              </w:rPr>
              <w:t>Total</w:t>
            </w: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8,473</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1,815,595</w:t>
            </w:r>
          </w:p>
        </w:tc>
        <w:tc>
          <w:tcPr>
            <w:tcW w:w="100" w:type="dxa"/>
            <w:vAlign w:val="bottom"/>
          </w:tcPr>
          <w:p>
            <w:pPr>
              <w:spacing w:after="0"/>
              <w:rPr>
                <w:sz w:val="12"/>
                <w:szCs w:val="1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0.47 %</w:t>
            </w:r>
          </w:p>
        </w:tc>
        <w:tc>
          <w:tcPr>
            <w:tcW w:w="2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5,427</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1,579,661</w:t>
            </w:r>
          </w:p>
        </w:tc>
        <w:tc>
          <w:tcPr>
            <w:tcW w:w="80" w:type="dxa"/>
            <w:vAlign w:val="bottom"/>
          </w:tcPr>
          <w:p>
            <w:pPr>
              <w:spacing w:after="0"/>
              <w:rPr>
                <w:sz w:val="12"/>
                <w:szCs w:val="1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0.34 %</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the loan portfolio and ACL review processes continue to evolve, there may be changes to elements of the allowance and this may influence the overall level of the allowance maintained. Historically, the Bank has enjoyed a high-quality loan portfolio with relatively low levels of net charge-offs and low delinquency rates. The maintenance of a high-quality portfolio will continue to be a priority.</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Although we believe we have established our ACL in accordance with GAAP and that the ACL is currently adequate to provide for known and inherent losses in the portfolio at all times shown above, future provisions for credit losses will be subject to ongoing evaluations of the risks in our loan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auto"/>
        </w:rPr>
        <w:t>The following table shows the allocation of the ACL among loan categories as of the dates indicated. The total allowance is available to absorb losses from any loan category.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8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1"/>
                <w:szCs w:val="11"/>
                <w:b w:val="1"/>
                <w:bCs w:val="1"/>
                <w:color w:val="auto"/>
              </w:rPr>
              <w:t>December 31,</w:t>
            </w:r>
          </w:p>
        </w:tc>
        <w:tc>
          <w:tcPr>
            <w:tcW w:w="1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r>
      <w:tr>
        <w:trPr>
          <w:trHeight w:val="150"/>
        </w:trPr>
        <w:tc>
          <w:tcPr>
            <w:tcW w:w="38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1"/>
                <w:szCs w:val="11"/>
                <w:b w:val="1"/>
                <w:bCs w:val="1"/>
                <w:color w:val="auto"/>
              </w:rPr>
              <w:t>2023</w:t>
            </w:r>
          </w:p>
        </w:tc>
        <w:tc>
          <w:tcPr>
            <w:tcW w:w="1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1663"/>
              <w:spacing w:after="0"/>
              <w:rPr>
                <w:sz w:val="20"/>
                <w:szCs w:val="20"/>
                <w:color w:val="auto"/>
              </w:rPr>
            </w:pPr>
            <w:r>
              <w:rPr>
                <w:rFonts w:ascii="Arial" w:cs="Arial" w:eastAsia="Arial" w:hAnsi="Arial"/>
                <w:sz w:val="11"/>
                <w:szCs w:val="11"/>
                <w:b w:val="1"/>
                <w:bCs w:val="1"/>
                <w:color w:val="auto"/>
                <w:w w:val="97"/>
              </w:rPr>
              <w:t>2022</w:t>
            </w:r>
          </w:p>
        </w:tc>
      </w:tr>
      <w:tr>
        <w:trPr>
          <w:trHeight w:val="150"/>
        </w:trPr>
        <w:tc>
          <w:tcPr>
            <w:tcW w:w="386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360" w:type="dxa"/>
            <w:vAlign w:val="bottom"/>
          </w:tcPr>
          <w:p>
            <w:pPr>
              <w:spacing w:after="0"/>
              <w:rPr>
                <w:sz w:val="13"/>
                <w:szCs w:val="13"/>
                <w:color w:val="auto"/>
              </w:rPr>
            </w:pPr>
          </w:p>
        </w:tc>
        <w:tc>
          <w:tcPr>
            <w:tcW w:w="1840" w:type="dxa"/>
            <w:vAlign w:val="bottom"/>
            <w:gridSpan w:val="3"/>
          </w:tcPr>
          <w:p>
            <w:pPr>
              <w:jc w:val="right"/>
              <w:ind w:right="1140"/>
              <w:spacing w:after="0"/>
              <w:rPr>
                <w:sz w:val="20"/>
                <w:szCs w:val="20"/>
                <w:color w:val="auto"/>
              </w:rPr>
            </w:pPr>
            <w:r>
              <w:rPr>
                <w:rFonts w:ascii="Arial" w:cs="Arial" w:eastAsia="Arial" w:hAnsi="Arial"/>
                <w:sz w:val="11"/>
                <w:szCs w:val="11"/>
                <w:b w:val="1"/>
                <w:bCs w:val="1"/>
                <w:color w:val="auto"/>
              </w:rPr>
              <w:t>Amount</w:t>
            </w:r>
          </w:p>
        </w:tc>
        <w:tc>
          <w:tcPr>
            <w:tcW w:w="1540" w:type="dxa"/>
            <w:vAlign w:val="bottom"/>
            <w:gridSpan w:val="2"/>
          </w:tcPr>
          <w:p>
            <w:pPr>
              <w:ind w:left="280"/>
              <w:spacing w:after="0" w:line="150" w:lineRule="exact"/>
              <w:rPr>
                <w:sz w:val="20"/>
                <w:szCs w:val="20"/>
                <w:color w:val="auto"/>
              </w:rPr>
            </w:pPr>
            <w:r>
              <w:rPr>
                <w:rFonts w:ascii="Arial" w:cs="Arial" w:eastAsia="Arial" w:hAnsi="Arial"/>
                <w:sz w:val="11"/>
                <w:szCs w:val="11"/>
                <w:b w:val="1"/>
                <w:bCs w:val="1"/>
                <w:color w:val="auto"/>
              </w:rPr>
              <w:t>Percent</w:t>
            </w:r>
            <w:r>
              <w:rPr>
                <w:rFonts w:ascii="Arial" w:cs="Arial" w:eastAsia="Arial" w:hAnsi="Arial"/>
                <w:sz w:val="14"/>
                <w:szCs w:val="14"/>
                <w:b w:val="1"/>
                <w:bCs w:val="1"/>
                <w:color w:val="auto"/>
                <w:vertAlign w:val="superscript"/>
              </w:rPr>
              <w:t>(1)</w:t>
            </w:r>
          </w:p>
        </w:tc>
        <w:tc>
          <w:tcPr>
            <w:tcW w:w="500" w:type="dxa"/>
            <w:vAlign w:val="bottom"/>
          </w:tcPr>
          <w:p>
            <w:pPr>
              <w:spacing w:after="0"/>
              <w:rPr>
                <w:sz w:val="13"/>
                <w:szCs w:val="13"/>
                <w:color w:val="auto"/>
              </w:rPr>
            </w:pPr>
          </w:p>
        </w:tc>
        <w:tc>
          <w:tcPr>
            <w:tcW w:w="1200" w:type="dxa"/>
            <w:vAlign w:val="bottom"/>
          </w:tcPr>
          <w:p>
            <w:pPr>
              <w:jc w:val="right"/>
              <w:ind w:right="563"/>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tcPr>
          <w:p>
            <w:pPr>
              <w:jc w:val="right"/>
              <w:ind w:right="603"/>
              <w:spacing w:after="0" w:line="150" w:lineRule="exact"/>
              <w:rPr>
                <w:sz w:val="20"/>
                <w:szCs w:val="20"/>
                <w:color w:val="auto"/>
              </w:rPr>
            </w:pPr>
            <w:r>
              <w:rPr>
                <w:rFonts w:ascii="Arial" w:cs="Arial" w:eastAsia="Arial" w:hAnsi="Arial"/>
                <w:sz w:val="11"/>
                <w:szCs w:val="11"/>
                <w:b w:val="1"/>
                <w:bCs w:val="1"/>
                <w:color w:val="auto"/>
              </w:rPr>
              <w:t>Percent</w:t>
            </w:r>
            <w:r>
              <w:rPr>
                <w:rFonts w:ascii="Arial" w:cs="Arial" w:eastAsia="Arial" w:hAnsi="Arial"/>
                <w:sz w:val="14"/>
                <w:szCs w:val="14"/>
                <w:b w:val="1"/>
                <w:bCs w:val="1"/>
                <w:color w:val="auto"/>
                <w:vertAlign w:val="superscript"/>
              </w:rPr>
              <w:t>(1)</w:t>
            </w:r>
          </w:p>
        </w:tc>
      </w:tr>
      <w:tr>
        <w:trPr>
          <w:trHeight w:val="139"/>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Real estate:</w:t>
            </w:r>
          </w:p>
        </w:tc>
        <w:tc>
          <w:tcPr>
            <w:tcW w:w="36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spacing w:after="0"/>
              <w:rPr>
                <w:sz w:val="12"/>
                <w:szCs w:val="12"/>
                <w:color w:val="auto"/>
              </w:rPr>
            </w:pPr>
          </w:p>
        </w:tc>
      </w:tr>
      <w:tr>
        <w:trPr>
          <w:trHeight w:val="159"/>
        </w:trPr>
        <w:tc>
          <w:tcPr>
            <w:tcW w:w="3860" w:type="dxa"/>
            <w:vAlign w:val="bottom"/>
          </w:tcPr>
          <w:p>
            <w:pPr>
              <w:ind w:left="140"/>
              <w:spacing w:after="0"/>
              <w:rPr>
                <w:sz w:val="20"/>
                <w:szCs w:val="20"/>
                <w:color w:val="auto"/>
              </w:rPr>
            </w:pPr>
            <w:r>
              <w:rPr>
                <w:rFonts w:ascii="Arial" w:cs="Arial" w:eastAsia="Arial" w:hAnsi="Arial"/>
                <w:sz w:val="11"/>
                <w:szCs w:val="11"/>
                <w:color w:val="auto"/>
              </w:rPr>
              <w:t>Residential</w:t>
            </w:r>
          </w:p>
        </w:tc>
        <w:tc>
          <w:tcPr>
            <w:tcW w:w="360" w:type="dxa"/>
            <w:vAlign w:val="bottom"/>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360" w:type="dxa"/>
            <w:vAlign w:val="bottom"/>
          </w:tcPr>
          <w:p>
            <w:pPr>
              <w:jc w:val="right"/>
              <w:ind w:right="3"/>
              <w:spacing w:after="0"/>
              <w:rPr>
                <w:sz w:val="20"/>
                <w:szCs w:val="20"/>
                <w:color w:val="auto"/>
              </w:rPr>
            </w:pPr>
            <w:r>
              <w:rPr>
                <w:rFonts w:ascii="Arial" w:cs="Arial" w:eastAsia="Arial" w:hAnsi="Arial"/>
                <w:sz w:val="11"/>
                <w:szCs w:val="11"/>
                <w:b w:val="1"/>
                <w:bCs w:val="1"/>
                <w:color w:val="auto"/>
              </w:rPr>
              <w:t>5,518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19 %</w:t>
            </w:r>
          </w:p>
        </w:tc>
        <w:tc>
          <w:tcPr>
            <w:tcW w:w="100" w:type="dxa"/>
            <w:vAlign w:val="bottom"/>
          </w:tcPr>
          <w:p>
            <w:pPr>
              <w:spacing w:after="0"/>
              <w:rPr>
                <w:sz w:val="13"/>
                <w:szCs w:val="13"/>
                <w:color w:val="auto"/>
              </w:rPr>
            </w:pPr>
          </w:p>
        </w:tc>
        <w:tc>
          <w:tcPr>
            <w:tcW w:w="500" w:type="dxa"/>
            <w:vAlign w:val="bottom"/>
          </w:tcPr>
          <w:p>
            <w:pPr>
              <w:jc w:val="right"/>
              <w:ind w:right="36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5,481</w:t>
            </w:r>
          </w:p>
        </w:tc>
        <w:tc>
          <w:tcPr>
            <w:tcW w:w="1980" w:type="dxa"/>
            <w:vAlign w:val="bottom"/>
            <w:gridSpan w:val="3"/>
          </w:tcPr>
          <w:p>
            <w:pPr>
              <w:jc w:val="right"/>
              <w:spacing w:after="0"/>
              <w:rPr>
                <w:sz w:val="20"/>
                <w:szCs w:val="20"/>
                <w:color w:val="auto"/>
              </w:rPr>
            </w:pPr>
            <w:r>
              <w:rPr>
                <w:rFonts w:ascii="Arial" w:cs="Arial" w:eastAsia="Arial" w:hAnsi="Arial"/>
                <w:sz w:val="11"/>
                <w:szCs w:val="11"/>
                <w:color w:val="auto"/>
              </w:rPr>
              <w:t>21 %</w:t>
            </w:r>
          </w:p>
        </w:tc>
      </w:tr>
      <w:tr>
        <w:trPr>
          <w:trHeight w:val="159"/>
        </w:trPr>
        <w:tc>
          <w:tcPr>
            <w:tcW w:w="38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Commercial</w:t>
            </w:r>
          </w:p>
        </w:tc>
        <w:tc>
          <w:tcPr>
            <w:tcW w:w="3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10,316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36</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8,098</w:t>
            </w:r>
          </w:p>
        </w:tc>
        <w:tc>
          <w:tcPr>
            <w:tcW w:w="1980" w:type="dxa"/>
            <w:vAlign w:val="bottom"/>
            <w:gridSpan w:val="3"/>
            <w:shd w:val="clear" w:color="auto" w:fill="CCEEFF"/>
          </w:tcPr>
          <w:p>
            <w:pPr>
              <w:jc w:val="right"/>
              <w:ind w:right="83"/>
              <w:spacing w:after="0"/>
              <w:rPr>
                <w:sz w:val="20"/>
                <w:szCs w:val="20"/>
                <w:color w:val="auto"/>
              </w:rPr>
            </w:pPr>
            <w:r>
              <w:rPr>
                <w:rFonts w:ascii="Arial" w:cs="Arial" w:eastAsia="Arial" w:hAnsi="Arial"/>
                <w:sz w:val="11"/>
                <w:szCs w:val="11"/>
                <w:color w:val="auto"/>
              </w:rPr>
              <w:t>31</w:t>
            </w:r>
          </w:p>
        </w:tc>
      </w:tr>
      <w:tr>
        <w:trPr>
          <w:trHeight w:val="159"/>
        </w:trPr>
        <w:tc>
          <w:tcPr>
            <w:tcW w:w="3860" w:type="dxa"/>
            <w:vAlign w:val="bottom"/>
          </w:tcPr>
          <w:p>
            <w:pPr>
              <w:ind w:left="140"/>
              <w:spacing w:after="0"/>
              <w:rPr>
                <w:sz w:val="20"/>
                <w:szCs w:val="20"/>
                <w:color w:val="auto"/>
              </w:rPr>
            </w:pPr>
            <w:r>
              <w:rPr>
                <w:rFonts w:ascii="Arial" w:cs="Arial" w:eastAsia="Arial" w:hAnsi="Arial"/>
                <w:sz w:val="11"/>
                <w:szCs w:val="11"/>
                <w:color w:val="auto"/>
              </w:rPr>
              <w:t>Construction</w:t>
            </w:r>
          </w:p>
        </w:tc>
        <w:tc>
          <w:tcPr>
            <w:tcW w:w="360" w:type="dxa"/>
            <w:vAlign w:val="bottom"/>
          </w:tcPr>
          <w:p>
            <w:pPr>
              <w:spacing w:after="0"/>
              <w:rPr>
                <w:sz w:val="13"/>
                <w:szCs w:val="13"/>
                <w:color w:val="auto"/>
              </w:rPr>
            </w:pPr>
          </w:p>
        </w:tc>
        <w:tc>
          <w:tcPr>
            <w:tcW w:w="1360" w:type="dxa"/>
            <w:vAlign w:val="bottom"/>
          </w:tcPr>
          <w:p>
            <w:pPr>
              <w:jc w:val="right"/>
              <w:ind w:right="3"/>
              <w:spacing w:after="0"/>
              <w:rPr>
                <w:sz w:val="20"/>
                <w:szCs w:val="20"/>
                <w:color w:val="auto"/>
              </w:rPr>
            </w:pPr>
            <w:r>
              <w:rPr>
                <w:rFonts w:ascii="Arial" w:cs="Arial" w:eastAsia="Arial" w:hAnsi="Arial"/>
                <w:sz w:val="11"/>
                <w:szCs w:val="11"/>
                <w:b w:val="1"/>
                <w:bCs w:val="1"/>
                <w:color w:val="auto"/>
              </w:rPr>
              <w:t>2,271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jc w:val="right"/>
              <w:ind w:right="103"/>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3,782</w:t>
            </w:r>
          </w:p>
        </w:tc>
        <w:tc>
          <w:tcPr>
            <w:tcW w:w="1980" w:type="dxa"/>
            <w:vAlign w:val="bottom"/>
            <w:gridSpan w:val="3"/>
          </w:tcPr>
          <w:p>
            <w:pPr>
              <w:jc w:val="right"/>
              <w:ind w:right="83"/>
              <w:spacing w:after="0"/>
              <w:rPr>
                <w:sz w:val="20"/>
                <w:szCs w:val="20"/>
                <w:color w:val="auto"/>
              </w:rPr>
            </w:pPr>
            <w:r>
              <w:rPr>
                <w:rFonts w:ascii="Arial" w:cs="Arial" w:eastAsia="Arial" w:hAnsi="Arial"/>
                <w:sz w:val="11"/>
                <w:szCs w:val="11"/>
                <w:color w:val="auto"/>
              </w:rPr>
              <w:t>14</w:t>
            </w:r>
          </w:p>
        </w:tc>
      </w:tr>
      <w:tr>
        <w:trPr>
          <w:trHeight w:val="159"/>
        </w:trPr>
        <w:tc>
          <w:tcPr>
            <w:tcW w:w="3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Commercial and Industrial</w:t>
            </w:r>
          </w:p>
        </w:tc>
        <w:tc>
          <w:tcPr>
            <w:tcW w:w="3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4,406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2,935</w:t>
            </w:r>
          </w:p>
        </w:tc>
        <w:tc>
          <w:tcPr>
            <w:tcW w:w="1980" w:type="dxa"/>
            <w:vAlign w:val="bottom"/>
            <w:gridSpan w:val="3"/>
            <w:shd w:val="clear" w:color="auto" w:fill="CCEEFF"/>
          </w:tcPr>
          <w:p>
            <w:pPr>
              <w:jc w:val="right"/>
              <w:ind w:right="83"/>
              <w:spacing w:after="0"/>
              <w:rPr>
                <w:sz w:val="20"/>
                <w:szCs w:val="20"/>
                <w:color w:val="auto"/>
              </w:rPr>
            </w:pPr>
            <w:r>
              <w:rPr>
                <w:rFonts w:ascii="Arial" w:cs="Arial" w:eastAsia="Arial" w:hAnsi="Arial"/>
                <w:sz w:val="11"/>
                <w:szCs w:val="11"/>
                <w:color w:val="auto"/>
              </w:rPr>
              <w:t>11</w:t>
            </w:r>
          </w:p>
        </w:tc>
      </w:tr>
      <w:tr>
        <w:trPr>
          <w:trHeight w:val="159"/>
        </w:trPr>
        <w:tc>
          <w:tcPr>
            <w:tcW w:w="3860" w:type="dxa"/>
            <w:vAlign w:val="bottom"/>
          </w:tcPr>
          <w:p>
            <w:pPr>
              <w:ind w:left="20"/>
              <w:spacing w:after="0"/>
              <w:rPr>
                <w:sz w:val="20"/>
                <w:szCs w:val="20"/>
                <w:color w:val="auto"/>
              </w:rPr>
            </w:pPr>
            <w:r>
              <w:rPr>
                <w:rFonts w:ascii="Arial" w:cs="Arial" w:eastAsia="Arial" w:hAnsi="Arial"/>
                <w:sz w:val="11"/>
                <w:szCs w:val="11"/>
                <w:color w:val="auto"/>
              </w:rPr>
              <w:t>Credit card</w:t>
            </w:r>
          </w:p>
        </w:tc>
        <w:tc>
          <w:tcPr>
            <w:tcW w:w="360" w:type="dxa"/>
            <w:vAlign w:val="bottom"/>
          </w:tcPr>
          <w:p>
            <w:pPr>
              <w:spacing w:after="0"/>
              <w:rPr>
                <w:sz w:val="13"/>
                <w:szCs w:val="13"/>
                <w:color w:val="auto"/>
              </w:rPr>
            </w:pPr>
          </w:p>
        </w:tc>
        <w:tc>
          <w:tcPr>
            <w:tcW w:w="1360" w:type="dxa"/>
            <w:vAlign w:val="bottom"/>
          </w:tcPr>
          <w:p>
            <w:pPr>
              <w:jc w:val="right"/>
              <w:ind w:right="3"/>
              <w:spacing w:after="0"/>
              <w:rPr>
                <w:sz w:val="20"/>
                <w:szCs w:val="20"/>
                <w:color w:val="auto"/>
              </w:rPr>
            </w:pPr>
            <w:r>
              <w:rPr>
                <w:rFonts w:ascii="Arial" w:cs="Arial" w:eastAsia="Arial" w:hAnsi="Arial"/>
                <w:sz w:val="11"/>
                <w:szCs w:val="11"/>
                <w:b w:val="1"/>
                <w:bCs w:val="1"/>
                <w:color w:val="auto"/>
              </w:rPr>
              <w:t>6,087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jc w:val="right"/>
              <w:ind w:right="103"/>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6,078</w:t>
            </w:r>
          </w:p>
        </w:tc>
        <w:tc>
          <w:tcPr>
            <w:tcW w:w="1980" w:type="dxa"/>
            <w:vAlign w:val="bottom"/>
            <w:gridSpan w:val="3"/>
          </w:tcPr>
          <w:p>
            <w:pPr>
              <w:jc w:val="right"/>
              <w:ind w:right="83"/>
              <w:spacing w:after="0"/>
              <w:rPr>
                <w:sz w:val="20"/>
                <w:szCs w:val="20"/>
                <w:color w:val="auto"/>
              </w:rPr>
            </w:pPr>
            <w:r>
              <w:rPr>
                <w:rFonts w:ascii="Arial" w:cs="Arial" w:eastAsia="Arial" w:hAnsi="Arial"/>
                <w:sz w:val="11"/>
                <w:szCs w:val="11"/>
                <w:color w:val="auto"/>
              </w:rPr>
              <w:t>23</w:t>
            </w:r>
          </w:p>
        </w:tc>
      </w:tr>
      <w:tr>
        <w:trPr>
          <w:trHeight w:val="159"/>
        </w:trPr>
        <w:tc>
          <w:tcPr>
            <w:tcW w:w="3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consumer</w:t>
            </w:r>
          </w:p>
        </w:tc>
        <w:tc>
          <w:tcPr>
            <w:tcW w:w="3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0"/>
        </w:trPr>
        <w:tc>
          <w:tcPr>
            <w:tcW w:w="3860" w:type="dxa"/>
            <w:vAlign w:val="bottom"/>
          </w:tcPr>
          <w:p>
            <w:pPr>
              <w:ind w:left="140"/>
              <w:spacing w:after="0"/>
              <w:rPr>
                <w:sz w:val="20"/>
                <w:szCs w:val="20"/>
                <w:color w:val="auto"/>
              </w:rPr>
            </w:pPr>
            <w:r>
              <w:rPr>
                <w:rFonts w:ascii="Arial" w:cs="Arial" w:eastAsia="Arial" w:hAnsi="Arial"/>
                <w:sz w:val="11"/>
                <w:szCs w:val="11"/>
                <w:color w:val="auto"/>
              </w:rPr>
              <w:t>Total allowance for credit losses</w:t>
            </w:r>
          </w:p>
        </w:tc>
        <w:tc>
          <w:tcPr>
            <w:tcW w:w="360" w:type="dxa"/>
            <w:vAlign w:val="bottom"/>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360" w:type="dxa"/>
            <w:vAlign w:val="bottom"/>
          </w:tcPr>
          <w:p>
            <w:pPr>
              <w:jc w:val="right"/>
              <w:ind w:right="3"/>
              <w:spacing w:after="0"/>
              <w:rPr>
                <w:sz w:val="20"/>
                <w:szCs w:val="20"/>
                <w:color w:val="auto"/>
              </w:rPr>
            </w:pPr>
            <w:r>
              <w:rPr>
                <w:rFonts w:ascii="Arial" w:cs="Arial" w:eastAsia="Arial" w:hAnsi="Arial"/>
                <w:sz w:val="11"/>
                <w:szCs w:val="11"/>
                <w:b w:val="1"/>
                <w:bCs w:val="1"/>
                <w:color w:val="auto"/>
              </w:rPr>
              <w:t>28,610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100 %</w:t>
            </w:r>
          </w:p>
        </w:tc>
        <w:tc>
          <w:tcPr>
            <w:tcW w:w="100" w:type="dxa"/>
            <w:vAlign w:val="bottom"/>
          </w:tcPr>
          <w:p>
            <w:pPr>
              <w:spacing w:after="0"/>
              <w:rPr>
                <w:sz w:val="13"/>
                <w:szCs w:val="13"/>
                <w:color w:val="auto"/>
              </w:rPr>
            </w:pPr>
          </w:p>
        </w:tc>
        <w:tc>
          <w:tcPr>
            <w:tcW w:w="500" w:type="dxa"/>
            <w:vAlign w:val="bottom"/>
          </w:tcPr>
          <w:p>
            <w:pPr>
              <w:jc w:val="right"/>
              <w:ind w:right="36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26,385</w:t>
            </w:r>
          </w:p>
        </w:tc>
        <w:tc>
          <w:tcPr>
            <w:tcW w:w="1980" w:type="dxa"/>
            <w:vAlign w:val="bottom"/>
            <w:gridSpan w:val="3"/>
          </w:tcPr>
          <w:p>
            <w:pPr>
              <w:jc w:val="right"/>
              <w:spacing w:after="0"/>
              <w:rPr>
                <w:sz w:val="20"/>
                <w:szCs w:val="20"/>
                <w:color w:val="auto"/>
              </w:rPr>
            </w:pPr>
            <w:r>
              <w:rPr>
                <w:rFonts w:ascii="Arial" w:cs="Arial" w:eastAsia="Arial" w:hAnsi="Arial"/>
                <w:sz w:val="11"/>
                <w:szCs w:val="11"/>
                <w:color w:val="auto"/>
              </w:rPr>
              <w:t>100 %</w:t>
            </w:r>
          </w:p>
        </w:tc>
      </w:tr>
      <w:tr>
        <w:trPr>
          <w:trHeight w:val="20"/>
        </w:trPr>
        <w:tc>
          <w:tcPr>
            <w:tcW w:w="3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160" w:hanging="155"/>
        <w:spacing w:after="0" w:line="230" w:lineRule="auto"/>
        <w:tabs>
          <w:tab w:leader="none" w:pos="160" w:val="left"/>
        </w:tabs>
        <w:numPr>
          <w:ilvl w:val="0"/>
          <w:numId w:val="15"/>
        </w:numPr>
        <w:rPr>
          <w:rFonts w:ascii="Arial" w:cs="Arial" w:eastAsia="Arial" w:hAnsi="Arial"/>
          <w:sz w:val="15"/>
          <w:szCs w:val="15"/>
          <w:color w:val="auto"/>
          <w:vertAlign w:val="superscript"/>
        </w:rPr>
      </w:pPr>
      <w:r>
        <w:rPr>
          <w:rFonts w:ascii="Arial" w:cs="Arial" w:eastAsia="Arial" w:hAnsi="Arial"/>
          <w:sz w:val="11"/>
          <w:szCs w:val="11"/>
          <w:color w:val="auto"/>
        </w:rPr>
        <w:t>Loan category as a percentage of total portfolio loans which excludes SBA-PPP loans.</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Total Liabilities</w:t>
      </w:r>
    </w:p>
    <w:p>
      <w:pPr>
        <w:spacing w:after="0" w:line="177" w:lineRule="exact"/>
        <w:rPr>
          <w:sz w:val="20"/>
          <w:szCs w:val="20"/>
          <w:color w:val="auto"/>
        </w:rPr>
      </w:pPr>
    </w:p>
    <w:p>
      <w:pPr>
        <w:jc w:val="both"/>
        <w:ind w:right="40"/>
        <w:spacing w:after="0" w:line="290" w:lineRule="auto"/>
        <w:rPr>
          <w:sz w:val="20"/>
          <w:szCs w:val="20"/>
          <w:color w:val="auto"/>
        </w:rPr>
      </w:pPr>
      <w:r>
        <w:rPr>
          <w:rFonts w:ascii="Arial" w:cs="Arial" w:eastAsia="Arial" w:hAnsi="Arial"/>
          <w:sz w:val="14"/>
          <w:szCs w:val="14"/>
          <w:color w:val="auto"/>
        </w:rPr>
        <w:t>Total liabilities at December 31, 2023 increased $71.7 million from December 31, 2022, primarily due to growth in the deposit portfolio of $137.9 million, partially offset by an $85.0 million reduction in FHLB advances.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Deposits</w:t>
      </w:r>
    </w:p>
    <w:p>
      <w:pPr>
        <w:spacing w:after="0" w:line="177" w:lineRule="exact"/>
        <w:rPr>
          <w:sz w:val="20"/>
          <w:szCs w:val="20"/>
          <w:color w:val="auto"/>
        </w:rPr>
      </w:pPr>
    </w:p>
    <w:p>
      <w:pPr>
        <w:jc w:val="both"/>
        <w:ind w:right="40"/>
        <w:spacing w:after="0" w:line="265" w:lineRule="auto"/>
        <w:rPr>
          <w:sz w:val="20"/>
          <w:szCs w:val="20"/>
          <w:color w:val="auto"/>
        </w:rPr>
      </w:pPr>
      <w:r>
        <w:rPr>
          <w:rFonts w:ascii="Arial" w:cs="Arial" w:eastAsia="Arial" w:hAnsi="Arial"/>
          <w:sz w:val="14"/>
          <w:szCs w:val="14"/>
          <w:color w:val="auto"/>
        </w:rPr>
        <w:t>Deposits are a major source of funding for the Company. We offer a variety of deposit products including interest-bearing demand, savings, money market and time accounts, all of which we actively market at competitive pricing. We generate deposits from our customers on a relationship basis and through the efforts of our commercial and business banking officers. Our credit card customers are a significant source of low cost deposits. As of December 31, 2023 and December 31, 2022, our credit card customers accounted for $173.9 million and $187.4 million, or 28.2% and 27.8%, respectively, of our total noninterest-bearing deposit balances.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Major categories of interest-bearing deposits are as follows: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Interest-Bearing Deposits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At December 31, 2023</w:t>
            </w:r>
          </w:p>
        </w:tc>
        <w:tc>
          <w:tcPr>
            <w:tcW w:w="1240" w:type="dxa"/>
            <w:vAlign w:val="bottom"/>
            <w:tcBorders>
              <w:bottom w:val="single" w:sz="8" w:color="auto"/>
            </w:tcBorders>
          </w:tcPr>
          <w:p>
            <w:pPr>
              <w:spacing w:after="0"/>
              <w:rPr>
                <w:sz w:val="14"/>
                <w:szCs w:val="14"/>
                <w:color w:val="auto"/>
              </w:rPr>
            </w:pPr>
          </w:p>
        </w:tc>
      </w:tr>
      <w:tr>
        <w:trPr>
          <w:trHeight w:val="16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b w:val="1"/>
                <w:bCs w:val="1"/>
                <w:color w:val="auto"/>
              </w:rPr>
              <w:t>2023</w:t>
            </w:r>
          </w:p>
        </w:tc>
        <w:tc>
          <w:tcPr>
            <w:tcW w:w="1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r>
      <w:tr>
        <w:trPr>
          <w:trHeight w:val="160"/>
        </w:trPr>
        <w:tc>
          <w:tcPr>
            <w:tcW w:w="7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Interest-bearing demand accounts</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199,308</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207,836</w:t>
            </w:r>
          </w:p>
        </w:tc>
      </w:tr>
      <w:tr>
        <w:trPr>
          <w:trHeight w:val="170"/>
        </w:trPr>
        <w:tc>
          <w:tcPr>
            <w:tcW w:w="7240" w:type="dxa"/>
            <w:vAlign w:val="bottom"/>
          </w:tcPr>
          <w:p>
            <w:pPr>
              <w:ind w:left="20"/>
              <w:spacing w:after="0"/>
              <w:rPr>
                <w:sz w:val="20"/>
                <w:szCs w:val="20"/>
                <w:color w:val="auto"/>
              </w:rPr>
            </w:pPr>
            <w:r>
              <w:rPr>
                <w:rFonts w:ascii="Arial" w:cs="Arial" w:eastAsia="Arial" w:hAnsi="Arial"/>
                <w:sz w:val="13"/>
                <w:szCs w:val="13"/>
                <w:color w:val="auto"/>
              </w:rPr>
              <w:t>Money market accounts</w:t>
            </w:r>
          </w:p>
        </w:tc>
        <w:tc>
          <w:tcPr>
            <w:tcW w:w="4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663,129</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574,978</w:t>
            </w:r>
          </w:p>
        </w:tc>
      </w:tr>
      <w:tr>
        <w:trPr>
          <w:trHeight w:val="170"/>
        </w:trPr>
        <w:tc>
          <w:tcPr>
            <w:tcW w:w="7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Savings</w:t>
            </w: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5,211</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7,530</w:t>
            </w:r>
          </w:p>
        </w:tc>
      </w:tr>
      <w:tr>
        <w:trPr>
          <w:trHeight w:val="170"/>
        </w:trPr>
        <w:tc>
          <w:tcPr>
            <w:tcW w:w="7240" w:type="dxa"/>
            <w:vAlign w:val="bottom"/>
          </w:tcPr>
          <w:p>
            <w:pPr>
              <w:ind w:left="20"/>
              <w:spacing w:after="0"/>
              <w:rPr>
                <w:sz w:val="20"/>
                <w:szCs w:val="20"/>
                <w:color w:val="auto"/>
              </w:rPr>
            </w:pPr>
            <w:r>
              <w:rPr>
                <w:rFonts w:ascii="Arial" w:cs="Arial" w:eastAsia="Arial" w:hAnsi="Arial"/>
                <w:sz w:val="13"/>
                <w:szCs w:val="13"/>
                <w:color w:val="auto"/>
              </w:rPr>
              <w:t>Certificates of deposit of $250,000 or more</w:t>
            </w:r>
          </w:p>
        </w:tc>
        <w:tc>
          <w:tcPr>
            <w:tcW w:w="4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124,747</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96,291</w:t>
            </w:r>
          </w:p>
        </w:tc>
      </w:tr>
      <w:tr>
        <w:trPr>
          <w:trHeight w:val="170"/>
        </w:trPr>
        <w:tc>
          <w:tcPr>
            <w:tcW w:w="7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time deposits</w:t>
            </w:r>
          </w:p>
        </w:tc>
        <w:tc>
          <w:tcPr>
            <w:tcW w:w="4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286,228</w:t>
            </w:r>
          </w:p>
        </w:tc>
        <w:tc>
          <w:tcPr>
            <w:tcW w:w="1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197,124</w:t>
            </w:r>
          </w:p>
        </w:tc>
      </w:tr>
      <w:tr>
        <w:trPr>
          <w:trHeight w:val="160"/>
        </w:trPr>
        <w:tc>
          <w:tcPr>
            <w:tcW w:w="7240" w:type="dxa"/>
            <w:vAlign w:val="bottom"/>
          </w:tcPr>
          <w:p>
            <w:pPr>
              <w:ind w:left="120"/>
              <w:spacing w:after="0"/>
              <w:rPr>
                <w:sz w:val="20"/>
                <w:szCs w:val="20"/>
                <w:color w:val="auto"/>
              </w:rPr>
            </w:pPr>
            <w:r>
              <w:rPr>
                <w:rFonts w:ascii="Arial" w:cs="Arial" w:eastAsia="Arial" w:hAnsi="Arial"/>
                <w:sz w:val="13"/>
                <w:szCs w:val="13"/>
                <w:color w:val="auto"/>
              </w:rPr>
              <w:t>Total Interest-bearing deposits</w:t>
            </w: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1,278,623</w:t>
            </w:r>
          </w:p>
        </w:tc>
        <w:tc>
          <w:tcPr>
            <w:tcW w:w="180" w:type="dxa"/>
            <w:vAlign w:val="bottom"/>
          </w:tcPr>
          <w:p>
            <w:pPr>
              <w:spacing w:after="0"/>
              <w:rPr>
                <w:sz w:val="13"/>
                <w:szCs w:val="13"/>
                <w:color w:val="auto"/>
              </w:rPr>
            </w:pPr>
          </w:p>
        </w:tc>
        <w:tc>
          <w:tcPr>
            <w:tcW w:w="6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1,083,759</w:t>
            </w:r>
          </w:p>
        </w:tc>
      </w:tr>
      <w:tr>
        <w:trPr>
          <w:trHeight w:val="20"/>
        </w:trPr>
        <w:tc>
          <w:tcPr>
            <w:tcW w:w="7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The Company had $142.4 million in brokered deposits at December 31, 2023 compared to $131.1 million at December 31, 2022.</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Deposits securing our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card lines of credit and deposits from title companies represent the largest concentrations in the deposit portfolio. As of December 31, 2023, these concentrations represented 9% and 12% of deposits, respectively. As of December 31, 2022, these deposits represented 11% and 13% of deposits, respectively.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auto"/>
        </w:rPr>
        <w:t>The following table presents the average balances and average rates paid on deposits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9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4"/>
          </w:tcPr>
          <w:p>
            <w:pPr>
              <w:jc w:val="right"/>
              <w:ind w:right="503"/>
              <w:spacing w:after="0"/>
              <w:rPr>
                <w:sz w:val="20"/>
                <w:szCs w:val="20"/>
                <w:color w:val="auto"/>
              </w:rPr>
            </w:pPr>
            <w:r>
              <w:rPr>
                <w:rFonts w:ascii="Arial" w:cs="Arial" w:eastAsia="Arial" w:hAnsi="Arial"/>
                <w:sz w:val="11"/>
                <w:szCs w:val="11"/>
                <w:b w:val="1"/>
                <w:bCs w:val="1"/>
                <w:color w:val="auto"/>
              </w:rPr>
              <w:t>For the years Ended December 31,</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r>
      <w:tr>
        <w:trPr>
          <w:trHeight w:val="150"/>
        </w:trPr>
        <w:tc>
          <w:tcPr>
            <w:tcW w:w="49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2023</w:t>
            </w:r>
          </w:p>
        </w:tc>
        <w:tc>
          <w:tcPr>
            <w:tcW w:w="1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1363"/>
              <w:spacing w:after="0"/>
              <w:rPr>
                <w:sz w:val="20"/>
                <w:szCs w:val="20"/>
                <w:color w:val="auto"/>
              </w:rPr>
            </w:pPr>
            <w:r>
              <w:rPr>
                <w:rFonts w:ascii="Arial" w:cs="Arial" w:eastAsia="Arial" w:hAnsi="Arial"/>
                <w:sz w:val="11"/>
                <w:szCs w:val="11"/>
                <w:b w:val="1"/>
                <w:bCs w:val="1"/>
                <w:color w:val="auto"/>
                <w:w w:val="97"/>
              </w:rPr>
              <w:t>2022</w:t>
            </w:r>
          </w:p>
        </w:tc>
      </w:tr>
      <w:tr>
        <w:trPr>
          <w:trHeight w:val="112"/>
        </w:trPr>
        <w:tc>
          <w:tcPr>
            <w:tcW w:w="4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gridSpan w:val="3"/>
          </w:tcPr>
          <w:p>
            <w:pPr>
              <w:jc w:val="right"/>
              <w:ind w:right="980"/>
              <w:spacing w:after="0" w:line="112" w:lineRule="exact"/>
              <w:rPr>
                <w:sz w:val="20"/>
                <w:szCs w:val="20"/>
                <w:color w:val="auto"/>
              </w:rPr>
            </w:pPr>
            <w:r>
              <w:rPr>
                <w:rFonts w:ascii="Arial" w:cs="Arial" w:eastAsia="Arial" w:hAnsi="Arial"/>
                <w:sz w:val="11"/>
                <w:szCs w:val="11"/>
                <w:b w:val="1"/>
                <w:bCs w:val="1"/>
                <w:color w:val="auto"/>
              </w:rPr>
              <w:t>Average</w:t>
            </w:r>
          </w:p>
        </w:tc>
        <w:tc>
          <w:tcPr>
            <w:tcW w:w="1360" w:type="dxa"/>
            <w:vAlign w:val="bottom"/>
            <w:gridSpan w:val="2"/>
          </w:tcPr>
          <w:p>
            <w:pPr>
              <w:ind w:left="220"/>
              <w:spacing w:after="0" w:line="112" w:lineRule="exact"/>
              <w:rPr>
                <w:sz w:val="20"/>
                <w:szCs w:val="20"/>
                <w:color w:val="auto"/>
              </w:rPr>
            </w:pPr>
            <w:r>
              <w:rPr>
                <w:rFonts w:ascii="Arial" w:cs="Arial" w:eastAsia="Arial" w:hAnsi="Arial"/>
                <w:sz w:val="11"/>
                <w:szCs w:val="11"/>
                <w:b w:val="1"/>
                <w:bCs w:val="1"/>
                <w:color w:val="auto"/>
              </w:rPr>
              <w:t>Average</w:t>
            </w:r>
          </w:p>
        </w:tc>
        <w:tc>
          <w:tcPr>
            <w:tcW w:w="280" w:type="dxa"/>
            <w:vAlign w:val="bottom"/>
          </w:tcPr>
          <w:p>
            <w:pPr>
              <w:spacing w:after="0"/>
              <w:rPr>
                <w:sz w:val="9"/>
                <w:szCs w:val="9"/>
                <w:color w:val="auto"/>
              </w:rPr>
            </w:pPr>
          </w:p>
        </w:tc>
        <w:tc>
          <w:tcPr>
            <w:tcW w:w="1120" w:type="dxa"/>
            <w:vAlign w:val="bottom"/>
          </w:tcPr>
          <w:p>
            <w:pPr>
              <w:jc w:val="right"/>
              <w:ind w:right="423"/>
              <w:spacing w:after="0" w:line="112" w:lineRule="exact"/>
              <w:rPr>
                <w:sz w:val="20"/>
                <w:szCs w:val="20"/>
                <w:color w:val="auto"/>
              </w:rPr>
            </w:pPr>
            <w:r>
              <w:rPr>
                <w:rFonts w:ascii="Arial" w:cs="Arial" w:eastAsia="Arial" w:hAnsi="Arial"/>
                <w:sz w:val="11"/>
                <w:szCs w:val="11"/>
                <w:b w:val="1"/>
                <w:bCs w:val="1"/>
                <w:color w:val="auto"/>
              </w:rPr>
              <w:t>Average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Average</w:t>
            </w:r>
          </w:p>
        </w:tc>
      </w:tr>
      <w:tr>
        <w:trPr>
          <w:trHeight w:val="144"/>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Balance</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1"/>
                <w:szCs w:val="11"/>
                <w:b w:val="1"/>
                <w:bCs w:val="1"/>
                <w:color w:val="auto"/>
              </w:rPr>
              <w:t>Rate</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Balance</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Rate</w:t>
            </w:r>
          </w:p>
        </w:tc>
      </w:tr>
      <w:tr>
        <w:trPr>
          <w:trHeight w:val="150"/>
        </w:trPr>
        <w:tc>
          <w:tcPr>
            <w:tcW w:w="4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Interest-bearing demand accounts</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201,194</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ind w:left="840"/>
              <w:spacing w:after="0"/>
              <w:rPr>
                <w:sz w:val="20"/>
                <w:szCs w:val="20"/>
                <w:color w:val="auto"/>
              </w:rPr>
            </w:pPr>
            <w:r>
              <w:rPr>
                <w:rFonts w:ascii="Arial" w:cs="Arial" w:eastAsia="Arial" w:hAnsi="Arial"/>
                <w:sz w:val="11"/>
                <w:szCs w:val="11"/>
                <w:color w:val="auto"/>
              </w:rPr>
              <w:t>0.15 %</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253,923</w:t>
            </w:r>
          </w:p>
        </w:tc>
        <w:tc>
          <w:tcPr>
            <w:tcW w:w="1680" w:type="dxa"/>
            <w:vAlign w:val="bottom"/>
            <w:gridSpan w:val="3"/>
            <w:shd w:val="clear" w:color="auto" w:fill="CCEEFF"/>
          </w:tcPr>
          <w:p>
            <w:pPr>
              <w:ind w:left="1320"/>
              <w:spacing w:after="0"/>
              <w:rPr>
                <w:sz w:val="20"/>
                <w:szCs w:val="20"/>
                <w:color w:val="auto"/>
              </w:rPr>
            </w:pPr>
            <w:r>
              <w:rPr>
                <w:rFonts w:ascii="Arial" w:cs="Arial" w:eastAsia="Arial" w:hAnsi="Arial"/>
                <w:sz w:val="11"/>
                <w:szCs w:val="11"/>
                <w:color w:val="auto"/>
                <w:w w:val="99"/>
              </w:rPr>
              <w:t>0.07 %</w:t>
            </w:r>
          </w:p>
        </w:tc>
      </w:tr>
      <w:tr>
        <w:trPr>
          <w:trHeight w:val="156"/>
        </w:trPr>
        <w:tc>
          <w:tcPr>
            <w:tcW w:w="4940" w:type="dxa"/>
            <w:vAlign w:val="bottom"/>
          </w:tcPr>
          <w:p>
            <w:pPr>
              <w:ind w:left="20"/>
              <w:spacing w:after="0"/>
              <w:rPr>
                <w:sz w:val="20"/>
                <w:szCs w:val="20"/>
                <w:color w:val="auto"/>
              </w:rPr>
            </w:pPr>
            <w:r>
              <w:rPr>
                <w:rFonts w:ascii="Arial" w:cs="Arial" w:eastAsia="Arial" w:hAnsi="Arial"/>
                <w:sz w:val="11"/>
                <w:szCs w:val="11"/>
                <w:color w:val="auto"/>
              </w:rPr>
              <w:t>Savings</w:t>
            </w:r>
          </w:p>
        </w:tc>
        <w:tc>
          <w:tcPr>
            <w:tcW w:w="28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5,768</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ind w:left="840"/>
              <w:spacing w:after="0"/>
              <w:rPr>
                <w:sz w:val="20"/>
                <w:szCs w:val="20"/>
                <w:color w:val="auto"/>
              </w:rPr>
            </w:pPr>
            <w:r>
              <w:rPr>
                <w:rFonts w:ascii="Arial" w:cs="Arial" w:eastAsia="Arial" w:hAnsi="Arial"/>
                <w:sz w:val="11"/>
                <w:szCs w:val="11"/>
                <w:color w:val="auto"/>
              </w:rPr>
              <w:t>0.14</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8,917</w:t>
            </w:r>
          </w:p>
        </w:tc>
        <w:tc>
          <w:tcPr>
            <w:tcW w:w="1680" w:type="dxa"/>
            <w:vAlign w:val="bottom"/>
            <w:gridSpan w:val="3"/>
          </w:tcPr>
          <w:p>
            <w:pPr>
              <w:ind w:left="1320"/>
              <w:spacing w:after="0"/>
              <w:rPr>
                <w:sz w:val="20"/>
                <w:szCs w:val="20"/>
                <w:color w:val="auto"/>
              </w:rPr>
            </w:pPr>
            <w:r>
              <w:rPr>
                <w:rFonts w:ascii="Arial" w:cs="Arial" w:eastAsia="Arial" w:hAnsi="Arial"/>
                <w:sz w:val="11"/>
                <w:szCs w:val="11"/>
                <w:color w:val="auto"/>
              </w:rPr>
              <w:t>0.06</w:t>
            </w:r>
          </w:p>
        </w:tc>
      </w:tr>
      <w:tr>
        <w:trPr>
          <w:trHeight w:val="162"/>
        </w:trPr>
        <w:tc>
          <w:tcPr>
            <w:tcW w:w="4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Money market accounts</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642,013</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ind w:left="840"/>
              <w:spacing w:after="0"/>
              <w:rPr>
                <w:sz w:val="20"/>
                <w:szCs w:val="20"/>
                <w:color w:val="auto"/>
              </w:rPr>
            </w:pPr>
            <w:r>
              <w:rPr>
                <w:rFonts w:ascii="Arial" w:cs="Arial" w:eastAsia="Arial" w:hAnsi="Arial"/>
                <w:sz w:val="11"/>
                <w:szCs w:val="11"/>
                <w:color w:val="auto"/>
              </w:rPr>
              <w:t>3.66</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553,388</w:t>
            </w:r>
          </w:p>
        </w:tc>
        <w:tc>
          <w:tcPr>
            <w:tcW w:w="1680" w:type="dxa"/>
            <w:vAlign w:val="bottom"/>
            <w:gridSpan w:val="3"/>
            <w:shd w:val="clear" w:color="auto" w:fill="CCEEFF"/>
          </w:tcPr>
          <w:p>
            <w:pPr>
              <w:ind w:left="1320"/>
              <w:spacing w:after="0"/>
              <w:rPr>
                <w:sz w:val="20"/>
                <w:szCs w:val="20"/>
                <w:color w:val="auto"/>
              </w:rPr>
            </w:pPr>
            <w:r>
              <w:rPr>
                <w:rFonts w:ascii="Arial" w:cs="Arial" w:eastAsia="Arial" w:hAnsi="Arial"/>
                <w:sz w:val="11"/>
                <w:szCs w:val="11"/>
                <w:color w:val="auto"/>
              </w:rPr>
              <w:t>0.82</w:t>
            </w:r>
          </w:p>
        </w:tc>
      </w:tr>
      <w:tr>
        <w:trPr>
          <w:trHeight w:val="15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Time deposits</w:t>
            </w: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360,464</w:t>
            </w:r>
          </w:p>
        </w:tc>
        <w:tc>
          <w:tcPr>
            <w:tcW w:w="1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ind w:left="840"/>
              <w:spacing w:after="0"/>
              <w:rPr>
                <w:sz w:val="20"/>
                <w:szCs w:val="20"/>
                <w:color w:val="auto"/>
              </w:rPr>
            </w:pPr>
            <w:r>
              <w:rPr>
                <w:rFonts w:ascii="Arial" w:cs="Arial" w:eastAsia="Arial" w:hAnsi="Arial"/>
                <w:sz w:val="11"/>
                <w:szCs w:val="11"/>
                <w:color w:val="auto"/>
              </w:rPr>
              <w:t>4.39</w:t>
            </w:r>
          </w:p>
        </w:tc>
        <w:tc>
          <w:tcPr>
            <w:tcW w:w="1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165,854</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ind w:left="1180"/>
              <w:spacing w:after="0"/>
              <w:rPr>
                <w:sz w:val="20"/>
                <w:szCs w:val="20"/>
                <w:color w:val="auto"/>
              </w:rPr>
            </w:pPr>
            <w:r>
              <w:rPr>
                <w:rFonts w:ascii="Arial" w:cs="Arial" w:eastAsia="Arial" w:hAnsi="Arial"/>
                <w:sz w:val="11"/>
                <w:szCs w:val="11"/>
                <w:color w:val="auto"/>
              </w:rPr>
              <w:t>1.75</w:t>
            </w:r>
          </w:p>
        </w:tc>
      </w:tr>
      <w:tr>
        <w:trPr>
          <w:trHeight w:val="153"/>
        </w:trPr>
        <w:tc>
          <w:tcPr>
            <w:tcW w:w="49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Interest-bearing deposits</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1,209,439</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ind w:left="840"/>
              <w:spacing w:after="0"/>
              <w:rPr>
                <w:sz w:val="20"/>
                <w:szCs w:val="20"/>
                <w:color w:val="auto"/>
              </w:rPr>
            </w:pPr>
            <w:r>
              <w:rPr>
                <w:rFonts w:ascii="Arial" w:cs="Arial" w:eastAsia="Arial" w:hAnsi="Arial"/>
                <w:sz w:val="11"/>
                <w:szCs w:val="11"/>
                <w:color w:val="auto"/>
              </w:rPr>
              <w:t>3.28 %</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982,082</w:t>
            </w:r>
          </w:p>
        </w:tc>
        <w:tc>
          <w:tcPr>
            <w:tcW w:w="1680" w:type="dxa"/>
            <w:vAlign w:val="bottom"/>
            <w:gridSpan w:val="3"/>
            <w:shd w:val="clear" w:color="auto" w:fill="CCEEFF"/>
          </w:tcPr>
          <w:p>
            <w:pPr>
              <w:ind w:left="1320"/>
              <w:spacing w:after="0"/>
              <w:rPr>
                <w:sz w:val="20"/>
                <w:szCs w:val="20"/>
                <w:color w:val="auto"/>
              </w:rPr>
            </w:pPr>
            <w:r>
              <w:rPr>
                <w:rFonts w:ascii="Arial" w:cs="Arial" w:eastAsia="Arial" w:hAnsi="Arial"/>
                <w:sz w:val="11"/>
                <w:szCs w:val="11"/>
                <w:color w:val="auto"/>
                <w:w w:val="99"/>
              </w:rPr>
              <w:t>0.77 %</w:t>
            </w:r>
          </w:p>
        </w:tc>
      </w:tr>
      <w:tr>
        <w:trPr>
          <w:trHeight w:val="147"/>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Noninterest-bearing demand accounts</w:t>
            </w:r>
          </w:p>
        </w:tc>
        <w:tc>
          <w:tcPr>
            <w:tcW w:w="2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655,013</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781,971</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r>
      <w:tr>
        <w:trPr>
          <w:trHeight w:val="173"/>
        </w:trPr>
        <w:tc>
          <w:tcPr>
            <w:tcW w:w="49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deposits</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1,864,452</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ind w:left="840"/>
              <w:spacing w:after="0"/>
              <w:rPr>
                <w:sz w:val="20"/>
                <w:szCs w:val="20"/>
                <w:color w:val="auto"/>
              </w:rPr>
            </w:pPr>
            <w:r>
              <w:rPr>
                <w:rFonts w:ascii="Arial" w:cs="Arial" w:eastAsia="Arial" w:hAnsi="Arial"/>
                <w:sz w:val="11"/>
                <w:szCs w:val="11"/>
                <w:color w:val="auto"/>
              </w:rPr>
              <w:t>2.13 %</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1,764,053</w:t>
            </w:r>
          </w:p>
        </w:tc>
        <w:tc>
          <w:tcPr>
            <w:tcW w:w="1680" w:type="dxa"/>
            <w:vAlign w:val="bottom"/>
            <w:gridSpan w:val="3"/>
            <w:shd w:val="clear" w:color="auto" w:fill="CCEEFF"/>
          </w:tcPr>
          <w:p>
            <w:pPr>
              <w:ind w:left="1320"/>
              <w:spacing w:after="0"/>
              <w:rPr>
                <w:sz w:val="20"/>
                <w:szCs w:val="20"/>
                <w:color w:val="auto"/>
              </w:rPr>
            </w:pPr>
            <w:r>
              <w:rPr>
                <w:rFonts w:ascii="Arial" w:cs="Arial" w:eastAsia="Arial" w:hAnsi="Arial"/>
                <w:sz w:val="11"/>
                <w:szCs w:val="11"/>
                <w:color w:val="auto"/>
                <w:w w:val="99"/>
              </w:rPr>
              <w:t>0.43 %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Deposit costs increased 170 basis points during the year ended December 31, 2023 owing in large part to a series of interest rate increases implemented by the Federal Reserve beginning in early 2022 and the migration of some relationships from interest-bearing demand accounts and savings accounts to higher rate money market accounts and time deposits. In addition, average noninterest-bearing deposit balances decreased $127.0 million when compared to December 31, 2022, largely due to the decision by some depositors to move balances from noninterest-bearing deposit accounts to interest-bearing deposit accounts.</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Noninterest-bearing deposits represented 32.6% of total deposits at December 31, 2023 compared to 38.4% at December 31, 2022. Uninsured deposits were approximately $789.4 million as of December 31, 2023, representing 41.6% of the Company's deposit portfolio, compared to $784.6 million, or 44.6%, at December 31, 2022. The uninsured amounts are estimates based on the methodologies and assumptions used for the Bank’s regulatory reporting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maturities of our certificates of deposit as of December 31,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Over</w:t>
            </w:r>
          </w:p>
        </w:tc>
        <w:tc>
          <w:tcPr>
            <w:tcW w:w="280" w:type="dxa"/>
            <w:vAlign w:val="bottom"/>
          </w:tcPr>
          <w:p>
            <w:pPr>
              <w:spacing w:after="0"/>
              <w:rPr>
                <w:sz w:val="10"/>
                <w:szCs w:val="10"/>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rPr>
              <w:t>Over Six</w:t>
            </w: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1"/>
                <w:szCs w:val="11"/>
                <w:b w:val="1"/>
                <w:bCs w:val="1"/>
                <w:color w:val="auto"/>
                <w:w w:val="99"/>
              </w:rPr>
              <w:t>Three</w:t>
            </w:r>
          </w:p>
        </w:tc>
        <w:tc>
          <w:tcPr>
            <w:tcW w:w="280" w:type="dxa"/>
            <w:vAlign w:val="bottom"/>
          </w:tcPr>
          <w:p>
            <w:pPr>
              <w:spacing w:after="0"/>
              <w:rPr>
                <w:sz w:val="9"/>
                <w:szCs w:val="9"/>
                <w:color w:val="auto"/>
              </w:rPr>
            </w:pPr>
          </w:p>
        </w:tc>
        <w:tc>
          <w:tcPr>
            <w:tcW w:w="1240" w:type="dxa"/>
            <w:vAlign w:val="bottom"/>
            <w:gridSpan w:val="2"/>
          </w:tcPr>
          <w:p>
            <w:pPr>
              <w:jc w:val="center"/>
              <w:ind w:right="380"/>
              <w:spacing w:after="0" w:line="106" w:lineRule="exact"/>
              <w:rPr>
                <w:sz w:val="20"/>
                <w:szCs w:val="20"/>
                <w:color w:val="auto"/>
              </w:rPr>
            </w:pPr>
            <w:r>
              <w:rPr>
                <w:rFonts w:ascii="Arial" w:cs="Arial" w:eastAsia="Arial" w:hAnsi="Arial"/>
                <w:sz w:val="11"/>
                <w:szCs w:val="11"/>
                <w:b w:val="1"/>
                <w:bCs w:val="1"/>
                <w:color w:val="auto"/>
                <w:w w:val="99"/>
              </w:rPr>
              <w:t>Three</w:t>
            </w: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1"/>
                <w:szCs w:val="11"/>
                <w:b w:val="1"/>
                <w:bCs w:val="1"/>
                <w:color w:val="auto"/>
              </w:rPr>
              <w:t>Over</w:t>
            </w: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ind w:right="380"/>
              <w:spacing w:after="0" w:line="117" w:lineRule="exact"/>
              <w:rPr>
                <w:sz w:val="20"/>
                <w:szCs w:val="20"/>
                <w:color w:val="auto"/>
              </w:rPr>
            </w:pPr>
            <w:r>
              <w:rPr>
                <w:rFonts w:ascii="Arial" w:cs="Arial" w:eastAsia="Arial" w:hAnsi="Arial"/>
                <w:sz w:val="11"/>
                <w:szCs w:val="11"/>
                <w:b w:val="1"/>
                <w:bCs w:val="1"/>
                <w:color w:val="auto"/>
              </w:rPr>
              <w:t>Through</w:t>
            </w:r>
          </w:p>
        </w:tc>
        <w:tc>
          <w:tcPr>
            <w:tcW w:w="280" w:type="dxa"/>
            <w:vAlign w:val="bottom"/>
          </w:tcPr>
          <w:p>
            <w:pPr>
              <w:spacing w:after="0"/>
              <w:rPr>
                <w:sz w:val="10"/>
                <w:szCs w:val="10"/>
                <w:color w:val="auto"/>
              </w:rPr>
            </w:pPr>
          </w:p>
        </w:tc>
        <w:tc>
          <w:tcPr>
            <w:tcW w:w="1260" w:type="dxa"/>
            <w:vAlign w:val="bottom"/>
            <w:gridSpan w:val="2"/>
          </w:tcPr>
          <w:p>
            <w:pPr>
              <w:jc w:val="center"/>
              <w:ind w:right="400"/>
              <w:spacing w:after="0" w:line="117" w:lineRule="exact"/>
              <w:rPr>
                <w:sz w:val="20"/>
                <w:szCs w:val="20"/>
                <w:color w:val="auto"/>
              </w:rPr>
            </w:pPr>
            <w:r>
              <w:rPr>
                <w:rFonts w:ascii="Arial" w:cs="Arial" w:eastAsia="Arial" w:hAnsi="Arial"/>
                <w:sz w:val="11"/>
                <w:szCs w:val="11"/>
                <w:b w:val="1"/>
                <w:bCs w:val="1"/>
                <w:color w:val="auto"/>
              </w:rPr>
              <w:t>Through</w:t>
            </w:r>
          </w:p>
        </w:tc>
        <w:tc>
          <w:tcPr>
            <w:tcW w:w="2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tcPr>
          <w:p>
            <w:pPr>
              <w:jc w:val="center"/>
              <w:ind w:right="380"/>
              <w:spacing w:after="0" w:line="117" w:lineRule="exact"/>
              <w:rPr>
                <w:sz w:val="20"/>
                <w:szCs w:val="20"/>
                <w:color w:val="auto"/>
              </w:rPr>
            </w:pPr>
            <w:r>
              <w:rPr>
                <w:rFonts w:ascii="Arial" w:cs="Arial" w:eastAsia="Arial" w:hAnsi="Arial"/>
                <w:sz w:val="11"/>
                <w:szCs w:val="11"/>
                <w:b w:val="1"/>
                <w:bCs w:val="1"/>
                <w:color w:val="auto"/>
              </w:rPr>
              <w:t>Months or</w:t>
            </w:r>
          </w:p>
        </w:tc>
        <w:tc>
          <w:tcPr>
            <w:tcW w:w="280" w:type="dxa"/>
            <w:vAlign w:val="bottom"/>
          </w:tcPr>
          <w:p>
            <w:pPr>
              <w:spacing w:after="0"/>
              <w:rPr>
                <w:sz w:val="10"/>
                <w:szCs w:val="10"/>
                <w:color w:val="auto"/>
              </w:rPr>
            </w:pPr>
          </w:p>
        </w:tc>
        <w:tc>
          <w:tcPr>
            <w:tcW w:w="1240" w:type="dxa"/>
            <w:vAlign w:val="bottom"/>
            <w:gridSpan w:val="2"/>
          </w:tcPr>
          <w:p>
            <w:pPr>
              <w:jc w:val="center"/>
              <w:ind w:right="380"/>
              <w:spacing w:after="0" w:line="117" w:lineRule="exact"/>
              <w:rPr>
                <w:sz w:val="20"/>
                <w:szCs w:val="20"/>
                <w:color w:val="auto"/>
              </w:rPr>
            </w:pPr>
            <w:r>
              <w:rPr>
                <w:rFonts w:ascii="Arial" w:cs="Arial" w:eastAsia="Arial" w:hAnsi="Arial"/>
                <w:sz w:val="11"/>
                <w:szCs w:val="11"/>
                <w:b w:val="1"/>
                <w:bCs w:val="1"/>
                <w:color w:val="auto"/>
              </w:rPr>
              <w:t>Six</w:t>
            </w:r>
          </w:p>
        </w:tc>
        <w:tc>
          <w:tcPr>
            <w:tcW w:w="280" w:type="dxa"/>
            <w:vAlign w:val="bottom"/>
          </w:tcPr>
          <w:p>
            <w:pPr>
              <w:spacing w:after="0"/>
              <w:rPr>
                <w:sz w:val="10"/>
                <w:szCs w:val="10"/>
                <w:color w:val="auto"/>
              </w:rPr>
            </w:pPr>
          </w:p>
        </w:tc>
        <w:tc>
          <w:tcPr>
            <w:tcW w:w="1260" w:type="dxa"/>
            <w:vAlign w:val="bottom"/>
            <w:gridSpan w:val="2"/>
          </w:tcPr>
          <w:p>
            <w:pPr>
              <w:jc w:val="center"/>
              <w:ind w:right="380"/>
              <w:spacing w:after="0" w:line="117" w:lineRule="exact"/>
              <w:rPr>
                <w:sz w:val="20"/>
                <w:szCs w:val="20"/>
                <w:color w:val="auto"/>
              </w:rPr>
            </w:pPr>
            <w:r>
              <w:rPr>
                <w:rFonts w:ascii="Arial" w:cs="Arial" w:eastAsia="Arial" w:hAnsi="Arial"/>
                <w:sz w:val="11"/>
                <w:szCs w:val="11"/>
                <w:b w:val="1"/>
                <w:bCs w:val="1"/>
                <w:color w:val="auto"/>
                <w:w w:val="97"/>
              </w:rPr>
              <w:t>Twelve</w:t>
            </w:r>
          </w:p>
        </w:tc>
        <w:tc>
          <w:tcPr>
            <w:tcW w:w="280" w:type="dxa"/>
            <w:vAlign w:val="bottom"/>
          </w:tcPr>
          <w:p>
            <w:pPr>
              <w:spacing w:after="0"/>
              <w:rPr>
                <w:sz w:val="10"/>
                <w:szCs w:val="10"/>
                <w:color w:val="auto"/>
              </w:rPr>
            </w:pPr>
          </w:p>
        </w:tc>
        <w:tc>
          <w:tcPr>
            <w:tcW w:w="1240" w:type="dxa"/>
            <w:vAlign w:val="bottom"/>
            <w:gridSpan w:val="2"/>
          </w:tcPr>
          <w:p>
            <w:pPr>
              <w:jc w:val="center"/>
              <w:ind w:right="400"/>
              <w:spacing w:after="0" w:line="117" w:lineRule="exact"/>
              <w:rPr>
                <w:sz w:val="20"/>
                <w:szCs w:val="20"/>
                <w:color w:val="auto"/>
              </w:rPr>
            </w:pPr>
            <w:r>
              <w:rPr>
                <w:rFonts w:ascii="Arial" w:cs="Arial" w:eastAsia="Arial" w:hAnsi="Arial"/>
                <w:sz w:val="11"/>
                <w:szCs w:val="11"/>
                <w:b w:val="1"/>
                <w:bCs w:val="1"/>
                <w:color w:val="auto"/>
                <w:w w:val="97"/>
              </w:rPr>
              <w:t>Twelve</w:t>
            </w:r>
          </w:p>
        </w:tc>
        <w:tc>
          <w:tcPr>
            <w:tcW w:w="320" w:type="dxa"/>
            <w:vAlign w:val="bottom"/>
          </w:tcPr>
          <w:p>
            <w:pPr>
              <w:spacing w:after="0"/>
              <w:rPr>
                <w:sz w:val="10"/>
                <w:szCs w:val="10"/>
                <w:color w:val="auto"/>
              </w:rPr>
            </w:pPr>
          </w:p>
        </w:tc>
        <w:tc>
          <w:tcPr>
            <w:tcW w:w="1100" w:type="dxa"/>
            <w:vAlign w:val="bottom"/>
            <w:vMerge w:val="restart"/>
          </w:tcPr>
          <w:p>
            <w:pPr>
              <w:jc w:val="right"/>
              <w:ind w:right="52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76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24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5"/>
              </w:rPr>
              <w:t>Less</w:t>
            </w:r>
          </w:p>
        </w:tc>
        <w:tc>
          <w:tcPr>
            <w:tcW w:w="280" w:type="dxa"/>
            <w:vAlign w:val="bottom"/>
          </w:tcPr>
          <w:p>
            <w:pPr>
              <w:spacing w:after="0"/>
              <w:rPr>
                <w:sz w:val="12"/>
                <w:szCs w:val="12"/>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Months</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Months</w:t>
            </w:r>
          </w:p>
        </w:tc>
        <w:tc>
          <w:tcPr>
            <w:tcW w:w="280" w:type="dxa"/>
            <w:vAlign w:val="bottom"/>
          </w:tcPr>
          <w:p>
            <w:pPr>
              <w:spacing w:after="0"/>
              <w:rPr>
                <w:sz w:val="12"/>
                <w:szCs w:val="12"/>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Months</w:t>
            </w:r>
          </w:p>
        </w:tc>
        <w:tc>
          <w:tcPr>
            <w:tcW w:w="3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$250,000 or more</w:t>
            </w: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23,444</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14,239</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35,017</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52,047</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124,747</w:t>
            </w:r>
          </w:p>
        </w:tc>
        <w:tc>
          <w:tcPr>
            <w:tcW w:w="0" w:type="dxa"/>
            <w:vAlign w:val="bottom"/>
          </w:tcPr>
          <w:p>
            <w:pPr>
              <w:spacing w:after="0"/>
              <w:rPr>
                <w:sz w:val="1"/>
                <w:szCs w:val="1"/>
                <w:color w:val="auto"/>
              </w:rPr>
            </w:pPr>
          </w:p>
        </w:tc>
      </w:tr>
      <w:tr>
        <w:trPr>
          <w:trHeight w:val="156"/>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than $250,000</w:t>
            </w: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97,321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112,723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67,915</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8,269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286,228</w:t>
            </w:r>
          </w:p>
        </w:tc>
        <w:tc>
          <w:tcPr>
            <w:tcW w:w="0" w:type="dxa"/>
            <w:vAlign w:val="bottom"/>
          </w:tcPr>
          <w:p>
            <w:pPr>
              <w:spacing w:after="0"/>
              <w:rPr>
                <w:sz w:val="1"/>
                <w:szCs w:val="1"/>
                <w:color w:val="auto"/>
              </w:rPr>
            </w:pPr>
          </w:p>
        </w:tc>
      </w:tr>
      <w:tr>
        <w:trPr>
          <w:trHeight w:val="178"/>
        </w:trPr>
        <w:tc>
          <w:tcPr>
            <w:tcW w:w="3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w:t>
            </w: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120,765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126,962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102,932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60,316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410,975</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Borrowings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utilize short-term and long-term borrowings to supplement deposits to fund our lending and investment activities, each of which is discussed below. Despite the uncertain market conditions during the first quarter of 2023 following the closures of Silicon Valley Bank and Signature Bank, our total borrowings decreased during the year ended December 31, 2023 to $49.1 million from $119.1 million at December 31, 2022 as our deposits increased during the year.</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FHLB Advances</w:t>
      </w:r>
      <w:r>
        <w:rPr>
          <w:rFonts w:ascii="Arial" w:cs="Arial" w:eastAsia="Arial" w:hAnsi="Arial"/>
          <w:sz w:val="14"/>
          <w:szCs w:val="14"/>
          <w:color w:val="auto"/>
        </w:rPr>
        <w:t>. The FHLB allows us to borrow up to 25% of our assets on a blanket floating lien status collateralized by certain securities and loans. As of December 31, 2023,</w:t>
      </w:r>
      <w:r>
        <w:rPr>
          <w:rFonts w:ascii="Arial" w:cs="Arial" w:eastAsia="Arial" w:hAnsi="Arial"/>
          <w:sz w:val="14"/>
          <w:szCs w:val="14"/>
          <w:i w:val="1"/>
          <w:iCs w:val="1"/>
          <w:color w:val="auto"/>
        </w:rPr>
        <w:t xml:space="preserve"> </w:t>
      </w:r>
      <w:r>
        <w:rPr>
          <w:rFonts w:ascii="Arial" w:cs="Arial" w:eastAsia="Arial" w:hAnsi="Arial"/>
          <w:sz w:val="14"/>
          <w:szCs w:val="14"/>
          <w:color w:val="auto"/>
        </w:rPr>
        <w:t>approximately $556.1 million in real estate loans were pledged as collateral to the FHLB and our total borrowing capacity from the FHLB was $313.5 million. As of December 31, 2023, no investment securities were pledged with the FHLB. We utilize these borrowings to meet liquidity needs and to fund certain fixed rate loans in our portfolio. As of December 31, 2023, we had $22.0 million in outstanding advances and $291.5 million in available borrowing capacity from the FHLB.</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56" w:name="page57"/>
    <w:bookmarkEnd w:id="56"/>
    <w:p>
      <w:pPr>
        <w:jc w:val="both"/>
        <w:spacing w:after="0" w:line="290" w:lineRule="auto"/>
        <w:rPr>
          <w:sz w:val="20"/>
          <w:szCs w:val="20"/>
          <w:color w:val="auto"/>
        </w:rPr>
      </w:pPr>
      <w:r>
        <w:rPr>
          <w:rFonts w:ascii="Arial" w:cs="Arial" w:eastAsia="Arial" w:hAnsi="Arial"/>
          <w:sz w:val="14"/>
          <w:szCs w:val="14"/>
          <w:i w:val="1"/>
          <w:iCs w:val="1"/>
          <w:color w:val="auto"/>
        </w:rPr>
        <w:t>Other borrowed funds</w:t>
      </w:r>
      <w:r>
        <w:rPr>
          <w:rFonts w:ascii="Arial" w:cs="Arial" w:eastAsia="Arial" w:hAnsi="Arial"/>
          <w:sz w:val="14"/>
          <w:szCs w:val="14"/>
          <w:color w:val="auto"/>
        </w:rPr>
        <w:t>. The Company has also issued junior subordinated debentures and other subordinated notes. At December 31, 2023, these other borrowings amounted to</w:t>
      </w:r>
      <w:r>
        <w:rPr>
          <w:rFonts w:ascii="Arial" w:cs="Arial" w:eastAsia="Arial" w:hAnsi="Arial"/>
          <w:sz w:val="14"/>
          <w:szCs w:val="14"/>
          <w:i w:val="1"/>
          <w:iCs w:val="1"/>
          <w:color w:val="auto"/>
        </w:rPr>
        <w:t xml:space="preserve"> </w:t>
      </w:r>
      <w:r>
        <w:rPr>
          <w:rFonts w:ascii="Arial" w:cs="Arial" w:eastAsia="Arial" w:hAnsi="Arial"/>
          <w:sz w:val="14"/>
          <w:szCs w:val="14"/>
          <w:color w:val="auto"/>
        </w:rPr>
        <w:t>$12.1 million, consisting of Floating Rate Junior Subordinated Deferrable Interest Debentures and subordinated notes.</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At December 31, 2023, our Floating Rate Junior Subordinated Deferrable Interest Debentures amounted to $2.1 million. The Floating Rate Junior Subordinated Deferrable Interest Debentures (the “Floating Rate Debentures”) were issued in June of 2006, mature on June 15, 2036, and may be redeemed prior to that date under certain circumstances. The principal amount of the Floating Rate Debentures has not changed since issuance, and they accrue interest at a floating rate equal to the three-month CME Term SOFR plus a spread adjustment of 0.26161% (or 26.161 basis points) plus 187 basis points, payable quarterly. As of December 31, 2023, the rate for the Floating Rate Debentures was 7.52%.</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November 30, 2020, the Company issued $10.0 million in subordinated notes due in 2030 (the “Notes”). The Notes have a ten year term and have a fixed rate of 5.00% for the first five years; thereafter, the rate resets quarterly to a benchmark rate, which is expected to be the three-month SOFR, plus 490 basis points. The Notes may be redeemed in part or in whole, upon the occurrence of certain events.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Federal Reserve Bank of Richmond</w:t>
      </w:r>
      <w:r>
        <w:rPr>
          <w:rFonts w:ascii="Arial" w:cs="Arial" w:eastAsia="Arial" w:hAnsi="Arial"/>
          <w:sz w:val="14"/>
          <w:szCs w:val="14"/>
          <w:color w:val="auto"/>
        </w:rPr>
        <w:t>. The Federal Reserve Bank of Richmond has an available borrower in custody arrangement which allows us to borrow on a collateralized basis.</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Company’s borrowing capacity under the Federal Reserve’s discount window program was $16.6 million as of December 31, 2023. Certain commercial loans are pledged under this arrangement.</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 xml:space="preserve">Federal Reserve’s Bank Term Funding Program. </w:t>
      </w:r>
      <w:r>
        <w:rPr>
          <w:rFonts w:ascii="Arial" w:cs="Arial" w:eastAsia="Arial" w:hAnsi="Arial"/>
          <w:sz w:val="14"/>
          <w:szCs w:val="14"/>
          <w:color w:val="auto"/>
        </w:rPr>
        <w:t>On March 12, 2023, in response to liquidity concerns in the banking system, the Federal Deposit Insurance Corporation, Federal</w:t>
      </w:r>
      <w:r>
        <w:rPr>
          <w:rFonts w:ascii="Arial" w:cs="Arial" w:eastAsia="Arial" w:hAnsi="Arial"/>
          <w:sz w:val="14"/>
          <w:szCs w:val="14"/>
          <w:i w:val="1"/>
          <w:iCs w:val="1"/>
          <w:color w:val="auto"/>
        </w:rPr>
        <w:t xml:space="preserve"> </w:t>
      </w:r>
      <w:r>
        <w:rPr>
          <w:rFonts w:ascii="Arial" w:cs="Arial" w:eastAsia="Arial" w:hAnsi="Arial"/>
          <w:sz w:val="14"/>
          <w:szCs w:val="14"/>
          <w:color w:val="auto"/>
        </w:rPr>
        <w:t>Reserve and U.S. Department of Treasury, collaboratively approved certain actions with a stated intention to reduce stress across the financial system, support financial stability and minimize any impact on business, households, taxpayers, and the broader economy. Among other actions, the Federal Reserve Board has created a new BTFP to make additional funding available to eligible depository institutions to help assure institutions can meet the needs of their depositors. Eligible institutions may obtain liquidity against a wide range of collateral, at par value. BTFP advances can be requested through at least March 11, 2024. At December 31, 2023, the Company had $15.0 million of BTFP borrowings. In January 2024, the Company paid off the $15.0 million of BTFP borrowings.</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 xml:space="preserve">Other Borrowings. </w:t>
      </w:r>
      <w:r>
        <w:rPr>
          <w:rFonts w:ascii="Arial" w:cs="Arial" w:eastAsia="Arial" w:hAnsi="Arial"/>
          <w:sz w:val="14"/>
          <w:szCs w:val="14"/>
          <w:color w:val="auto"/>
        </w:rPr>
        <w:t>The Company also has lines of credit of $76.0 million available with other correspondent banks at December 31, 2023, as well as access to certificate of deposit</w:t>
      </w:r>
      <w:r>
        <w:rPr>
          <w:rFonts w:ascii="Arial" w:cs="Arial" w:eastAsia="Arial" w:hAnsi="Arial"/>
          <w:sz w:val="14"/>
          <w:szCs w:val="14"/>
          <w:i w:val="1"/>
          <w:iCs w:val="1"/>
          <w:color w:val="auto"/>
        </w:rPr>
        <w:t xml:space="preserve"> </w:t>
      </w:r>
      <w:r>
        <w:rPr>
          <w:rFonts w:ascii="Arial" w:cs="Arial" w:eastAsia="Arial" w:hAnsi="Arial"/>
          <w:sz w:val="14"/>
          <w:szCs w:val="14"/>
          <w:color w:val="auto"/>
        </w:rPr>
        <w:t>funding through a financial network which the Bank strives to limit to 15% of the Bank’s assets. There were no outstanding balances on the lines of credit from correspondent banks at December 31, 2023.</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Liquidity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Liquidity is defined as the Bank’s capacity to meet its cash and collateral obligations at a reasonable cost. Maintaining an adequate level of liquidity depends on the Bank’s ability to meet both expected and unexpected cash flows and collateral needs efficiently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regularly addresses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operational, legal and reputational risks also could affect the Bank’s liquidity risk profile and are considered in the assessment of liquidity and asset/liability management.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4"/>
          <w:szCs w:val="14"/>
          <w:color w:val="auto"/>
        </w:rPr>
        <w:t>Management has established a risk management process for identifying, measuring, monitoring and controlling liquidity risk. Because of its critical importance to the viability of the Bank, liquidity risk management is integrated into our risk management processes. Critical elements of our liquidity risk management include: corporate governance consisting of oversight by the board of directors and active involvement by management; strategies, policies, procedures, and limits used to manage and mitigate liquidity risk; liquidity risk measurement and monitoring systems (including assessments of the current and prospective cash flows or sources and uses of funds) that are believed to be commensurate with the complexity and business activities of the Bank; active management of intraday liquidity and collateral; a diverse mix of existing and potential future funding sources; holding liquid marketable securities that can be used to meet liquidity needs in situations of stress; contingency funding plans that address potential adverse liquidity events and emergency cash flow requirements; and internal controls and internal audit processes believed to be sufficient to assure the adequacy of the institution’s liquidity risk management process.</w:t>
      </w:r>
    </w:p>
    <w:p>
      <w:pPr>
        <w:spacing w:after="0" w:line="14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of December 31, 2023, we had $291.5 million of available borrowing capacity from the FHLB, $16.6 million of available borrowing capacity from the Federal Reserve Bank of Richmond Borrower in Custody program and available lines of credit of $76.0 million with other correspondent banks. At December 31, 2023, the Company also had $150.0 million available through the BTFP, which provides funding collateralized by designated investment securities. Further, unpledged investment securities available as collateral for potential additional borrowings totaled $48.7 million at December 31, 2023. Cash and cash equivalents were $54.0 million at December 31, 2023.</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Capital Resources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Stockholders’ equity increased $30.8 million for the year ended December 31, 2023 compared to December 31, 2022 largely due to net income of $35.9 million for the year ended December 31, 2023. Shares repurchased and retired for the year ended December 31, 2023 as part of the Company's stock repurchase program totaled 475,346 shares at an average price of $18.57, for a total cost of $8.8 million including commissions.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Company’s total stockholders’ equity is affected by fluctuations in the fair values of investment securities available for sale. The difference between amortized cost and fair value of investment securities, net of deferred income tax, is included in accumulated other comprehensive loss within stockholders’ equity. Accumulated other comprehensive loss is excluded from the Bank’s and Company’s regulatory capital ratios. The balance in accumulated other comprehensive loss related to unrealized losses on available-for-sale debt securities, net of deferred income tax, amounted to $ 13.1 million at December 31, 2023 and $16.8 million at December 31, 2022. Changes in accumulated other comprehensive loss are excluded from earnings and directly increase or decrease stockholders’ equity. To the extent unrealized losses on investment securities available for sale result from credit losses, unrealized losses are recorded as a charge against earnings. The investment securities section of the MD&amp;A and Notes 1 and 3 to the consolidated financial statements provide additional information concerning management’s evaluation of investment securities available for sale for credit losses at December 31, 2023.</w:t>
      </w:r>
    </w:p>
    <w:p>
      <w:pPr>
        <w:spacing w:after="0" w:line="14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uses several indicators of capital strength. The most commonly used measure is common equity to total assets (computed as equity divided by total assets), which was 11.45% at December 31, 2023 and 10.55% at December 31, 2022.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58" w:name="page59"/>
    <w:bookmarkEnd w:id="58"/>
    <w:p>
      <w:pPr>
        <w:jc w:val="both"/>
        <w:spacing w:after="0" w:line="262" w:lineRule="auto"/>
        <w:rPr>
          <w:sz w:val="20"/>
          <w:szCs w:val="20"/>
          <w:color w:val="auto"/>
        </w:rPr>
      </w:pPr>
      <w:r>
        <w:rPr>
          <w:rFonts w:ascii="Arial" w:cs="Arial" w:eastAsia="Arial" w:hAnsi="Arial"/>
          <w:sz w:val="14"/>
          <w:szCs w:val="14"/>
          <w:color w:val="auto"/>
        </w:rPr>
        <w:t>The Bank is subject to various regulatory capital requirements administered by the federal banking agencies. Failure to meet minimum capital requirements can precipitate certain mandatory and possibly additional discretionary actions by regulators that, if undertaken, could have a material effect on the Company’s financial condition.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Quantitative measures established by regulation to ensure capital adequacy require the Bank to maintain minimum ratios of common equity Tier 1, Tier 1, and total capital as a percentage of assets and off-balance sheet exposures, adjusted for risk weights ranging from 0% to 1,250%. The Bank is also required to maintain capital at a minimum level based on quarterly average assets, which is known as the leverage ratio.</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July 2013, federal bank regulatory agencies issued a final rule that revised their risk-based capital requirements and the method for calculating risk-weighted assets to make them consistent with certain standards that were developed by Basel III and certain provisions of the Dodd-Frank Act. The final rule applies to all depository institutions and bank holding companies and savings and loan holding companies with total consolidated assets of more than $1 billion. The Bank was required to implement the new Basel III capital standards (subject to the phase-in for certain parts of the new rules) as of January 1, 2015. In August of 2018 the Regulatory Relief Act directed the Federal Reserve Board to revise the Small BHC Policy Statement to raise the total consolidated asset limit in the Small BHC Policy Statement from $1 billion to $3 billion. The Company is currently exempt from the consolidated capital requirements.</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ability of the Company to continue to grow is dependent on its earnings and those of the Bank, and the ability to obtain additional funds for contribution to the Bank’s capital, through additional borrowings, through the sale of additional common stock or preferred stock, or through the issuance of additional qualifying capital instruments, such as subordinated debt. The capital levels required to be maintained by the Company and Bank may be impacted as a result of the Bank’s concentrations in commercial real estate loans. See “Risks Related to the Regulation of Our Industry” in Part I, Item 1A - Risk Factors.</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As of December 31, 2023, the Bank was in compliance with all applicable regulatory capital requirements to which it was subject, and the Bank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relative to our earnings in order to remain in compliance with all regulatory capital standards applicable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auto"/>
        </w:rPr>
        <w:t>The following table presents the regulatory capital ratios for the Company and the Bank as of the dates indicated.</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9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vMerge w:val="restart"/>
          </w:tcPr>
          <w:p>
            <w:pPr>
              <w:jc w:val="right"/>
              <w:ind w:right="111"/>
              <w:spacing w:after="0"/>
              <w:rPr>
                <w:sz w:val="20"/>
                <w:szCs w:val="20"/>
                <w:color w:val="auto"/>
              </w:rPr>
            </w:pPr>
            <w:r>
              <w:rPr>
                <w:rFonts w:ascii="Arial" w:cs="Arial" w:eastAsia="Arial" w:hAnsi="Arial"/>
                <w:sz w:val="10"/>
                <w:szCs w:val="10"/>
                <w:b w:val="1"/>
                <w:bCs w:val="1"/>
                <w:color w:val="auto"/>
              </w:rPr>
              <w:t>Actual</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Minimum Capital</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right"/>
              <w:ind w:right="71"/>
              <w:spacing w:after="0"/>
              <w:rPr>
                <w:sz w:val="20"/>
                <w:szCs w:val="20"/>
                <w:color w:val="auto"/>
              </w:rPr>
            </w:pPr>
            <w:r>
              <w:rPr>
                <w:rFonts w:ascii="Arial" w:cs="Arial" w:eastAsia="Arial" w:hAnsi="Arial"/>
                <w:sz w:val="10"/>
                <w:szCs w:val="10"/>
                <w:b w:val="1"/>
                <w:bCs w:val="1"/>
                <w:color w:val="auto"/>
              </w:rPr>
              <w:t>To Be Well</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560" w:type="dxa"/>
            <w:vAlign w:val="bottom"/>
            <w:gridSpan w:val="2"/>
          </w:tcPr>
          <w:p>
            <w:pPr>
              <w:spacing w:after="0"/>
              <w:rPr>
                <w:sz w:val="20"/>
                <w:szCs w:val="20"/>
                <w:color w:val="auto"/>
              </w:rPr>
            </w:pPr>
            <w:r>
              <w:rPr>
                <w:rFonts w:ascii="Arial" w:cs="Arial" w:eastAsia="Arial" w:hAnsi="Arial"/>
                <w:sz w:val="8"/>
                <w:szCs w:val="8"/>
                <w:i w:val="1"/>
                <w:iCs w:val="1"/>
                <w:color w:val="auto"/>
              </w:rPr>
              <w:t>(in thousands)</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Adequacy</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Capitalized</w:t>
            </w: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456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December 31, 2023</w:t>
            </w:r>
          </w:p>
        </w:tc>
        <w:tc>
          <w:tcPr>
            <w:tcW w:w="220" w:type="dxa"/>
            <w:vAlign w:val="bottom"/>
          </w:tcPr>
          <w:p>
            <w:pPr>
              <w:spacing w:after="0"/>
              <w:rPr>
                <w:sz w:val="8"/>
                <w:szCs w:val="8"/>
                <w:color w:val="auto"/>
              </w:rPr>
            </w:pPr>
          </w:p>
        </w:tc>
        <w:tc>
          <w:tcPr>
            <w:tcW w:w="1220" w:type="dxa"/>
            <w:vAlign w:val="bottom"/>
          </w:tcPr>
          <w:p>
            <w:pPr>
              <w:jc w:val="right"/>
              <w:ind w:right="631"/>
              <w:spacing w:after="0" w:line="104" w:lineRule="exact"/>
              <w:rPr>
                <w:sz w:val="20"/>
                <w:szCs w:val="20"/>
                <w:color w:val="auto"/>
              </w:rPr>
            </w:pPr>
            <w:r>
              <w:rPr>
                <w:rFonts w:ascii="Arial" w:cs="Arial" w:eastAsia="Arial" w:hAnsi="Arial"/>
                <w:sz w:val="10"/>
                <w:szCs w:val="10"/>
                <w:b w:val="1"/>
                <w:bCs w:val="1"/>
                <w:color w:val="auto"/>
              </w:rPr>
              <w:t>Amount</w:t>
            </w:r>
          </w:p>
        </w:tc>
        <w:tc>
          <w:tcPr>
            <w:tcW w:w="820" w:type="dxa"/>
            <w:vAlign w:val="bottom"/>
          </w:tcPr>
          <w:p>
            <w:pPr>
              <w:jc w:val="right"/>
              <w:ind w:right="351"/>
              <w:spacing w:after="0" w:line="104" w:lineRule="exact"/>
              <w:rPr>
                <w:sz w:val="20"/>
                <w:szCs w:val="20"/>
                <w:color w:val="auto"/>
              </w:rPr>
            </w:pPr>
            <w:r>
              <w:rPr>
                <w:rFonts w:ascii="Arial" w:cs="Arial" w:eastAsia="Arial" w:hAnsi="Arial"/>
                <w:sz w:val="10"/>
                <w:szCs w:val="10"/>
                <w:b w:val="1"/>
                <w:bCs w:val="1"/>
                <w:color w:val="auto"/>
              </w:rPr>
              <w:t>Ratio</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jc w:val="right"/>
              <w:ind w:right="711"/>
              <w:spacing w:after="0" w:line="104" w:lineRule="exact"/>
              <w:rPr>
                <w:sz w:val="20"/>
                <w:szCs w:val="20"/>
                <w:color w:val="auto"/>
              </w:rPr>
            </w:pPr>
            <w:r>
              <w:rPr>
                <w:rFonts w:ascii="Arial" w:cs="Arial" w:eastAsia="Arial" w:hAnsi="Arial"/>
                <w:sz w:val="10"/>
                <w:szCs w:val="10"/>
                <w:b w:val="1"/>
                <w:bCs w:val="1"/>
                <w:color w:val="auto"/>
              </w:rPr>
              <w:t>Amount</w:t>
            </w:r>
          </w:p>
        </w:tc>
        <w:tc>
          <w:tcPr>
            <w:tcW w:w="620" w:type="dxa"/>
            <w:vAlign w:val="bottom"/>
          </w:tcPr>
          <w:p>
            <w:pPr>
              <w:spacing w:after="0" w:line="104" w:lineRule="exact"/>
              <w:rPr>
                <w:sz w:val="20"/>
                <w:szCs w:val="20"/>
                <w:color w:val="auto"/>
              </w:rPr>
            </w:pPr>
            <w:r>
              <w:rPr>
                <w:rFonts w:ascii="Arial" w:cs="Arial" w:eastAsia="Arial" w:hAnsi="Arial"/>
                <w:sz w:val="10"/>
                <w:szCs w:val="10"/>
                <w:b w:val="1"/>
                <w:bCs w:val="1"/>
                <w:color w:val="auto"/>
              </w:rPr>
              <w:t>Ratio</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jc w:val="center"/>
              <w:ind w:right="491"/>
              <w:spacing w:after="0" w:line="104" w:lineRule="exact"/>
              <w:rPr>
                <w:sz w:val="20"/>
                <w:szCs w:val="20"/>
                <w:color w:val="auto"/>
              </w:rPr>
            </w:pPr>
            <w:r>
              <w:rPr>
                <w:rFonts w:ascii="Arial" w:cs="Arial" w:eastAsia="Arial" w:hAnsi="Arial"/>
                <w:sz w:val="10"/>
                <w:szCs w:val="10"/>
                <w:b w:val="1"/>
                <w:bCs w:val="1"/>
                <w:color w:val="auto"/>
              </w:rPr>
              <w:t>Amount</w:t>
            </w:r>
          </w:p>
        </w:tc>
        <w:tc>
          <w:tcPr>
            <w:tcW w:w="740" w:type="dxa"/>
            <w:vAlign w:val="bottom"/>
          </w:tcPr>
          <w:p>
            <w:pPr>
              <w:jc w:val="right"/>
              <w:ind w:right="331"/>
              <w:spacing w:after="0" w:line="104" w:lineRule="exact"/>
              <w:rPr>
                <w:sz w:val="20"/>
                <w:szCs w:val="20"/>
                <w:color w:val="auto"/>
              </w:rPr>
            </w:pPr>
            <w:r>
              <w:rPr>
                <w:rFonts w:ascii="Arial" w:cs="Arial" w:eastAsia="Arial" w:hAnsi="Arial"/>
                <w:sz w:val="10"/>
                <w:szCs w:val="10"/>
                <w:b w:val="1"/>
                <w:bCs w:val="1"/>
                <w:color w:val="auto"/>
              </w:rPr>
              <w:t>Ratio</w:t>
            </w:r>
          </w:p>
        </w:tc>
        <w:tc>
          <w:tcPr>
            <w:tcW w:w="0" w:type="dxa"/>
            <w:vAlign w:val="bottom"/>
          </w:tcPr>
          <w:p>
            <w:pPr>
              <w:spacing w:after="0"/>
              <w:rPr>
                <w:sz w:val="1"/>
                <w:szCs w:val="1"/>
                <w:color w:val="auto"/>
              </w:rPr>
            </w:pPr>
          </w:p>
        </w:tc>
      </w:tr>
      <w:tr>
        <w:trPr>
          <w:trHeight w:val="20"/>
        </w:trPr>
        <w:tc>
          <w:tcPr>
            <w:tcW w:w="90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560" w:type="dxa"/>
            <w:vAlign w:val="bottom"/>
            <w:gridSpan w:val="2"/>
            <w:shd w:val="clear" w:color="auto" w:fill="CCEEFF"/>
          </w:tcPr>
          <w:p>
            <w:pPr>
              <w:spacing w:after="0" w:line="110" w:lineRule="exact"/>
              <w:rPr>
                <w:sz w:val="20"/>
                <w:szCs w:val="20"/>
                <w:color w:val="auto"/>
              </w:rPr>
            </w:pPr>
            <w:r>
              <w:rPr>
                <w:rFonts w:ascii="Arial" w:cs="Arial" w:eastAsia="Arial" w:hAnsi="Arial"/>
                <w:sz w:val="10"/>
                <w:szCs w:val="10"/>
                <w:b w:val="1"/>
                <w:bCs w:val="1"/>
                <w:color w:val="auto"/>
              </w:rPr>
              <w:t>The Company</w:t>
            </w:r>
          </w:p>
        </w:tc>
        <w:tc>
          <w:tcPr>
            <w:tcW w:w="22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560" w:type="dxa"/>
            <w:vAlign w:val="bottom"/>
            <w:gridSpan w:val="2"/>
          </w:tcPr>
          <w:p>
            <w:pPr>
              <w:ind w:left="100"/>
              <w:spacing w:after="0"/>
              <w:rPr>
                <w:sz w:val="20"/>
                <w:szCs w:val="20"/>
                <w:color w:val="auto"/>
              </w:rPr>
            </w:pPr>
            <w:r>
              <w:rPr>
                <w:rFonts w:ascii="Arial" w:cs="Arial" w:eastAsia="Arial" w:hAnsi="Arial"/>
                <w:sz w:val="10"/>
                <w:szCs w:val="10"/>
                <w:color w:val="auto"/>
              </w:rPr>
              <w:t>Tier 1 leverage ratio (to average assets)</w:t>
            </w:r>
          </w:p>
        </w:tc>
        <w:tc>
          <w:tcPr>
            <w:tcW w:w="2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311"/>
              <w:spacing w:after="0"/>
              <w:rPr>
                <w:sz w:val="20"/>
                <w:szCs w:val="20"/>
                <w:color w:val="auto"/>
              </w:rPr>
            </w:pPr>
            <w:r>
              <w:rPr>
                <w:rFonts w:ascii="Arial" w:cs="Arial" w:eastAsia="Arial" w:hAnsi="Arial"/>
                <w:sz w:val="10"/>
                <w:szCs w:val="10"/>
                <w:color w:val="auto"/>
              </w:rPr>
              <w:t>270,019</w:t>
            </w:r>
          </w:p>
        </w:tc>
        <w:tc>
          <w:tcPr>
            <w:tcW w:w="820" w:type="dxa"/>
            <w:vAlign w:val="bottom"/>
          </w:tcPr>
          <w:p>
            <w:pPr>
              <w:jc w:val="right"/>
              <w:spacing w:after="0"/>
              <w:rPr>
                <w:sz w:val="20"/>
                <w:szCs w:val="20"/>
                <w:color w:val="auto"/>
              </w:rPr>
            </w:pPr>
            <w:r>
              <w:rPr>
                <w:rFonts w:ascii="Arial" w:cs="Arial" w:eastAsia="Arial" w:hAnsi="Arial"/>
                <w:sz w:val="10"/>
                <w:szCs w:val="10"/>
                <w:color w:val="auto"/>
              </w:rPr>
              <w:t>12.14 %</w:t>
            </w:r>
          </w:p>
        </w:tc>
        <w:tc>
          <w:tcPr>
            <w:tcW w:w="80" w:type="dxa"/>
            <w:vAlign w:val="bottom"/>
          </w:tcPr>
          <w:p>
            <w:pPr>
              <w:spacing w:after="0"/>
              <w:rPr>
                <w:sz w:val="11"/>
                <w:szCs w:val="11"/>
                <w:color w:val="auto"/>
              </w:rPr>
            </w:pP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451"/>
              <w:spacing w:after="0"/>
              <w:rPr>
                <w:sz w:val="20"/>
                <w:szCs w:val="20"/>
                <w:color w:val="auto"/>
              </w:rPr>
            </w:pPr>
            <w:r>
              <w:rPr>
                <w:rFonts w:ascii="Arial" w:cs="Arial" w:eastAsia="Arial" w:hAnsi="Arial"/>
                <w:sz w:val="10"/>
                <w:szCs w:val="10"/>
                <w:color w:val="auto"/>
              </w:rPr>
              <w:t>89,004</w:t>
            </w:r>
          </w:p>
        </w:tc>
        <w:tc>
          <w:tcPr>
            <w:tcW w:w="620" w:type="dxa"/>
            <w:vAlign w:val="bottom"/>
          </w:tcPr>
          <w:p>
            <w:pPr>
              <w:ind w:left="300"/>
              <w:spacing w:after="0"/>
              <w:rPr>
                <w:sz w:val="20"/>
                <w:szCs w:val="20"/>
                <w:color w:val="auto"/>
              </w:rPr>
            </w:pPr>
            <w:r>
              <w:rPr>
                <w:rFonts w:ascii="Arial" w:cs="Arial" w:eastAsia="Arial" w:hAnsi="Arial"/>
                <w:sz w:val="10"/>
                <w:szCs w:val="10"/>
                <w:color w:val="auto"/>
                <w:w w:val="96"/>
              </w:rPr>
              <w:t>4.00 %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511"/>
              <w:spacing w:after="0"/>
              <w:rPr>
                <w:sz w:val="20"/>
                <w:szCs w:val="20"/>
                <w:color w:val="auto"/>
              </w:rPr>
            </w:pPr>
            <w:r>
              <w:rPr>
                <w:rFonts w:ascii="Arial" w:cs="Arial" w:eastAsia="Arial" w:hAnsi="Arial"/>
                <w:sz w:val="10"/>
                <w:szCs w:val="10"/>
                <w:color w:val="auto"/>
                <w:w w:val="95"/>
              </w:rPr>
              <w:t>N/A</w:t>
            </w:r>
          </w:p>
        </w:tc>
        <w:tc>
          <w:tcPr>
            <w:tcW w:w="740" w:type="dxa"/>
            <w:vAlign w:val="bottom"/>
          </w:tcPr>
          <w:p>
            <w:pPr>
              <w:jc w:val="right"/>
              <w:ind w:right="371"/>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42"/>
        </w:trPr>
        <w:tc>
          <w:tcPr>
            <w:tcW w:w="45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Tier 1 capital (to risk-weighted assets)</w:t>
            </w: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rPr>
              <w:t>270,019</w:t>
            </w: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15.55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451"/>
              <w:spacing w:after="0"/>
              <w:rPr>
                <w:sz w:val="20"/>
                <w:szCs w:val="20"/>
                <w:color w:val="auto"/>
              </w:rPr>
            </w:pPr>
            <w:r>
              <w:rPr>
                <w:rFonts w:ascii="Arial" w:cs="Arial" w:eastAsia="Arial" w:hAnsi="Arial"/>
                <w:sz w:val="10"/>
                <w:szCs w:val="10"/>
                <w:color w:val="auto"/>
              </w:rPr>
              <w:t>104,175</w:t>
            </w:r>
          </w:p>
        </w:tc>
        <w:tc>
          <w:tcPr>
            <w:tcW w:w="620" w:type="dxa"/>
            <w:vAlign w:val="bottom"/>
            <w:shd w:val="clear" w:color="auto" w:fill="CCEEFF"/>
          </w:tcPr>
          <w:p>
            <w:pPr>
              <w:ind w:left="300"/>
              <w:spacing w:after="0"/>
              <w:rPr>
                <w:sz w:val="20"/>
                <w:szCs w:val="20"/>
                <w:color w:val="auto"/>
              </w:rPr>
            </w:pPr>
            <w:r>
              <w:rPr>
                <w:rFonts w:ascii="Arial" w:cs="Arial" w:eastAsia="Arial" w:hAnsi="Arial"/>
                <w:sz w:val="10"/>
                <w:szCs w:val="10"/>
                <w:color w:val="auto"/>
              </w:rPr>
              <w:t>6.00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ind w:right="511"/>
              <w:spacing w:after="0"/>
              <w:rPr>
                <w:sz w:val="20"/>
                <w:szCs w:val="20"/>
                <w:color w:val="auto"/>
              </w:rPr>
            </w:pPr>
            <w:r>
              <w:rPr>
                <w:rFonts w:ascii="Arial" w:cs="Arial" w:eastAsia="Arial" w:hAnsi="Arial"/>
                <w:sz w:val="10"/>
                <w:szCs w:val="10"/>
                <w:color w:val="auto"/>
                <w:w w:val="95"/>
              </w:rPr>
              <w:t>N/A</w:t>
            </w:r>
          </w:p>
        </w:tc>
        <w:tc>
          <w:tcPr>
            <w:tcW w:w="74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34"/>
        </w:trPr>
        <w:tc>
          <w:tcPr>
            <w:tcW w:w="4560" w:type="dxa"/>
            <w:vAlign w:val="bottom"/>
            <w:gridSpan w:val="2"/>
          </w:tcPr>
          <w:p>
            <w:pPr>
              <w:ind w:left="100"/>
              <w:spacing w:after="0"/>
              <w:rPr>
                <w:sz w:val="20"/>
                <w:szCs w:val="20"/>
                <w:color w:val="auto"/>
              </w:rPr>
            </w:pPr>
            <w:r>
              <w:rPr>
                <w:rFonts w:ascii="Arial" w:cs="Arial" w:eastAsia="Arial" w:hAnsi="Arial"/>
                <w:sz w:val="10"/>
                <w:szCs w:val="10"/>
                <w:color w:val="auto"/>
              </w:rPr>
              <w:t>Common equity tier 1 capital ratio (to risk-weighted assets)</w:t>
            </w:r>
          </w:p>
        </w:tc>
        <w:tc>
          <w:tcPr>
            <w:tcW w:w="220" w:type="dxa"/>
            <w:vAlign w:val="bottom"/>
          </w:tcPr>
          <w:p>
            <w:pPr>
              <w:spacing w:after="0"/>
              <w:rPr>
                <w:sz w:val="11"/>
                <w:szCs w:val="11"/>
                <w:color w:val="auto"/>
              </w:rPr>
            </w:pPr>
          </w:p>
        </w:tc>
        <w:tc>
          <w:tcPr>
            <w:tcW w:w="1220" w:type="dxa"/>
            <w:vAlign w:val="bottom"/>
          </w:tcPr>
          <w:p>
            <w:pPr>
              <w:jc w:val="right"/>
              <w:ind w:right="311"/>
              <w:spacing w:after="0"/>
              <w:rPr>
                <w:sz w:val="20"/>
                <w:szCs w:val="20"/>
                <w:color w:val="auto"/>
              </w:rPr>
            </w:pPr>
            <w:r>
              <w:rPr>
                <w:rFonts w:ascii="Arial" w:cs="Arial" w:eastAsia="Arial" w:hAnsi="Arial"/>
                <w:sz w:val="10"/>
                <w:szCs w:val="10"/>
                <w:color w:val="auto"/>
              </w:rPr>
              <w:t>267,957</w:t>
            </w:r>
          </w:p>
        </w:tc>
        <w:tc>
          <w:tcPr>
            <w:tcW w:w="820" w:type="dxa"/>
            <w:vAlign w:val="bottom"/>
          </w:tcPr>
          <w:p>
            <w:pPr>
              <w:jc w:val="right"/>
              <w:ind w:right="91"/>
              <w:spacing w:after="0"/>
              <w:rPr>
                <w:sz w:val="20"/>
                <w:szCs w:val="20"/>
                <w:color w:val="auto"/>
              </w:rPr>
            </w:pPr>
            <w:r>
              <w:rPr>
                <w:rFonts w:ascii="Arial" w:cs="Arial" w:eastAsia="Arial" w:hAnsi="Arial"/>
                <w:sz w:val="10"/>
                <w:szCs w:val="10"/>
                <w:color w:val="auto"/>
              </w:rPr>
              <w:t>15.43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ind w:right="451"/>
              <w:spacing w:after="0"/>
              <w:rPr>
                <w:sz w:val="20"/>
                <w:szCs w:val="20"/>
                <w:color w:val="auto"/>
              </w:rPr>
            </w:pPr>
            <w:r>
              <w:rPr>
                <w:rFonts w:ascii="Arial" w:cs="Arial" w:eastAsia="Arial" w:hAnsi="Arial"/>
                <w:sz w:val="10"/>
                <w:szCs w:val="10"/>
                <w:color w:val="auto"/>
              </w:rPr>
              <w:t>78,132</w:t>
            </w:r>
          </w:p>
        </w:tc>
        <w:tc>
          <w:tcPr>
            <w:tcW w:w="620" w:type="dxa"/>
            <w:vAlign w:val="bottom"/>
          </w:tcPr>
          <w:p>
            <w:pPr>
              <w:ind w:left="300"/>
              <w:spacing w:after="0"/>
              <w:rPr>
                <w:sz w:val="20"/>
                <w:szCs w:val="20"/>
                <w:color w:val="auto"/>
              </w:rPr>
            </w:pPr>
            <w:r>
              <w:rPr>
                <w:rFonts w:ascii="Arial" w:cs="Arial" w:eastAsia="Arial" w:hAnsi="Arial"/>
                <w:sz w:val="10"/>
                <w:szCs w:val="10"/>
                <w:color w:val="auto"/>
              </w:rPr>
              <w:t>4.50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511"/>
              <w:spacing w:after="0"/>
              <w:rPr>
                <w:sz w:val="20"/>
                <w:szCs w:val="20"/>
                <w:color w:val="auto"/>
              </w:rPr>
            </w:pPr>
            <w:r>
              <w:rPr>
                <w:rFonts w:ascii="Arial" w:cs="Arial" w:eastAsia="Arial" w:hAnsi="Arial"/>
                <w:sz w:val="10"/>
                <w:szCs w:val="10"/>
                <w:color w:val="auto"/>
                <w:w w:val="95"/>
              </w:rPr>
              <w:t>N/A</w:t>
            </w:r>
          </w:p>
        </w:tc>
        <w:tc>
          <w:tcPr>
            <w:tcW w:w="740" w:type="dxa"/>
            <w:vAlign w:val="bottom"/>
          </w:tcPr>
          <w:p>
            <w:pPr>
              <w:jc w:val="right"/>
              <w:ind w:right="371"/>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42"/>
        </w:trPr>
        <w:tc>
          <w:tcPr>
            <w:tcW w:w="45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Total capital ratio (to risk-weighted assets)</w:t>
            </w: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rPr>
              <w:t>301,817</w:t>
            </w: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17.38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451"/>
              <w:spacing w:after="0"/>
              <w:rPr>
                <w:sz w:val="20"/>
                <w:szCs w:val="20"/>
                <w:color w:val="auto"/>
              </w:rPr>
            </w:pPr>
            <w:r>
              <w:rPr>
                <w:rFonts w:ascii="Arial" w:cs="Arial" w:eastAsia="Arial" w:hAnsi="Arial"/>
                <w:sz w:val="10"/>
                <w:szCs w:val="10"/>
                <w:color w:val="auto"/>
              </w:rPr>
              <w:t>138,900</w:t>
            </w:r>
          </w:p>
        </w:tc>
        <w:tc>
          <w:tcPr>
            <w:tcW w:w="620" w:type="dxa"/>
            <w:vAlign w:val="bottom"/>
            <w:shd w:val="clear" w:color="auto" w:fill="CCEEFF"/>
          </w:tcPr>
          <w:p>
            <w:pPr>
              <w:ind w:left="300"/>
              <w:spacing w:after="0"/>
              <w:rPr>
                <w:sz w:val="20"/>
                <w:szCs w:val="20"/>
                <w:color w:val="auto"/>
              </w:rPr>
            </w:pPr>
            <w:r>
              <w:rPr>
                <w:rFonts w:ascii="Arial" w:cs="Arial" w:eastAsia="Arial" w:hAnsi="Arial"/>
                <w:sz w:val="10"/>
                <w:szCs w:val="10"/>
                <w:color w:val="auto"/>
              </w:rPr>
              <w:t>8.00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ind w:right="511"/>
              <w:spacing w:after="0"/>
              <w:rPr>
                <w:sz w:val="20"/>
                <w:szCs w:val="20"/>
                <w:color w:val="auto"/>
              </w:rPr>
            </w:pPr>
            <w:r>
              <w:rPr>
                <w:rFonts w:ascii="Arial" w:cs="Arial" w:eastAsia="Arial" w:hAnsi="Arial"/>
                <w:sz w:val="10"/>
                <w:szCs w:val="10"/>
                <w:color w:val="auto"/>
                <w:w w:val="95"/>
              </w:rPr>
              <w:t>N/A</w:t>
            </w:r>
          </w:p>
        </w:tc>
        <w:tc>
          <w:tcPr>
            <w:tcW w:w="74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5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The Bank</w:t>
            </w: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560" w:type="dxa"/>
            <w:vAlign w:val="bottom"/>
            <w:gridSpan w:val="2"/>
          </w:tcPr>
          <w:p>
            <w:pPr>
              <w:ind w:left="100"/>
              <w:spacing w:after="0"/>
              <w:rPr>
                <w:sz w:val="20"/>
                <w:szCs w:val="20"/>
                <w:color w:val="auto"/>
              </w:rPr>
            </w:pPr>
            <w:r>
              <w:rPr>
                <w:rFonts w:ascii="Arial" w:cs="Arial" w:eastAsia="Arial" w:hAnsi="Arial"/>
                <w:sz w:val="10"/>
                <w:szCs w:val="10"/>
                <w:color w:val="auto"/>
              </w:rPr>
              <w:t>Tier 1 leverage ratio (to average assets)</w:t>
            </w:r>
          </w:p>
        </w:tc>
        <w:tc>
          <w:tcPr>
            <w:tcW w:w="2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311"/>
              <w:spacing w:after="0"/>
              <w:rPr>
                <w:sz w:val="20"/>
                <w:szCs w:val="20"/>
                <w:color w:val="auto"/>
              </w:rPr>
            </w:pPr>
            <w:r>
              <w:rPr>
                <w:rFonts w:ascii="Arial" w:cs="Arial" w:eastAsia="Arial" w:hAnsi="Arial"/>
                <w:sz w:val="10"/>
                <w:szCs w:val="10"/>
                <w:color w:val="auto"/>
              </w:rPr>
              <w:t>228,794</w:t>
            </w:r>
          </w:p>
        </w:tc>
        <w:tc>
          <w:tcPr>
            <w:tcW w:w="820" w:type="dxa"/>
            <w:vAlign w:val="bottom"/>
          </w:tcPr>
          <w:p>
            <w:pPr>
              <w:jc w:val="right"/>
              <w:spacing w:after="0"/>
              <w:rPr>
                <w:sz w:val="20"/>
                <w:szCs w:val="20"/>
                <w:color w:val="auto"/>
              </w:rPr>
            </w:pPr>
            <w:r>
              <w:rPr>
                <w:rFonts w:ascii="Arial" w:cs="Arial" w:eastAsia="Arial" w:hAnsi="Arial"/>
                <w:sz w:val="10"/>
                <w:szCs w:val="10"/>
                <w:color w:val="auto"/>
              </w:rPr>
              <w:t>10.51 %</w:t>
            </w:r>
          </w:p>
        </w:tc>
        <w:tc>
          <w:tcPr>
            <w:tcW w:w="80" w:type="dxa"/>
            <w:vAlign w:val="bottom"/>
          </w:tcPr>
          <w:p>
            <w:pPr>
              <w:spacing w:after="0"/>
              <w:rPr>
                <w:sz w:val="11"/>
                <w:szCs w:val="11"/>
                <w:color w:val="auto"/>
              </w:rPr>
            </w:pP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451"/>
              <w:spacing w:after="0"/>
              <w:rPr>
                <w:sz w:val="20"/>
                <w:szCs w:val="20"/>
                <w:color w:val="auto"/>
              </w:rPr>
            </w:pPr>
            <w:r>
              <w:rPr>
                <w:rFonts w:ascii="Arial" w:cs="Arial" w:eastAsia="Arial" w:hAnsi="Arial"/>
                <w:sz w:val="10"/>
                <w:szCs w:val="10"/>
                <w:color w:val="auto"/>
              </w:rPr>
              <w:t>87,068</w:t>
            </w:r>
          </w:p>
        </w:tc>
        <w:tc>
          <w:tcPr>
            <w:tcW w:w="620" w:type="dxa"/>
            <w:vAlign w:val="bottom"/>
          </w:tcPr>
          <w:p>
            <w:pPr>
              <w:ind w:left="300"/>
              <w:spacing w:after="0"/>
              <w:rPr>
                <w:sz w:val="20"/>
                <w:szCs w:val="20"/>
                <w:color w:val="auto"/>
              </w:rPr>
            </w:pPr>
            <w:r>
              <w:rPr>
                <w:rFonts w:ascii="Arial" w:cs="Arial" w:eastAsia="Arial" w:hAnsi="Arial"/>
                <w:sz w:val="10"/>
                <w:szCs w:val="10"/>
                <w:color w:val="auto"/>
                <w:w w:val="96"/>
              </w:rPr>
              <w:t>4.00 %</w:t>
            </w:r>
          </w:p>
        </w:tc>
        <w:tc>
          <w:tcPr>
            <w:tcW w:w="80" w:type="dxa"/>
            <w:vAlign w:val="bottom"/>
          </w:tcPr>
          <w:p>
            <w:pPr>
              <w:spacing w:after="0"/>
              <w:rPr>
                <w:sz w:val="11"/>
                <w:szCs w:val="11"/>
                <w:color w:val="auto"/>
              </w:rPr>
            </w:pPr>
          </w:p>
        </w:tc>
        <w:tc>
          <w:tcPr>
            <w:tcW w:w="2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331"/>
              <w:spacing w:after="0"/>
              <w:rPr>
                <w:sz w:val="20"/>
                <w:szCs w:val="20"/>
                <w:color w:val="auto"/>
              </w:rPr>
            </w:pPr>
            <w:r>
              <w:rPr>
                <w:rFonts w:ascii="Arial" w:cs="Arial" w:eastAsia="Arial" w:hAnsi="Arial"/>
                <w:sz w:val="10"/>
                <w:szCs w:val="10"/>
                <w:color w:val="auto"/>
              </w:rPr>
              <w:t>108,835</w:t>
            </w:r>
          </w:p>
        </w:tc>
        <w:tc>
          <w:tcPr>
            <w:tcW w:w="740" w:type="dxa"/>
            <w:vAlign w:val="bottom"/>
          </w:tcPr>
          <w:p>
            <w:pPr>
              <w:jc w:val="right"/>
              <w:spacing w:after="0"/>
              <w:rPr>
                <w:sz w:val="20"/>
                <w:szCs w:val="20"/>
                <w:color w:val="auto"/>
              </w:rPr>
            </w:pPr>
            <w:r>
              <w:rPr>
                <w:rFonts w:ascii="Arial" w:cs="Arial" w:eastAsia="Arial" w:hAnsi="Arial"/>
                <w:sz w:val="10"/>
                <w:szCs w:val="10"/>
                <w:color w:val="auto"/>
              </w:rPr>
              <w:t>5.00 %</w:t>
            </w:r>
          </w:p>
        </w:tc>
        <w:tc>
          <w:tcPr>
            <w:tcW w:w="0" w:type="dxa"/>
            <w:vAlign w:val="bottom"/>
          </w:tcPr>
          <w:p>
            <w:pPr>
              <w:spacing w:after="0"/>
              <w:rPr>
                <w:sz w:val="1"/>
                <w:szCs w:val="1"/>
                <w:color w:val="auto"/>
              </w:rPr>
            </w:pPr>
          </w:p>
        </w:tc>
      </w:tr>
      <w:tr>
        <w:trPr>
          <w:trHeight w:val="142"/>
        </w:trPr>
        <w:tc>
          <w:tcPr>
            <w:tcW w:w="45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Tier 1 capital (to risk-weighted assets)</w:t>
            </w: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rPr>
              <w:t>228,794</w:t>
            </w: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13.56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451"/>
              <w:spacing w:after="0"/>
              <w:rPr>
                <w:sz w:val="20"/>
                <w:szCs w:val="20"/>
                <w:color w:val="auto"/>
              </w:rPr>
            </w:pPr>
            <w:r>
              <w:rPr>
                <w:rFonts w:ascii="Arial" w:cs="Arial" w:eastAsia="Arial" w:hAnsi="Arial"/>
                <w:sz w:val="10"/>
                <w:szCs w:val="10"/>
                <w:color w:val="auto"/>
              </w:rPr>
              <w:t>101,251</w:t>
            </w:r>
          </w:p>
        </w:tc>
        <w:tc>
          <w:tcPr>
            <w:tcW w:w="620" w:type="dxa"/>
            <w:vAlign w:val="bottom"/>
            <w:shd w:val="clear" w:color="auto" w:fill="CCEEFF"/>
          </w:tcPr>
          <w:p>
            <w:pPr>
              <w:ind w:left="300"/>
              <w:spacing w:after="0"/>
              <w:rPr>
                <w:sz w:val="20"/>
                <w:szCs w:val="20"/>
                <w:color w:val="auto"/>
              </w:rPr>
            </w:pPr>
            <w:r>
              <w:rPr>
                <w:rFonts w:ascii="Arial" w:cs="Arial" w:eastAsia="Arial" w:hAnsi="Arial"/>
                <w:sz w:val="10"/>
                <w:szCs w:val="10"/>
                <w:color w:val="auto"/>
              </w:rPr>
              <w:t>6.00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31"/>
              <w:spacing w:after="0"/>
              <w:rPr>
                <w:sz w:val="20"/>
                <w:szCs w:val="20"/>
                <w:color w:val="auto"/>
              </w:rPr>
            </w:pPr>
            <w:r>
              <w:rPr>
                <w:rFonts w:ascii="Arial" w:cs="Arial" w:eastAsia="Arial" w:hAnsi="Arial"/>
                <w:sz w:val="10"/>
                <w:szCs w:val="10"/>
                <w:color w:val="auto"/>
              </w:rPr>
              <w:t>135,001</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8.00</w:t>
            </w:r>
          </w:p>
        </w:tc>
        <w:tc>
          <w:tcPr>
            <w:tcW w:w="0" w:type="dxa"/>
            <w:vAlign w:val="bottom"/>
          </w:tcPr>
          <w:p>
            <w:pPr>
              <w:spacing w:after="0"/>
              <w:rPr>
                <w:sz w:val="1"/>
                <w:szCs w:val="1"/>
                <w:color w:val="auto"/>
              </w:rPr>
            </w:pPr>
          </w:p>
        </w:tc>
      </w:tr>
      <w:tr>
        <w:trPr>
          <w:trHeight w:val="134"/>
        </w:trPr>
        <w:tc>
          <w:tcPr>
            <w:tcW w:w="4560" w:type="dxa"/>
            <w:vAlign w:val="bottom"/>
            <w:gridSpan w:val="2"/>
          </w:tcPr>
          <w:p>
            <w:pPr>
              <w:ind w:left="100"/>
              <w:spacing w:after="0"/>
              <w:rPr>
                <w:sz w:val="20"/>
                <w:szCs w:val="20"/>
                <w:color w:val="auto"/>
              </w:rPr>
            </w:pPr>
            <w:r>
              <w:rPr>
                <w:rFonts w:ascii="Arial" w:cs="Arial" w:eastAsia="Arial" w:hAnsi="Arial"/>
                <w:sz w:val="10"/>
                <w:szCs w:val="10"/>
                <w:color w:val="auto"/>
              </w:rPr>
              <w:t>Common equity tier 1 capital ratio (to risk-weighted assets)</w:t>
            </w:r>
          </w:p>
        </w:tc>
        <w:tc>
          <w:tcPr>
            <w:tcW w:w="220" w:type="dxa"/>
            <w:vAlign w:val="bottom"/>
          </w:tcPr>
          <w:p>
            <w:pPr>
              <w:spacing w:after="0"/>
              <w:rPr>
                <w:sz w:val="11"/>
                <w:szCs w:val="11"/>
                <w:color w:val="auto"/>
              </w:rPr>
            </w:pPr>
          </w:p>
        </w:tc>
        <w:tc>
          <w:tcPr>
            <w:tcW w:w="1220" w:type="dxa"/>
            <w:vAlign w:val="bottom"/>
          </w:tcPr>
          <w:p>
            <w:pPr>
              <w:jc w:val="right"/>
              <w:ind w:right="311"/>
              <w:spacing w:after="0"/>
              <w:rPr>
                <w:sz w:val="20"/>
                <w:szCs w:val="20"/>
                <w:color w:val="auto"/>
              </w:rPr>
            </w:pPr>
            <w:r>
              <w:rPr>
                <w:rFonts w:ascii="Arial" w:cs="Arial" w:eastAsia="Arial" w:hAnsi="Arial"/>
                <w:sz w:val="10"/>
                <w:szCs w:val="10"/>
                <w:color w:val="auto"/>
              </w:rPr>
              <w:t>228,794</w:t>
            </w:r>
          </w:p>
        </w:tc>
        <w:tc>
          <w:tcPr>
            <w:tcW w:w="820" w:type="dxa"/>
            <w:vAlign w:val="bottom"/>
          </w:tcPr>
          <w:p>
            <w:pPr>
              <w:jc w:val="right"/>
              <w:ind w:right="91"/>
              <w:spacing w:after="0"/>
              <w:rPr>
                <w:sz w:val="20"/>
                <w:szCs w:val="20"/>
                <w:color w:val="auto"/>
              </w:rPr>
            </w:pPr>
            <w:r>
              <w:rPr>
                <w:rFonts w:ascii="Arial" w:cs="Arial" w:eastAsia="Arial" w:hAnsi="Arial"/>
                <w:sz w:val="10"/>
                <w:szCs w:val="10"/>
                <w:color w:val="auto"/>
              </w:rPr>
              <w:t>13.56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ind w:right="451"/>
              <w:spacing w:after="0"/>
              <w:rPr>
                <w:sz w:val="20"/>
                <w:szCs w:val="20"/>
                <w:color w:val="auto"/>
              </w:rPr>
            </w:pPr>
            <w:r>
              <w:rPr>
                <w:rFonts w:ascii="Arial" w:cs="Arial" w:eastAsia="Arial" w:hAnsi="Arial"/>
                <w:sz w:val="10"/>
                <w:szCs w:val="10"/>
                <w:color w:val="auto"/>
              </w:rPr>
              <w:t>75,938</w:t>
            </w:r>
          </w:p>
        </w:tc>
        <w:tc>
          <w:tcPr>
            <w:tcW w:w="620" w:type="dxa"/>
            <w:vAlign w:val="bottom"/>
          </w:tcPr>
          <w:p>
            <w:pPr>
              <w:ind w:left="300"/>
              <w:spacing w:after="0"/>
              <w:rPr>
                <w:sz w:val="20"/>
                <w:szCs w:val="20"/>
                <w:color w:val="auto"/>
              </w:rPr>
            </w:pPr>
            <w:r>
              <w:rPr>
                <w:rFonts w:ascii="Arial" w:cs="Arial" w:eastAsia="Arial" w:hAnsi="Arial"/>
                <w:sz w:val="10"/>
                <w:szCs w:val="10"/>
                <w:color w:val="auto"/>
              </w:rPr>
              <w:t>4.50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ind w:right="331"/>
              <w:spacing w:after="0"/>
              <w:rPr>
                <w:sz w:val="20"/>
                <w:szCs w:val="20"/>
                <w:color w:val="auto"/>
              </w:rPr>
            </w:pPr>
            <w:r>
              <w:rPr>
                <w:rFonts w:ascii="Arial" w:cs="Arial" w:eastAsia="Arial" w:hAnsi="Arial"/>
                <w:sz w:val="10"/>
                <w:szCs w:val="10"/>
                <w:color w:val="auto"/>
              </w:rPr>
              <w:t>109,688</w:t>
            </w:r>
          </w:p>
        </w:tc>
        <w:tc>
          <w:tcPr>
            <w:tcW w:w="740" w:type="dxa"/>
            <w:vAlign w:val="bottom"/>
          </w:tcPr>
          <w:p>
            <w:pPr>
              <w:jc w:val="right"/>
              <w:ind w:right="91"/>
              <w:spacing w:after="0"/>
              <w:rPr>
                <w:sz w:val="20"/>
                <w:szCs w:val="20"/>
                <w:color w:val="auto"/>
              </w:rPr>
            </w:pPr>
            <w:r>
              <w:rPr>
                <w:rFonts w:ascii="Arial" w:cs="Arial" w:eastAsia="Arial" w:hAnsi="Arial"/>
                <w:sz w:val="10"/>
                <w:szCs w:val="10"/>
                <w:color w:val="auto"/>
              </w:rPr>
              <w:t>6.50</w:t>
            </w:r>
          </w:p>
        </w:tc>
        <w:tc>
          <w:tcPr>
            <w:tcW w:w="0" w:type="dxa"/>
            <w:vAlign w:val="bottom"/>
          </w:tcPr>
          <w:p>
            <w:pPr>
              <w:spacing w:after="0"/>
              <w:rPr>
                <w:sz w:val="1"/>
                <w:szCs w:val="1"/>
                <w:color w:val="auto"/>
              </w:rPr>
            </w:pPr>
          </w:p>
        </w:tc>
      </w:tr>
      <w:tr>
        <w:trPr>
          <w:trHeight w:val="142"/>
        </w:trPr>
        <w:tc>
          <w:tcPr>
            <w:tcW w:w="45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Total capital ratio (to risk-weighted assets)</w:t>
            </w: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rPr>
              <w:t>249,984</w:t>
            </w: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14.81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451"/>
              <w:spacing w:after="0"/>
              <w:rPr>
                <w:sz w:val="20"/>
                <w:szCs w:val="20"/>
                <w:color w:val="auto"/>
              </w:rPr>
            </w:pPr>
            <w:r>
              <w:rPr>
                <w:rFonts w:ascii="Arial" w:cs="Arial" w:eastAsia="Arial" w:hAnsi="Arial"/>
                <w:sz w:val="10"/>
                <w:szCs w:val="10"/>
                <w:color w:val="auto"/>
              </w:rPr>
              <w:t>135,001</w:t>
            </w:r>
          </w:p>
        </w:tc>
        <w:tc>
          <w:tcPr>
            <w:tcW w:w="620" w:type="dxa"/>
            <w:vAlign w:val="bottom"/>
            <w:shd w:val="clear" w:color="auto" w:fill="CCEEFF"/>
          </w:tcPr>
          <w:p>
            <w:pPr>
              <w:ind w:left="300"/>
              <w:spacing w:after="0"/>
              <w:rPr>
                <w:sz w:val="20"/>
                <w:szCs w:val="20"/>
                <w:color w:val="auto"/>
              </w:rPr>
            </w:pPr>
            <w:r>
              <w:rPr>
                <w:rFonts w:ascii="Arial" w:cs="Arial" w:eastAsia="Arial" w:hAnsi="Arial"/>
                <w:sz w:val="10"/>
                <w:szCs w:val="10"/>
                <w:color w:val="auto"/>
              </w:rPr>
              <w:t>8.00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31"/>
              <w:spacing w:after="0"/>
              <w:rPr>
                <w:sz w:val="20"/>
                <w:szCs w:val="20"/>
                <w:color w:val="auto"/>
              </w:rPr>
            </w:pPr>
            <w:r>
              <w:rPr>
                <w:rFonts w:ascii="Arial" w:cs="Arial" w:eastAsia="Arial" w:hAnsi="Arial"/>
                <w:sz w:val="10"/>
                <w:szCs w:val="10"/>
                <w:color w:val="auto"/>
              </w:rPr>
              <w:t>168,751</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r>
        <w:trPr>
          <w:trHeight w:val="282"/>
        </w:trPr>
        <w:tc>
          <w:tcPr>
            <w:tcW w:w="4560" w:type="dxa"/>
            <w:vAlign w:val="bottom"/>
            <w:gridSpan w:val="2"/>
          </w:tcPr>
          <w:p>
            <w:pPr>
              <w:spacing w:after="0"/>
              <w:rPr>
                <w:sz w:val="20"/>
                <w:szCs w:val="20"/>
                <w:color w:val="auto"/>
              </w:rPr>
            </w:pPr>
            <w:r>
              <w:rPr>
                <w:rFonts w:ascii="Arial" w:cs="Arial" w:eastAsia="Arial" w:hAnsi="Arial"/>
                <w:sz w:val="10"/>
                <w:szCs w:val="10"/>
                <w:b w:val="1"/>
                <w:bCs w:val="1"/>
                <w:color w:val="auto"/>
              </w:rPr>
              <w:t>December 31, 2022</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rPr>
              <w:t>The Company</w:t>
            </w:r>
          </w:p>
        </w:tc>
        <w:tc>
          <w:tcPr>
            <w:tcW w:w="3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560" w:type="dxa"/>
            <w:vAlign w:val="bottom"/>
            <w:gridSpan w:val="2"/>
          </w:tcPr>
          <w:p>
            <w:pPr>
              <w:ind w:left="100"/>
              <w:spacing w:after="0"/>
              <w:rPr>
                <w:sz w:val="20"/>
                <w:szCs w:val="20"/>
                <w:color w:val="auto"/>
              </w:rPr>
            </w:pPr>
            <w:r>
              <w:rPr>
                <w:rFonts w:ascii="Arial" w:cs="Arial" w:eastAsia="Arial" w:hAnsi="Arial"/>
                <w:sz w:val="10"/>
                <w:szCs w:val="10"/>
                <w:color w:val="auto"/>
              </w:rPr>
              <w:t>Tier 1 leverage ratio (to average assets)</w:t>
            </w:r>
          </w:p>
        </w:tc>
        <w:tc>
          <w:tcPr>
            <w:tcW w:w="2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311"/>
              <w:spacing w:after="0"/>
              <w:rPr>
                <w:sz w:val="20"/>
                <w:szCs w:val="20"/>
                <w:color w:val="auto"/>
              </w:rPr>
            </w:pPr>
            <w:r>
              <w:rPr>
                <w:rFonts w:ascii="Arial" w:cs="Arial" w:eastAsia="Arial" w:hAnsi="Arial"/>
                <w:sz w:val="10"/>
                <w:szCs w:val="10"/>
                <w:color w:val="auto"/>
              </w:rPr>
              <w:t>242,829</w:t>
            </w:r>
          </w:p>
        </w:tc>
        <w:tc>
          <w:tcPr>
            <w:tcW w:w="820" w:type="dxa"/>
            <w:vAlign w:val="bottom"/>
          </w:tcPr>
          <w:p>
            <w:pPr>
              <w:jc w:val="right"/>
              <w:spacing w:after="0"/>
              <w:rPr>
                <w:sz w:val="20"/>
                <w:szCs w:val="20"/>
                <w:color w:val="auto"/>
              </w:rPr>
            </w:pPr>
            <w:r>
              <w:rPr>
                <w:rFonts w:ascii="Arial" w:cs="Arial" w:eastAsia="Arial" w:hAnsi="Arial"/>
                <w:sz w:val="10"/>
                <w:szCs w:val="10"/>
                <w:color w:val="auto"/>
              </w:rPr>
              <w:t>11.24 %</w:t>
            </w:r>
          </w:p>
        </w:tc>
        <w:tc>
          <w:tcPr>
            <w:tcW w:w="80" w:type="dxa"/>
            <w:vAlign w:val="bottom"/>
          </w:tcPr>
          <w:p>
            <w:pPr>
              <w:spacing w:after="0"/>
              <w:rPr>
                <w:sz w:val="11"/>
                <w:szCs w:val="11"/>
                <w:color w:val="auto"/>
              </w:rPr>
            </w:pP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451"/>
              <w:spacing w:after="0"/>
              <w:rPr>
                <w:sz w:val="20"/>
                <w:szCs w:val="20"/>
                <w:color w:val="auto"/>
              </w:rPr>
            </w:pPr>
            <w:r>
              <w:rPr>
                <w:rFonts w:ascii="Arial" w:cs="Arial" w:eastAsia="Arial" w:hAnsi="Arial"/>
                <w:sz w:val="10"/>
                <w:szCs w:val="10"/>
                <w:color w:val="auto"/>
              </w:rPr>
              <w:t>86,442</w:t>
            </w:r>
          </w:p>
        </w:tc>
        <w:tc>
          <w:tcPr>
            <w:tcW w:w="620" w:type="dxa"/>
            <w:vAlign w:val="bottom"/>
          </w:tcPr>
          <w:p>
            <w:pPr>
              <w:ind w:left="300"/>
              <w:spacing w:after="0"/>
              <w:rPr>
                <w:sz w:val="20"/>
                <w:szCs w:val="20"/>
                <w:color w:val="auto"/>
              </w:rPr>
            </w:pPr>
            <w:r>
              <w:rPr>
                <w:rFonts w:ascii="Arial" w:cs="Arial" w:eastAsia="Arial" w:hAnsi="Arial"/>
                <w:sz w:val="10"/>
                <w:szCs w:val="10"/>
                <w:color w:val="auto"/>
                <w:w w:val="96"/>
              </w:rPr>
              <w:t>4.00 %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511"/>
              <w:spacing w:after="0"/>
              <w:rPr>
                <w:sz w:val="20"/>
                <w:szCs w:val="20"/>
                <w:color w:val="auto"/>
              </w:rPr>
            </w:pPr>
            <w:r>
              <w:rPr>
                <w:rFonts w:ascii="Arial" w:cs="Arial" w:eastAsia="Arial" w:hAnsi="Arial"/>
                <w:sz w:val="10"/>
                <w:szCs w:val="10"/>
                <w:color w:val="auto"/>
                <w:w w:val="95"/>
              </w:rPr>
              <w:t>N/A</w:t>
            </w:r>
          </w:p>
        </w:tc>
        <w:tc>
          <w:tcPr>
            <w:tcW w:w="740" w:type="dxa"/>
            <w:vAlign w:val="bottom"/>
          </w:tcPr>
          <w:p>
            <w:pPr>
              <w:jc w:val="right"/>
              <w:ind w:right="371"/>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42"/>
        </w:trPr>
        <w:tc>
          <w:tcPr>
            <w:tcW w:w="45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Tier 1 capital (to risk-weighted assets)</w:t>
            </w: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rPr>
              <w:t>242,829</w:t>
            </w: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15.13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451"/>
              <w:spacing w:after="0"/>
              <w:rPr>
                <w:sz w:val="20"/>
                <w:szCs w:val="20"/>
                <w:color w:val="auto"/>
              </w:rPr>
            </w:pPr>
            <w:r>
              <w:rPr>
                <w:rFonts w:ascii="Arial" w:cs="Arial" w:eastAsia="Arial" w:hAnsi="Arial"/>
                <w:sz w:val="10"/>
                <w:szCs w:val="10"/>
                <w:color w:val="auto"/>
              </w:rPr>
              <w:t>96,315</w:t>
            </w:r>
          </w:p>
        </w:tc>
        <w:tc>
          <w:tcPr>
            <w:tcW w:w="620" w:type="dxa"/>
            <w:vAlign w:val="bottom"/>
            <w:shd w:val="clear" w:color="auto" w:fill="CCEEFF"/>
          </w:tcPr>
          <w:p>
            <w:pPr>
              <w:ind w:left="300"/>
              <w:spacing w:after="0"/>
              <w:rPr>
                <w:sz w:val="20"/>
                <w:szCs w:val="20"/>
                <w:color w:val="auto"/>
              </w:rPr>
            </w:pPr>
            <w:r>
              <w:rPr>
                <w:rFonts w:ascii="Arial" w:cs="Arial" w:eastAsia="Arial" w:hAnsi="Arial"/>
                <w:sz w:val="10"/>
                <w:szCs w:val="10"/>
                <w:color w:val="auto"/>
              </w:rPr>
              <w:t>6.00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ind w:right="511"/>
              <w:spacing w:after="0"/>
              <w:rPr>
                <w:sz w:val="20"/>
                <w:szCs w:val="20"/>
                <w:color w:val="auto"/>
              </w:rPr>
            </w:pPr>
            <w:r>
              <w:rPr>
                <w:rFonts w:ascii="Arial" w:cs="Arial" w:eastAsia="Arial" w:hAnsi="Arial"/>
                <w:sz w:val="10"/>
                <w:szCs w:val="10"/>
                <w:color w:val="auto"/>
                <w:w w:val="95"/>
              </w:rPr>
              <w:t>N/A</w:t>
            </w:r>
          </w:p>
        </w:tc>
        <w:tc>
          <w:tcPr>
            <w:tcW w:w="74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34"/>
        </w:trPr>
        <w:tc>
          <w:tcPr>
            <w:tcW w:w="4560" w:type="dxa"/>
            <w:vAlign w:val="bottom"/>
            <w:gridSpan w:val="2"/>
          </w:tcPr>
          <w:p>
            <w:pPr>
              <w:ind w:left="100"/>
              <w:spacing w:after="0"/>
              <w:rPr>
                <w:sz w:val="20"/>
                <w:szCs w:val="20"/>
                <w:color w:val="auto"/>
              </w:rPr>
            </w:pPr>
            <w:r>
              <w:rPr>
                <w:rFonts w:ascii="Arial" w:cs="Arial" w:eastAsia="Arial" w:hAnsi="Arial"/>
                <w:sz w:val="10"/>
                <w:szCs w:val="10"/>
                <w:color w:val="auto"/>
              </w:rPr>
              <w:t>Common equity tier 1 capital ratio (to risk-weighted assets)</w:t>
            </w:r>
          </w:p>
        </w:tc>
        <w:tc>
          <w:tcPr>
            <w:tcW w:w="220" w:type="dxa"/>
            <w:vAlign w:val="bottom"/>
          </w:tcPr>
          <w:p>
            <w:pPr>
              <w:spacing w:after="0"/>
              <w:rPr>
                <w:sz w:val="11"/>
                <w:szCs w:val="11"/>
                <w:color w:val="auto"/>
              </w:rPr>
            </w:pPr>
          </w:p>
        </w:tc>
        <w:tc>
          <w:tcPr>
            <w:tcW w:w="1220" w:type="dxa"/>
            <w:vAlign w:val="bottom"/>
          </w:tcPr>
          <w:p>
            <w:pPr>
              <w:jc w:val="right"/>
              <w:ind w:right="311"/>
              <w:spacing w:after="0"/>
              <w:rPr>
                <w:sz w:val="20"/>
                <w:szCs w:val="20"/>
                <w:color w:val="auto"/>
              </w:rPr>
            </w:pPr>
            <w:r>
              <w:rPr>
                <w:rFonts w:ascii="Arial" w:cs="Arial" w:eastAsia="Arial" w:hAnsi="Arial"/>
                <w:sz w:val="10"/>
                <w:szCs w:val="10"/>
                <w:color w:val="auto"/>
              </w:rPr>
              <w:t>240,767</w:t>
            </w:r>
          </w:p>
        </w:tc>
        <w:tc>
          <w:tcPr>
            <w:tcW w:w="820" w:type="dxa"/>
            <w:vAlign w:val="bottom"/>
          </w:tcPr>
          <w:p>
            <w:pPr>
              <w:jc w:val="right"/>
              <w:ind w:right="91"/>
              <w:spacing w:after="0"/>
              <w:rPr>
                <w:sz w:val="20"/>
                <w:szCs w:val="20"/>
                <w:color w:val="auto"/>
              </w:rPr>
            </w:pPr>
            <w:r>
              <w:rPr>
                <w:rFonts w:ascii="Arial" w:cs="Arial" w:eastAsia="Arial" w:hAnsi="Arial"/>
                <w:sz w:val="10"/>
                <w:szCs w:val="10"/>
                <w:color w:val="auto"/>
              </w:rPr>
              <w:t>15.00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ind w:right="451"/>
              <w:spacing w:after="0"/>
              <w:rPr>
                <w:sz w:val="20"/>
                <w:szCs w:val="20"/>
                <w:color w:val="auto"/>
              </w:rPr>
            </w:pPr>
            <w:r>
              <w:rPr>
                <w:rFonts w:ascii="Arial" w:cs="Arial" w:eastAsia="Arial" w:hAnsi="Arial"/>
                <w:sz w:val="10"/>
                <w:szCs w:val="10"/>
                <w:color w:val="auto"/>
              </w:rPr>
              <w:t>72,237</w:t>
            </w:r>
          </w:p>
        </w:tc>
        <w:tc>
          <w:tcPr>
            <w:tcW w:w="620" w:type="dxa"/>
            <w:vAlign w:val="bottom"/>
          </w:tcPr>
          <w:p>
            <w:pPr>
              <w:ind w:left="300"/>
              <w:spacing w:after="0"/>
              <w:rPr>
                <w:sz w:val="20"/>
                <w:szCs w:val="20"/>
                <w:color w:val="auto"/>
              </w:rPr>
            </w:pPr>
            <w:r>
              <w:rPr>
                <w:rFonts w:ascii="Arial" w:cs="Arial" w:eastAsia="Arial" w:hAnsi="Arial"/>
                <w:sz w:val="10"/>
                <w:szCs w:val="10"/>
                <w:color w:val="auto"/>
              </w:rPr>
              <w:t>4.50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511"/>
              <w:spacing w:after="0"/>
              <w:rPr>
                <w:sz w:val="20"/>
                <w:szCs w:val="20"/>
                <w:color w:val="auto"/>
              </w:rPr>
            </w:pPr>
            <w:r>
              <w:rPr>
                <w:rFonts w:ascii="Arial" w:cs="Arial" w:eastAsia="Arial" w:hAnsi="Arial"/>
                <w:sz w:val="10"/>
                <w:szCs w:val="10"/>
                <w:color w:val="auto"/>
                <w:w w:val="95"/>
              </w:rPr>
              <w:t>N/A</w:t>
            </w:r>
          </w:p>
        </w:tc>
        <w:tc>
          <w:tcPr>
            <w:tcW w:w="740" w:type="dxa"/>
            <w:vAlign w:val="bottom"/>
          </w:tcPr>
          <w:p>
            <w:pPr>
              <w:jc w:val="right"/>
              <w:ind w:right="371"/>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42"/>
        </w:trPr>
        <w:tc>
          <w:tcPr>
            <w:tcW w:w="45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Total capital ratio (to risk-weighted assets)</w:t>
            </w: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rPr>
              <w:t>262,217</w:t>
            </w: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16.33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451"/>
              <w:spacing w:after="0"/>
              <w:rPr>
                <w:sz w:val="20"/>
                <w:szCs w:val="20"/>
                <w:color w:val="auto"/>
              </w:rPr>
            </w:pPr>
            <w:r>
              <w:rPr>
                <w:rFonts w:ascii="Arial" w:cs="Arial" w:eastAsia="Arial" w:hAnsi="Arial"/>
                <w:sz w:val="10"/>
                <w:szCs w:val="10"/>
                <w:color w:val="auto"/>
              </w:rPr>
              <w:t>128,421</w:t>
            </w:r>
          </w:p>
        </w:tc>
        <w:tc>
          <w:tcPr>
            <w:tcW w:w="620" w:type="dxa"/>
            <w:vAlign w:val="bottom"/>
            <w:shd w:val="clear" w:color="auto" w:fill="CCEEFF"/>
          </w:tcPr>
          <w:p>
            <w:pPr>
              <w:ind w:left="300"/>
              <w:spacing w:after="0"/>
              <w:rPr>
                <w:sz w:val="20"/>
                <w:szCs w:val="20"/>
                <w:color w:val="auto"/>
              </w:rPr>
            </w:pPr>
            <w:r>
              <w:rPr>
                <w:rFonts w:ascii="Arial" w:cs="Arial" w:eastAsia="Arial" w:hAnsi="Arial"/>
                <w:sz w:val="10"/>
                <w:szCs w:val="10"/>
                <w:color w:val="auto"/>
              </w:rPr>
              <w:t>8.00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ind w:right="511"/>
              <w:spacing w:after="0"/>
              <w:rPr>
                <w:sz w:val="20"/>
                <w:szCs w:val="20"/>
                <w:color w:val="auto"/>
              </w:rPr>
            </w:pPr>
            <w:r>
              <w:rPr>
                <w:rFonts w:ascii="Arial" w:cs="Arial" w:eastAsia="Arial" w:hAnsi="Arial"/>
                <w:sz w:val="10"/>
                <w:szCs w:val="10"/>
                <w:color w:val="auto"/>
                <w:w w:val="95"/>
              </w:rPr>
              <w:t>N/A</w:t>
            </w:r>
          </w:p>
        </w:tc>
        <w:tc>
          <w:tcPr>
            <w:tcW w:w="74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5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The Bank</w:t>
            </w: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560" w:type="dxa"/>
            <w:vAlign w:val="bottom"/>
            <w:gridSpan w:val="2"/>
          </w:tcPr>
          <w:p>
            <w:pPr>
              <w:ind w:left="100"/>
              <w:spacing w:after="0"/>
              <w:rPr>
                <w:sz w:val="20"/>
                <w:szCs w:val="20"/>
                <w:color w:val="auto"/>
              </w:rPr>
            </w:pPr>
            <w:r>
              <w:rPr>
                <w:rFonts w:ascii="Arial" w:cs="Arial" w:eastAsia="Arial" w:hAnsi="Arial"/>
                <w:sz w:val="10"/>
                <w:szCs w:val="10"/>
                <w:color w:val="auto"/>
              </w:rPr>
              <w:t>Tier 1 leverage ratio (to average assets)</w:t>
            </w:r>
          </w:p>
        </w:tc>
        <w:tc>
          <w:tcPr>
            <w:tcW w:w="2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311"/>
              <w:spacing w:after="0"/>
              <w:rPr>
                <w:sz w:val="20"/>
                <w:szCs w:val="20"/>
                <w:color w:val="auto"/>
              </w:rPr>
            </w:pPr>
            <w:r>
              <w:rPr>
                <w:rFonts w:ascii="Arial" w:cs="Arial" w:eastAsia="Arial" w:hAnsi="Arial"/>
                <w:sz w:val="10"/>
                <w:szCs w:val="10"/>
                <w:color w:val="auto"/>
              </w:rPr>
              <w:t>199,846</w:t>
            </w:r>
          </w:p>
        </w:tc>
        <w:tc>
          <w:tcPr>
            <w:tcW w:w="820" w:type="dxa"/>
            <w:vAlign w:val="bottom"/>
          </w:tcPr>
          <w:p>
            <w:pPr>
              <w:jc w:val="right"/>
              <w:spacing w:after="0"/>
              <w:rPr>
                <w:sz w:val="20"/>
                <w:szCs w:val="20"/>
                <w:color w:val="auto"/>
              </w:rPr>
            </w:pPr>
            <w:r>
              <w:rPr>
                <w:rFonts w:ascii="Arial" w:cs="Arial" w:eastAsia="Arial" w:hAnsi="Arial"/>
                <w:sz w:val="10"/>
                <w:szCs w:val="10"/>
                <w:color w:val="auto"/>
              </w:rPr>
              <w:t>9.47 %</w:t>
            </w:r>
          </w:p>
        </w:tc>
        <w:tc>
          <w:tcPr>
            <w:tcW w:w="80" w:type="dxa"/>
            <w:vAlign w:val="bottom"/>
          </w:tcPr>
          <w:p>
            <w:pPr>
              <w:spacing w:after="0"/>
              <w:rPr>
                <w:sz w:val="11"/>
                <w:szCs w:val="11"/>
                <w:color w:val="auto"/>
              </w:rPr>
            </w:pP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451"/>
              <w:spacing w:after="0"/>
              <w:rPr>
                <w:sz w:val="20"/>
                <w:szCs w:val="20"/>
                <w:color w:val="auto"/>
              </w:rPr>
            </w:pPr>
            <w:r>
              <w:rPr>
                <w:rFonts w:ascii="Arial" w:cs="Arial" w:eastAsia="Arial" w:hAnsi="Arial"/>
                <w:sz w:val="10"/>
                <w:szCs w:val="10"/>
                <w:color w:val="auto"/>
              </w:rPr>
              <w:t>84,416</w:t>
            </w:r>
          </w:p>
        </w:tc>
        <w:tc>
          <w:tcPr>
            <w:tcW w:w="620" w:type="dxa"/>
            <w:vAlign w:val="bottom"/>
          </w:tcPr>
          <w:p>
            <w:pPr>
              <w:ind w:left="300"/>
              <w:spacing w:after="0"/>
              <w:rPr>
                <w:sz w:val="20"/>
                <w:szCs w:val="20"/>
                <w:color w:val="auto"/>
              </w:rPr>
            </w:pPr>
            <w:r>
              <w:rPr>
                <w:rFonts w:ascii="Arial" w:cs="Arial" w:eastAsia="Arial" w:hAnsi="Arial"/>
                <w:sz w:val="10"/>
                <w:szCs w:val="10"/>
                <w:color w:val="auto"/>
                <w:w w:val="96"/>
              </w:rPr>
              <w:t>4.00 %</w:t>
            </w:r>
          </w:p>
        </w:tc>
        <w:tc>
          <w:tcPr>
            <w:tcW w:w="80" w:type="dxa"/>
            <w:vAlign w:val="bottom"/>
          </w:tcPr>
          <w:p>
            <w:pPr>
              <w:spacing w:after="0"/>
              <w:rPr>
                <w:sz w:val="11"/>
                <w:szCs w:val="11"/>
                <w:color w:val="auto"/>
              </w:rPr>
            </w:pPr>
          </w:p>
        </w:tc>
        <w:tc>
          <w:tcPr>
            <w:tcW w:w="2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331"/>
              <w:spacing w:after="0"/>
              <w:rPr>
                <w:sz w:val="20"/>
                <w:szCs w:val="20"/>
                <w:color w:val="auto"/>
              </w:rPr>
            </w:pPr>
            <w:r>
              <w:rPr>
                <w:rFonts w:ascii="Arial" w:cs="Arial" w:eastAsia="Arial" w:hAnsi="Arial"/>
                <w:sz w:val="10"/>
                <w:szCs w:val="10"/>
                <w:color w:val="auto"/>
              </w:rPr>
              <w:t>105,521</w:t>
            </w:r>
          </w:p>
        </w:tc>
        <w:tc>
          <w:tcPr>
            <w:tcW w:w="740" w:type="dxa"/>
            <w:vAlign w:val="bottom"/>
          </w:tcPr>
          <w:p>
            <w:pPr>
              <w:jc w:val="right"/>
              <w:spacing w:after="0"/>
              <w:rPr>
                <w:sz w:val="20"/>
                <w:szCs w:val="20"/>
                <w:color w:val="auto"/>
              </w:rPr>
            </w:pPr>
            <w:r>
              <w:rPr>
                <w:rFonts w:ascii="Arial" w:cs="Arial" w:eastAsia="Arial" w:hAnsi="Arial"/>
                <w:sz w:val="10"/>
                <w:szCs w:val="10"/>
                <w:color w:val="auto"/>
              </w:rPr>
              <w:t>5.00 %</w:t>
            </w:r>
          </w:p>
        </w:tc>
        <w:tc>
          <w:tcPr>
            <w:tcW w:w="0" w:type="dxa"/>
            <w:vAlign w:val="bottom"/>
          </w:tcPr>
          <w:p>
            <w:pPr>
              <w:spacing w:after="0"/>
              <w:rPr>
                <w:sz w:val="1"/>
                <w:szCs w:val="1"/>
                <w:color w:val="auto"/>
              </w:rPr>
            </w:pPr>
          </w:p>
        </w:tc>
      </w:tr>
      <w:tr>
        <w:trPr>
          <w:trHeight w:val="142"/>
        </w:trPr>
        <w:tc>
          <w:tcPr>
            <w:tcW w:w="45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Tier 1 capital (to risk-weighted assets)</w:t>
            </w: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rPr>
              <w:t>199,846</w:t>
            </w: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12.95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451"/>
              <w:spacing w:after="0"/>
              <w:rPr>
                <w:sz w:val="20"/>
                <w:szCs w:val="20"/>
                <w:color w:val="auto"/>
              </w:rPr>
            </w:pPr>
            <w:r>
              <w:rPr>
                <w:rFonts w:ascii="Arial" w:cs="Arial" w:eastAsia="Arial" w:hAnsi="Arial"/>
                <w:sz w:val="10"/>
                <w:szCs w:val="10"/>
                <w:color w:val="auto"/>
              </w:rPr>
              <w:t>92,574</w:t>
            </w:r>
          </w:p>
        </w:tc>
        <w:tc>
          <w:tcPr>
            <w:tcW w:w="620" w:type="dxa"/>
            <w:vAlign w:val="bottom"/>
            <w:shd w:val="clear" w:color="auto" w:fill="CCEEFF"/>
          </w:tcPr>
          <w:p>
            <w:pPr>
              <w:ind w:left="300"/>
              <w:spacing w:after="0"/>
              <w:rPr>
                <w:sz w:val="20"/>
                <w:szCs w:val="20"/>
                <w:color w:val="auto"/>
              </w:rPr>
            </w:pPr>
            <w:r>
              <w:rPr>
                <w:rFonts w:ascii="Arial" w:cs="Arial" w:eastAsia="Arial" w:hAnsi="Arial"/>
                <w:sz w:val="10"/>
                <w:szCs w:val="10"/>
                <w:color w:val="auto"/>
              </w:rPr>
              <w:t>6.00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31"/>
              <w:spacing w:after="0"/>
              <w:rPr>
                <w:sz w:val="20"/>
                <w:szCs w:val="20"/>
                <w:color w:val="auto"/>
              </w:rPr>
            </w:pPr>
            <w:r>
              <w:rPr>
                <w:rFonts w:ascii="Arial" w:cs="Arial" w:eastAsia="Arial" w:hAnsi="Arial"/>
                <w:sz w:val="10"/>
                <w:szCs w:val="10"/>
                <w:color w:val="auto"/>
              </w:rPr>
              <w:t>123,432</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8.00</w:t>
            </w:r>
          </w:p>
        </w:tc>
        <w:tc>
          <w:tcPr>
            <w:tcW w:w="0" w:type="dxa"/>
            <w:vAlign w:val="bottom"/>
          </w:tcPr>
          <w:p>
            <w:pPr>
              <w:spacing w:after="0"/>
              <w:rPr>
                <w:sz w:val="1"/>
                <w:szCs w:val="1"/>
                <w:color w:val="auto"/>
              </w:rPr>
            </w:pPr>
          </w:p>
        </w:tc>
      </w:tr>
      <w:tr>
        <w:trPr>
          <w:trHeight w:val="134"/>
        </w:trPr>
        <w:tc>
          <w:tcPr>
            <w:tcW w:w="4560" w:type="dxa"/>
            <w:vAlign w:val="bottom"/>
            <w:gridSpan w:val="2"/>
          </w:tcPr>
          <w:p>
            <w:pPr>
              <w:ind w:left="100"/>
              <w:spacing w:after="0"/>
              <w:rPr>
                <w:sz w:val="20"/>
                <w:szCs w:val="20"/>
                <w:color w:val="auto"/>
              </w:rPr>
            </w:pPr>
            <w:r>
              <w:rPr>
                <w:rFonts w:ascii="Arial" w:cs="Arial" w:eastAsia="Arial" w:hAnsi="Arial"/>
                <w:sz w:val="10"/>
                <w:szCs w:val="10"/>
                <w:color w:val="auto"/>
              </w:rPr>
              <w:t>Common equity tier 1 capital ratio (to risk-weighted assets)</w:t>
            </w:r>
          </w:p>
        </w:tc>
        <w:tc>
          <w:tcPr>
            <w:tcW w:w="220" w:type="dxa"/>
            <w:vAlign w:val="bottom"/>
          </w:tcPr>
          <w:p>
            <w:pPr>
              <w:spacing w:after="0"/>
              <w:rPr>
                <w:sz w:val="11"/>
                <w:szCs w:val="11"/>
                <w:color w:val="auto"/>
              </w:rPr>
            </w:pPr>
          </w:p>
        </w:tc>
        <w:tc>
          <w:tcPr>
            <w:tcW w:w="1220" w:type="dxa"/>
            <w:vAlign w:val="bottom"/>
          </w:tcPr>
          <w:p>
            <w:pPr>
              <w:jc w:val="right"/>
              <w:ind w:right="311"/>
              <w:spacing w:after="0"/>
              <w:rPr>
                <w:sz w:val="20"/>
                <w:szCs w:val="20"/>
                <w:color w:val="auto"/>
              </w:rPr>
            </w:pPr>
            <w:r>
              <w:rPr>
                <w:rFonts w:ascii="Arial" w:cs="Arial" w:eastAsia="Arial" w:hAnsi="Arial"/>
                <w:sz w:val="10"/>
                <w:szCs w:val="10"/>
                <w:color w:val="auto"/>
              </w:rPr>
              <w:t>199,846</w:t>
            </w:r>
          </w:p>
        </w:tc>
        <w:tc>
          <w:tcPr>
            <w:tcW w:w="820" w:type="dxa"/>
            <w:vAlign w:val="bottom"/>
          </w:tcPr>
          <w:p>
            <w:pPr>
              <w:jc w:val="right"/>
              <w:ind w:right="91"/>
              <w:spacing w:after="0"/>
              <w:rPr>
                <w:sz w:val="20"/>
                <w:szCs w:val="20"/>
                <w:color w:val="auto"/>
              </w:rPr>
            </w:pPr>
            <w:r>
              <w:rPr>
                <w:rFonts w:ascii="Arial" w:cs="Arial" w:eastAsia="Arial" w:hAnsi="Arial"/>
                <w:sz w:val="10"/>
                <w:szCs w:val="10"/>
                <w:color w:val="auto"/>
              </w:rPr>
              <w:t>12.95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ind w:right="451"/>
              <w:spacing w:after="0"/>
              <w:rPr>
                <w:sz w:val="20"/>
                <w:szCs w:val="20"/>
                <w:color w:val="auto"/>
              </w:rPr>
            </w:pPr>
            <w:r>
              <w:rPr>
                <w:rFonts w:ascii="Arial" w:cs="Arial" w:eastAsia="Arial" w:hAnsi="Arial"/>
                <w:sz w:val="10"/>
                <w:szCs w:val="10"/>
                <w:color w:val="auto"/>
              </w:rPr>
              <w:t>69,431</w:t>
            </w:r>
          </w:p>
        </w:tc>
        <w:tc>
          <w:tcPr>
            <w:tcW w:w="620" w:type="dxa"/>
            <w:vAlign w:val="bottom"/>
          </w:tcPr>
          <w:p>
            <w:pPr>
              <w:ind w:left="300"/>
              <w:spacing w:after="0"/>
              <w:rPr>
                <w:sz w:val="20"/>
                <w:szCs w:val="20"/>
                <w:color w:val="auto"/>
              </w:rPr>
            </w:pPr>
            <w:r>
              <w:rPr>
                <w:rFonts w:ascii="Arial" w:cs="Arial" w:eastAsia="Arial" w:hAnsi="Arial"/>
                <w:sz w:val="10"/>
                <w:szCs w:val="10"/>
                <w:color w:val="auto"/>
              </w:rPr>
              <w:t>4.50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ind w:right="331"/>
              <w:spacing w:after="0"/>
              <w:rPr>
                <w:sz w:val="20"/>
                <w:szCs w:val="20"/>
                <w:color w:val="auto"/>
              </w:rPr>
            </w:pPr>
            <w:r>
              <w:rPr>
                <w:rFonts w:ascii="Arial" w:cs="Arial" w:eastAsia="Arial" w:hAnsi="Arial"/>
                <w:sz w:val="10"/>
                <w:szCs w:val="10"/>
                <w:color w:val="auto"/>
              </w:rPr>
              <w:t>100,289</w:t>
            </w:r>
          </w:p>
        </w:tc>
        <w:tc>
          <w:tcPr>
            <w:tcW w:w="740" w:type="dxa"/>
            <w:vAlign w:val="bottom"/>
          </w:tcPr>
          <w:p>
            <w:pPr>
              <w:jc w:val="right"/>
              <w:ind w:right="91"/>
              <w:spacing w:after="0"/>
              <w:rPr>
                <w:sz w:val="20"/>
                <w:szCs w:val="20"/>
                <w:color w:val="auto"/>
              </w:rPr>
            </w:pPr>
            <w:r>
              <w:rPr>
                <w:rFonts w:ascii="Arial" w:cs="Arial" w:eastAsia="Arial" w:hAnsi="Arial"/>
                <w:sz w:val="10"/>
                <w:szCs w:val="10"/>
                <w:color w:val="auto"/>
              </w:rPr>
              <w:t>6.50</w:t>
            </w:r>
          </w:p>
        </w:tc>
        <w:tc>
          <w:tcPr>
            <w:tcW w:w="0" w:type="dxa"/>
            <w:vAlign w:val="bottom"/>
          </w:tcPr>
          <w:p>
            <w:pPr>
              <w:spacing w:after="0"/>
              <w:rPr>
                <w:sz w:val="1"/>
                <w:szCs w:val="1"/>
                <w:color w:val="auto"/>
              </w:rPr>
            </w:pPr>
          </w:p>
        </w:tc>
      </w:tr>
      <w:tr>
        <w:trPr>
          <w:trHeight w:val="142"/>
        </w:trPr>
        <w:tc>
          <w:tcPr>
            <w:tcW w:w="45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Total capital ratio (to risk-weighted assets)</w:t>
            </w: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rPr>
              <w:t>219,234</w:t>
            </w: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14.21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451"/>
              <w:spacing w:after="0"/>
              <w:rPr>
                <w:sz w:val="20"/>
                <w:szCs w:val="20"/>
                <w:color w:val="auto"/>
              </w:rPr>
            </w:pPr>
            <w:r>
              <w:rPr>
                <w:rFonts w:ascii="Arial" w:cs="Arial" w:eastAsia="Arial" w:hAnsi="Arial"/>
                <w:sz w:val="10"/>
                <w:szCs w:val="10"/>
                <w:color w:val="auto"/>
              </w:rPr>
              <w:t>123,432</w:t>
            </w:r>
          </w:p>
        </w:tc>
        <w:tc>
          <w:tcPr>
            <w:tcW w:w="620" w:type="dxa"/>
            <w:vAlign w:val="bottom"/>
            <w:shd w:val="clear" w:color="auto" w:fill="CCEEFF"/>
          </w:tcPr>
          <w:p>
            <w:pPr>
              <w:ind w:left="300"/>
              <w:spacing w:after="0"/>
              <w:rPr>
                <w:sz w:val="20"/>
                <w:szCs w:val="20"/>
                <w:color w:val="auto"/>
              </w:rPr>
            </w:pPr>
            <w:r>
              <w:rPr>
                <w:rFonts w:ascii="Arial" w:cs="Arial" w:eastAsia="Arial" w:hAnsi="Arial"/>
                <w:sz w:val="10"/>
                <w:szCs w:val="10"/>
                <w:color w:val="auto"/>
              </w:rPr>
              <w:t>8.00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31"/>
              <w:spacing w:after="0"/>
              <w:rPr>
                <w:sz w:val="20"/>
                <w:szCs w:val="20"/>
                <w:color w:val="auto"/>
              </w:rPr>
            </w:pPr>
            <w:r>
              <w:rPr>
                <w:rFonts w:ascii="Arial" w:cs="Arial" w:eastAsia="Arial" w:hAnsi="Arial"/>
                <w:sz w:val="10"/>
                <w:szCs w:val="10"/>
                <w:color w:val="auto"/>
              </w:rPr>
              <w:t>154,290</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color w:val="auto"/>
        </w:rPr>
        <w:t>Contractual Obligations</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contractual obligations to make future payments on debt and lease agreements. Our liquidity monitoring and management consider both present and future demands for and sources of liquidity. The following table of contractual commitments focuses only on future obligations and summarizes our contractual obligations as of December 31, 2023.</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4080" w:type="dxa"/>
            <w:vAlign w:val="bottom"/>
          </w:tcPr>
          <w:p>
            <w:pPr>
              <w:spacing w:after="0"/>
              <w:rPr>
                <w:sz w:val="10"/>
                <w:szCs w:val="10"/>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Due in One Year or Less</w:t>
            </w:r>
          </w:p>
        </w:tc>
        <w:tc>
          <w:tcPr>
            <w:tcW w:w="1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Due After One Through</w:t>
            </w:r>
          </w:p>
        </w:tc>
        <w:tc>
          <w:tcPr>
            <w:tcW w:w="100" w:type="dxa"/>
            <w:vAlign w:val="bottom"/>
          </w:tcPr>
          <w:p>
            <w:pPr>
              <w:spacing w:after="0"/>
              <w:rPr>
                <w:sz w:val="10"/>
                <w:szCs w:val="10"/>
                <w:color w:val="auto"/>
              </w:rPr>
            </w:pPr>
          </w:p>
        </w:tc>
        <w:tc>
          <w:tcPr>
            <w:tcW w:w="1580" w:type="dxa"/>
            <w:vAlign w:val="bottom"/>
            <w:gridSpan w:val="2"/>
          </w:tcPr>
          <w:p>
            <w:pPr>
              <w:ind w:left="20"/>
              <w:spacing w:after="0"/>
              <w:rPr>
                <w:sz w:val="20"/>
                <w:szCs w:val="20"/>
                <w:color w:val="auto"/>
              </w:rPr>
            </w:pPr>
            <w:r>
              <w:rPr>
                <w:rFonts w:ascii="Arial" w:cs="Arial" w:eastAsia="Arial" w:hAnsi="Arial"/>
                <w:sz w:val="11"/>
                <w:szCs w:val="11"/>
                <w:b w:val="1"/>
                <w:bCs w:val="1"/>
                <w:color w:val="auto"/>
              </w:rPr>
              <w:t>Due After Three Through</w:t>
            </w:r>
          </w:p>
        </w:tc>
        <w:tc>
          <w:tcPr>
            <w:tcW w:w="80" w:type="dxa"/>
            <w:vAlign w:val="bottom"/>
          </w:tcPr>
          <w:p>
            <w:pPr>
              <w:spacing w:after="0"/>
              <w:rPr>
                <w:sz w:val="10"/>
                <w:szCs w:val="10"/>
                <w:color w:val="auto"/>
              </w:rPr>
            </w:pPr>
          </w:p>
        </w:tc>
        <w:tc>
          <w:tcPr>
            <w:tcW w:w="1060" w:type="dxa"/>
            <w:vAlign w:val="bottom"/>
            <w:vMerge w:val="restart"/>
          </w:tcPr>
          <w:p>
            <w:pPr>
              <w:jc w:val="right"/>
              <w:ind w:right="43"/>
              <w:spacing w:after="0"/>
              <w:rPr>
                <w:sz w:val="20"/>
                <w:szCs w:val="20"/>
                <w:color w:val="auto"/>
              </w:rPr>
            </w:pPr>
            <w:r>
              <w:rPr>
                <w:rFonts w:ascii="Arial" w:cs="Arial" w:eastAsia="Arial" w:hAnsi="Arial"/>
                <w:sz w:val="11"/>
                <w:szCs w:val="11"/>
                <w:b w:val="1"/>
                <w:bCs w:val="1"/>
                <w:color w:val="auto"/>
              </w:rPr>
              <w:t>Due After 5 Years</w:t>
            </w:r>
          </w:p>
        </w:tc>
        <w:tc>
          <w:tcPr>
            <w:tcW w:w="10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vMerge w:val="restart"/>
          </w:tcPr>
          <w:p>
            <w:pPr>
              <w:jc w:val="right"/>
              <w:ind w:right="42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4"/>
        </w:trPr>
        <w:tc>
          <w:tcPr>
            <w:tcW w:w="4080" w:type="dxa"/>
            <w:vAlign w:val="bottom"/>
            <w:tcBorders>
              <w:bottom w:val="single" w:sz="8" w:color="CCEEFF"/>
            </w:tcBorders>
          </w:tcPr>
          <w:p>
            <w:pPr>
              <w:spacing w:after="0"/>
              <w:rPr>
                <w:sz w:val="20"/>
                <w:szCs w:val="20"/>
                <w:color w:val="auto"/>
              </w:rPr>
            </w:pPr>
            <w:r>
              <w:rPr>
                <w:rFonts w:ascii="Arial" w:cs="Arial" w:eastAsia="Arial" w:hAnsi="Arial"/>
                <w:sz w:val="8"/>
                <w:szCs w:val="8"/>
                <w:i w:val="1"/>
                <w:iCs w:val="1"/>
                <w:color w:val="auto"/>
              </w:rPr>
              <w:t>(in thousands)</w:t>
            </w:r>
          </w:p>
        </w:tc>
        <w:tc>
          <w:tcPr>
            <w:tcW w:w="136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Three Years</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Five Years</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080" w:type="dxa"/>
            <w:vAlign w:val="bottom"/>
            <w:shd w:val="clear" w:color="auto" w:fill="CCEEFF"/>
          </w:tcPr>
          <w:p>
            <w:pPr>
              <w:spacing w:after="0"/>
              <w:rPr>
                <w:sz w:val="20"/>
                <w:szCs w:val="20"/>
                <w:color w:val="auto"/>
              </w:rPr>
            </w:pPr>
            <w:r>
              <w:rPr>
                <w:rFonts w:ascii="Arial" w:cs="Arial" w:eastAsia="Arial" w:hAnsi="Arial"/>
                <w:sz w:val="11"/>
                <w:szCs w:val="11"/>
                <w:color w:val="auto"/>
              </w:rPr>
              <w:t>FHLB advances</w:t>
            </w:r>
          </w:p>
        </w:tc>
        <w:tc>
          <w:tcPr>
            <w:tcW w:w="500" w:type="dxa"/>
            <w:vAlign w:val="bottom"/>
            <w:shd w:val="clear" w:color="auto" w:fill="CCEEFF"/>
          </w:tcPr>
          <w:p>
            <w:pPr>
              <w:jc w:val="right"/>
              <w:ind w:right="363"/>
              <w:spacing w:after="0"/>
              <w:rPr>
                <w:sz w:val="20"/>
                <w:szCs w:val="20"/>
                <w:color w:val="auto"/>
              </w:rPr>
            </w:pPr>
            <w:r>
              <w:rPr>
                <w:rFonts w:ascii="Arial" w:cs="Arial" w:eastAsia="Arial" w:hAnsi="Arial"/>
                <w:sz w:val="11"/>
                <w:szCs w:val="11"/>
                <w:color w:val="auto"/>
                <w:w w:val="97"/>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22,000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22,000</w:t>
            </w:r>
          </w:p>
        </w:tc>
        <w:tc>
          <w:tcPr>
            <w:tcW w:w="0" w:type="dxa"/>
            <w:vAlign w:val="bottom"/>
          </w:tcPr>
          <w:p>
            <w:pPr>
              <w:spacing w:after="0"/>
              <w:rPr>
                <w:sz w:val="1"/>
                <w:szCs w:val="1"/>
                <w:color w:val="auto"/>
              </w:rPr>
            </w:pPr>
          </w:p>
        </w:tc>
      </w:tr>
      <w:tr>
        <w:trPr>
          <w:trHeight w:val="156"/>
        </w:trPr>
        <w:tc>
          <w:tcPr>
            <w:tcW w:w="4080" w:type="dxa"/>
            <w:vAlign w:val="bottom"/>
          </w:tcPr>
          <w:p>
            <w:pPr>
              <w:spacing w:after="0"/>
              <w:rPr>
                <w:sz w:val="20"/>
                <w:szCs w:val="20"/>
                <w:color w:val="auto"/>
              </w:rPr>
            </w:pPr>
            <w:r>
              <w:rPr>
                <w:rFonts w:ascii="Arial" w:cs="Arial" w:eastAsia="Arial" w:hAnsi="Arial"/>
                <w:sz w:val="11"/>
                <w:szCs w:val="11"/>
                <w:color w:val="auto"/>
              </w:rPr>
              <w:t>Certificates of deposit $250,000 or more</w:t>
            </w:r>
          </w:p>
        </w:tc>
        <w:tc>
          <w:tcPr>
            <w:tcW w:w="5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72,700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52,047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124,747</w:t>
            </w:r>
          </w:p>
        </w:tc>
        <w:tc>
          <w:tcPr>
            <w:tcW w:w="0" w:type="dxa"/>
            <w:vAlign w:val="bottom"/>
          </w:tcPr>
          <w:p>
            <w:pPr>
              <w:spacing w:after="0"/>
              <w:rPr>
                <w:sz w:val="1"/>
                <w:szCs w:val="1"/>
                <w:color w:val="auto"/>
              </w:rPr>
            </w:pPr>
          </w:p>
        </w:tc>
      </w:tr>
      <w:tr>
        <w:trPr>
          <w:trHeight w:val="162"/>
        </w:trPr>
        <w:tc>
          <w:tcPr>
            <w:tcW w:w="4080" w:type="dxa"/>
            <w:vAlign w:val="bottom"/>
            <w:shd w:val="clear" w:color="auto" w:fill="CCEEFF"/>
          </w:tcPr>
          <w:p>
            <w:pPr>
              <w:spacing w:after="0"/>
              <w:rPr>
                <w:sz w:val="20"/>
                <w:szCs w:val="20"/>
                <w:color w:val="auto"/>
              </w:rPr>
            </w:pPr>
            <w:r>
              <w:rPr>
                <w:rFonts w:ascii="Arial" w:cs="Arial" w:eastAsia="Arial" w:hAnsi="Arial"/>
                <w:sz w:val="11"/>
                <w:szCs w:val="11"/>
                <w:color w:val="auto"/>
              </w:rPr>
              <w:t>Certificates of deposit less than $250,000</w:t>
            </w: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277,959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7,778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286,228</w:t>
            </w:r>
          </w:p>
        </w:tc>
        <w:tc>
          <w:tcPr>
            <w:tcW w:w="0" w:type="dxa"/>
            <w:vAlign w:val="bottom"/>
          </w:tcPr>
          <w:p>
            <w:pPr>
              <w:spacing w:after="0"/>
              <w:rPr>
                <w:sz w:val="1"/>
                <w:szCs w:val="1"/>
                <w:color w:val="auto"/>
              </w:rPr>
            </w:pPr>
          </w:p>
        </w:tc>
      </w:tr>
      <w:tr>
        <w:trPr>
          <w:trHeight w:val="156"/>
        </w:trPr>
        <w:tc>
          <w:tcPr>
            <w:tcW w:w="4080" w:type="dxa"/>
            <w:vAlign w:val="bottom"/>
          </w:tcPr>
          <w:p>
            <w:pPr>
              <w:spacing w:after="0"/>
              <w:rPr>
                <w:sz w:val="20"/>
                <w:szCs w:val="20"/>
                <w:color w:val="auto"/>
              </w:rPr>
            </w:pPr>
            <w:r>
              <w:rPr>
                <w:rFonts w:ascii="Arial" w:cs="Arial" w:eastAsia="Arial" w:hAnsi="Arial"/>
                <w:sz w:val="11"/>
                <w:szCs w:val="11"/>
                <w:color w:val="auto"/>
              </w:rPr>
              <w:t>Lease payments</w:t>
            </w:r>
          </w:p>
        </w:tc>
        <w:tc>
          <w:tcPr>
            <w:tcW w:w="5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1,163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1,374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665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1,183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4,385</w:t>
            </w:r>
          </w:p>
        </w:tc>
        <w:tc>
          <w:tcPr>
            <w:tcW w:w="0" w:type="dxa"/>
            <w:vAlign w:val="bottom"/>
          </w:tcPr>
          <w:p>
            <w:pPr>
              <w:spacing w:after="0"/>
              <w:rPr>
                <w:sz w:val="1"/>
                <w:szCs w:val="1"/>
                <w:color w:val="auto"/>
              </w:rPr>
            </w:pPr>
          </w:p>
        </w:tc>
      </w:tr>
      <w:tr>
        <w:trPr>
          <w:trHeight w:val="162"/>
        </w:trPr>
        <w:tc>
          <w:tcPr>
            <w:tcW w:w="4080" w:type="dxa"/>
            <w:vAlign w:val="bottom"/>
            <w:shd w:val="clear" w:color="auto" w:fill="CCEEFF"/>
          </w:tcPr>
          <w:p>
            <w:pPr>
              <w:spacing w:after="0"/>
              <w:rPr>
                <w:sz w:val="20"/>
                <w:szCs w:val="20"/>
                <w:color w:val="auto"/>
              </w:rPr>
            </w:pPr>
            <w:r>
              <w:rPr>
                <w:rFonts w:ascii="Arial" w:cs="Arial" w:eastAsia="Arial" w:hAnsi="Arial"/>
                <w:sz w:val="11"/>
                <w:szCs w:val="11"/>
                <w:color w:val="auto"/>
              </w:rPr>
              <w:t>Subordinated debt</w:t>
            </w:r>
          </w:p>
        </w:tc>
        <w:tc>
          <w:tcPr>
            <w:tcW w:w="5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12,062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12,062</w:t>
            </w:r>
          </w:p>
        </w:tc>
        <w:tc>
          <w:tcPr>
            <w:tcW w:w="0" w:type="dxa"/>
            <w:vAlign w:val="bottom"/>
          </w:tcPr>
          <w:p>
            <w:pPr>
              <w:spacing w:after="0"/>
              <w:rPr>
                <w:sz w:val="1"/>
                <w:szCs w:val="1"/>
                <w:color w:val="auto"/>
              </w:rPr>
            </w:pPr>
          </w:p>
        </w:tc>
      </w:tr>
      <w:tr>
        <w:trPr>
          <w:trHeight w:val="156"/>
        </w:trPr>
        <w:tc>
          <w:tcPr>
            <w:tcW w:w="4080" w:type="dxa"/>
            <w:vAlign w:val="bottom"/>
          </w:tcPr>
          <w:p>
            <w:pPr>
              <w:spacing w:after="0"/>
              <w:rPr>
                <w:sz w:val="20"/>
                <w:szCs w:val="20"/>
                <w:color w:val="auto"/>
              </w:rPr>
            </w:pPr>
            <w:r>
              <w:rPr>
                <w:rFonts w:ascii="Arial" w:cs="Arial" w:eastAsia="Arial" w:hAnsi="Arial"/>
                <w:sz w:val="11"/>
                <w:szCs w:val="11"/>
                <w:color w:val="auto"/>
              </w:rPr>
              <w:t>BTFP borrowings</w:t>
            </w:r>
          </w:p>
        </w:tc>
        <w:tc>
          <w:tcPr>
            <w:tcW w:w="5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15,000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15,000</w:t>
            </w:r>
          </w:p>
        </w:tc>
        <w:tc>
          <w:tcPr>
            <w:tcW w:w="0" w:type="dxa"/>
            <w:vAlign w:val="bottom"/>
          </w:tcPr>
          <w:p>
            <w:pPr>
              <w:spacing w:after="0"/>
              <w:rPr>
                <w:sz w:val="1"/>
                <w:szCs w:val="1"/>
                <w:color w:val="auto"/>
              </w:rPr>
            </w:pPr>
          </w:p>
        </w:tc>
      </w:tr>
      <w:tr>
        <w:trPr>
          <w:trHeight w:val="178"/>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w:t>
            </w:r>
          </w:p>
        </w:tc>
        <w:tc>
          <w:tcPr>
            <w:tcW w:w="50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366,822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83,199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1,136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13,265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464,422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Off-Balance Sheet Items</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generally used in making these commitments as for on-balance sheet instruments. We are not aware of any accounting loss to be incurred by funding these commitments; however, we maintain a reserve for unfunded commitments and certain off-balance sheet credit risks which is recorded in other liabilities on the consolidated balance sheet.</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actual future cash funding requirements.</w:t>
      </w:r>
    </w:p>
    <w:p>
      <w:pPr>
        <w:spacing w:after="0" w:line="174" w:lineRule="exact"/>
        <w:rPr>
          <w:sz w:val="20"/>
          <w:szCs w:val="20"/>
          <w:color w:val="auto"/>
        </w:rPr>
      </w:pPr>
    </w:p>
    <w:p>
      <w:pPr>
        <w:ind w:left="9480"/>
        <w:spacing w:after="0"/>
        <w:rPr>
          <w:sz w:val="20"/>
          <w:szCs w:val="20"/>
          <w:color w:val="auto"/>
        </w:rPr>
      </w:pPr>
      <w:r>
        <w:rPr>
          <w:rFonts w:ascii="Arial" w:cs="Arial" w:eastAsia="Arial" w:hAnsi="Arial"/>
          <w:sz w:val="11"/>
          <w:szCs w:val="11"/>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2023</w:t>
            </w:r>
          </w:p>
        </w:tc>
        <w:tc>
          <w:tcPr>
            <w:tcW w:w="12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2022</w:t>
            </w:r>
          </w:p>
        </w:tc>
      </w:tr>
      <w:tr>
        <w:trPr>
          <w:trHeight w:val="150"/>
        </w:trPr>
        <w:tc>
          <w:tcPr>
            <w:tcW w:w="8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Unfunded lines of credit</w:t>
            </w: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336,472</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345,063</w:t>
            </w:r>
          </w:p>
        </w:tc>
      </w:tr>
      <w:tr>
        <w:trPr>
          <w:trHeight w:val="156"/>
        </w:trPr>
        <w:tc>
          <w:tcPr>
            <w:tcW w:w="8400" w:type="dxa"/>
            <w:vAlign w:val="bottom"/>
          </w:tcPr>
          <w:p>
            <w:pPr>
              <w:ind w:left="20"/>
              <w:spacing w:after="0"/>
              <w:rPr>
                <w:sz w:val="20"/>
                <w:szCs w:val="20"/>
                <w:color w:val="auto"/>
              </w:rPr>
            </w:pPr>
            <w:r>
              <w:rPr>
                <w:rFonts w:ascii="Arial" w:cs="Arial" w:eastAsia="Arial" w:hAnsi="Arial"/>
                <w:sz w:val="11"/>
                <w:szCs w:val="11"/>
                <w:color w:val="auto"/>
              </w:rPr>
              <w:t>Letters of credit</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4,641</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5,105</w:t>
            </w:r>
          </w:p>
        </w:tc>
      </w:tr>
      <w:tr>
        <w:trPr>
          <w:trHeight w:val="159"/>
        </w:trPr>
        <w:tc>
          <w:tcPr>
            <w:tcW w:w="8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Commitment to fund other investments</w:t>
            </w: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3,874</w:t>
            </w:r>
          </w:p>
        </w:tc>
        <w:tc>
          <w:tcPr>
            <w:tcW w:w="1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4,365</w:t>
            </w:r>
          </w:p>
        </w:tc>
      </w:tr>
      <w:tr>
        <w:trPr>
          <w:trHeight w:val="153"/>
        </w:trPr>
        <w:tc>
          <w:tcPr>
            <w:tcW w:w="8400" w:type="dxa"/>
            <w:vAlign w:val="bottom"/>
          </w:tcPr>
          <w:p>
            <w:pPr>
              <w:ind w:left="120"/>
              <w:spacing w:after="0"/>
              <w:rPr>
                <w:sz w:val="20"/>
                <w:szCs w:val="20"/>
                <w:color w:val="auto"/>
              </w:rPr>
            </w:pPr>
            <w:r>
              <w:rPr>
                <w:rFonts w:ascii="Arial" w:cs="Arial" w:eastAsia="Arial" w:hAnsi="Arial"/>
                <w:sz w:val="11"/>
                <w:szCs w:val="11"/>
                <w:color w:val="auto"/>
              </w:rPr>
              <w:t>Total credit extension commitments</w:t>
            </w: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344,987</w:t>
            </w:r>
          </w:p>
        </w:tc>
        <w:tc>
          <w:tcPr>
            <w:tcW w:w="12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354,533</w:t>
            </w: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Unfunded lines of credit represent unused credit facilities to our current borrowers. Lines of credit generally have variable interest rates. Letters of credit are conditional commitments issued by us to guarantee the performance of a customer to a third party.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customer from the underlying collateral, which can include commercial real estate, physical plant and property, inventory, receivables, cash and/or marketable securities. Our policies generally require that letter of credit arrangements contain security and debt covenants similar to</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61" w:name="page62"/>
    <w:bookmarkEnd w:id="61"/>
    <w:p>
      <w:pPr>
        <w:jc w:val="both"/>
        <w:spacing w:after="0" w:line="290" w:lineRule="auto"/>
        <w:rPr>
          <w:sz w:val="20"/>
          <w:szCs w:val="20"/>
          <w:color w:val="auto"/>
        </w:rPr>
      </w:pPr>
      <w:r>
        <w:rPr>
          <w:rFonts w:ascii="Arial" w:cs="Arial" w:eastAsia="Arial" w:hAnsi="Arial"/>
          <w:sz w:val="14"/>
          <w:szCs w:val="14"/>
          <w:color w:val="auto"/>
        </w:rPr>
        <w:t>those contained in loan agreements. We believe the credit risk associated with issuing letters of credit is substantially the same as the risk involved in extending loan facilities to our customers.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seek to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letters of credit commitments cannot be precisely predicted because we do not control the extent to which the lines of credit may be used.</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Commitments to extend credit are agreements to lend funds to a customer, as long as there is no violation of any condition established in the contract.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enter into forward commitments for the delivery of mortgage loans in our current pipeline. Interest rate lock commitments are entered into in order to economically hedge the effect of changes in interest rates resulting from our commitments to fund the loans. These commitments to fund mortgage loans to be sold into the secondary market, along with the interest rate lock commitments and forward commitments for the future delivery of mortgage loans to third party investors, are considered derivatives.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commitment to fund other investments reflects an obligation to make an investment in a Small Business Investment Company.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Inflation</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The consolidated financial statements and related notes included elsewhere in this Annual Report on Form 10-K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30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Unlike many industrial companies, substantially all of the Company’s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most other operating expenses are sensitive to changes in levels of inflation.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has presented the following non-GAAP financial measures because it believes that these non-GAAP financial measures provide useful information to investors because they are used by management to evaluate our operating performance and make day-to-day operating decisions. In addition, we believe our non-GAAP results in any given reporting period reflect our on-going financial performance in that period and, accordingly, are useful to consider in addition to our GAAP financial results. We further believe the presentation of non-GAAP results increases comparability of period-to-period results.</w:t>
      </w:r>
    </w:p>
    <w:p>
      <w:pPr>
        <w:spacing w:after="0" w:line="13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Other companies may use similarly titled non-GAAP financial measures that may be calculated differently from the way we calculate such measures. Accordingly, our non-GAAP financial measures may not be comparable to similar measures used by such companies. We caution investors not to place undue reliance on such non-GAAP financial measures, but to consider them with the most directly comparable GAAP measures. Non-GAAP financial measures have limitations as analytical tools and should not be considered in isolation or as a substitute for our results reported under GAAP.</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ind w:left="20"/>
              <w:spacing w:after="0"/>
              <w:rPr>
                <w:sz w:val="20"/>
                <w:szCs w:val="20"/>
                <w:color w:val="auto"/>
              </w:rPr>
            </w:pPr>
            <w:r>
              <w:rPr>
                <w:rFonts w:ascii="Arial" w:cs="Arial" w:eastAsia="Arial" w:hAnsi="Arial"/>
                <w:sz w:val="13"/>
                <w:szCs w:val="13"/>
                <w:b w:val="1"/>
                <w:bCs w:val="1"/>
                <w:color w:val="auto"/>
              </w:rPr>
              <w:t>Return on Average Assets, as Adjusted</w:t>
            </w: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963"/>
              <w:spacing w:after="0"/>
              <w:rPr>
                <w:sz w:val="20"/>
                <w:szCs w:val="20"/>
                <w:color w:val="auto"/>
              </w:rPr>
            </w:pPr>
            <w:r>
              <w:rPr>
                <w:rFonts w:ascii="Arial" w:cs="Arial" w:eastAsia="Arial" w:hAnsi="Arial"/>
                <w:sz w:val="13"/>
                <w:szCs w:val="13"/>
                <w:b w:val="1"/>
                <w:bCs w:val="1"/>
                <w:color w:val="auto"/>
              </w:rPr>
              <w:t>Year Ended</w:t>
            </w:r>
          </w:p>
        </w:tc>
      </w:tr>
      <w:tr>
        <w:trPr>
          <w:trHeight w:val="150"/>
        </w:trPr>
        <w:tc>
          <w:tcPr>
            <w:tcW w:w="440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20" w:type="dxa"/>
            <w:vAlign w:val="bottom"/>
          </w:tcPr>
          <w:p>
            <w:pPr>
              <w:spacing w:after="0"/>
              <w:rPr>
                <w:sz w:val="13"/>
                <w:szCs w:val="13"/>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 2023</w:t>
            </w:r>
          </w:p>
        </w:tc>
        <w:tc>
          <w:tcPr>
            <w:tcW w:w="120" w:type="dxa"/>
            <w:vAlign w:val="bottom"/>
          </w:tcPr>
          <w:p>
            <w:pPr>
              <w:spacing w:after="0"/>
              <w:rPr>
                <w:sz w:val="13"/>
                <w:szCs w:val="13"/>
                <w:color w:val="auto"/>
              </w:rPr>
            </w:pPr>
          </w:p>
        </w:tc>
        <w:tc>
          <w:tcPr>
            <w:tcW w:w="1220" w:type="dxa"/>
            <w:vAlign w:val="bottom"/>
          </w:tcPr>
          <w:p>
            <w:pPr>
              <w:jc w:val="right"/>
              <w:ind w:right="103"/>
              <w:spacing w:after="0"/>
              <w:rPr>
                <w:sz w:val="20"/>
                <w:szCs w:val="20"/>
                <w:color w:val="auto"/>
              </w:rPr>
            </w:pPr>
            <w:r>
              <w:rPr>
                <w:rFonts w:ascii="Arial" w:cs="Arial" w:eastAsia="Arial" w:hAnsi="Arial"/>
                <w:sz w:val="11"/>
                <w:szCs w:val="11"/>
                <w:b w:val="1"/>
                <w:bCs w:val="1"/>
                <w:color w:val="auto"/>
              </w:rPr>
              <w:t>December 31, 2022</w:t>
            </w:r>
          </w:p>
        </w:tc>
      </w:tr>
      <w:tr>
        <w:trPr>
          <w:trHeight w:val="23"/>
        </w:trPr>
        <w:tc>
          <w:tcPr>
            <w:tcW w:w="44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r>
      <w:tr>
        <w:trPr>
          <w:trHeight w:val="159"/>
        </w:trPr>
        <w:tc>
          <w:tcPr>
            <w:tcW w:w="44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35,871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41,804</w:t>
            </w:r>
          </w:p>
        </w:tc>
      </w:tr>
      <w:tr>
        <w:trPr>
          <w:trHeight w:val="156"/>
        </w:trPr>
        <w:tc>
          <w:tcPr>
            <w:tcW w:w="440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Less: SBA-PPP Loan Income</w:t>
            </w: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3,477</w:t>
            </w:r>
          </w:p>
        </w:tc>
      </w:tr>
      <w:tr>
        <w:trPr>
          <w:trHeight w:val="153"/>
        </w:trPr>
        <w:tc>
          <w:tcPr>
            <w:tcW w:w="44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as 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35,841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38,327</w:t>
            </w:r>
          </w:p>
        </w:tc>
      </w:tr>
      <w:tr>
        <w:trPr>
          <w:trHeight w:val="156"/>
        </w:trPr>
        <w:tc>
          <w:tcPr>
            <w:tcW w:w="4400" w:type="dxa"/>
            <w:vAlign w:val="bottom"/>
          </w:tcPr>
          <w:p>
            <w:pPr>
              <w:ind w:left="20"/>
              <w:spacing w:after="0"/>
              <w:rPr>
                <w:sz w:val="20"/>
                <w:szCs w:val="20"/>
                <w:color w:val="auto"/>
              </w:rPr>
            </w:pPr>
            <w:r>
              <w:rPr>
                <w:rFonts w:ascii="Arial" w:cs="Arial" w:eastAsia="Arial" w:hAnsi="Arial"/>
                <w:sz w:val="11"/>
                <w:szCs w:val="11"/>
                <w:color w:val="auto"/>
              </w:rPr>
              <w:t>Average Total Assets</w:t>
            </w: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2,188,299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2,077,801</w:t>
            </w:r>
          </w:p>
        </w:tc>
      </w:tr>
      <w:tr>
        <w:trPr>
          <w:trHeight w:val="162"/>
        </w:trPr>
        <w:tc>
          <w:tcPr>
            <w:tcW w:w="4400" w:type="dxa"/>
            <w:vAlign w:val="bottom"/>
            <w:shd w:val="clear" w:color="auto" w:fill="CCEEFF"/>
          </w:tcPr>
          <w:p>
            <w:pPr>
              <w:ind w:left="80"/>
              <w:spacing w:after="0"/>
              <w:rPr>
                <w:sz w:val="20"/>
                <w:szCs w:val="20"/>
                <w:color w:val="auto"/>
              </w:rPr>
            </w:pPr>
            <w:r>
              <w:rPr>
                <w:rFonts w:ascii="Arial" w:cs="Arial" w:eastAsia="Arial" w:hAnsi="Arial"/>
                <w:sz w:val="11"/>
                <w:szCs w:val="11"/>
                <w:color w:val="auto"/>
              </w:rPr>
              <w:t>Less: Average SBA-PPP Loans</w:t>
            </w: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1,373</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29,831</w:t>
            </w:r>
          </w:p>
        </w:tc>
      </w:tr>
      <w:tr>
        <w:trPr>
          <w:trHeight w:val="150"/>
        </w:trPr>
        <w:tc>
          <w:tcPr>
            <w:tcW w:w="4400" w:type="dxa"/>
            <w:vAlign w:val="bottom"/>
          </w:tcPr>
          <w:p>
            <w:pPr>
              <w:ind w:left="20"/>
              <w:spacing w:after="0"/>
              <w:rPr>
                <w:sz w:val="20"/>
                <w:szCs w:val="20"/>
                <w:color w:val="auto"/>
              </w:rPr>
            </w:pPr>
            <w:r>
              <w:rPr>
                <w:rFonts w:ascii="Arial" w:cs="Arial" w:eastAsia="Arial" w:hAnsi="Arial"/>
                <w:sz w:val="11"/>
                <w:szCs w:val="11"/>
                <w:b w:val="1"/>
                <w:bCs w:val="1"/>
                <w:color w:val="auto"/>
              </w:rPr>
              <w:t>Average Total Assets, as Adjusted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2,186,926</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2,047,970</w:t>
            </w:r>
          </w:p>
        </w:tc>
      </w:tr>
      <w:tr>
        <w:trPr>
          <w:trHeight w:val="159"/>
        </w:trPr>
        <w:tc>
          <w:tcPr>
            <w:tcW w:w="44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Return on Average Assets, as Adjusted</w:t>
            </w: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1.64%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1.87%</w:t>
            </w: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ind w:left="20"/>
              <w:spacing w:after="0"/>
              <w:rPr>
                <w:sz w:val="20"/>
                <w:szCs w:val="20"/>
                <w:color w:val="auto"/>
              </w:rPr>
            </w:pPr>
            <w:r>
              <w:rPr>
                <w:rFonts w:ascii="Arial" w:cs="Arial" w:eastAsia="Arial" w:hAnsi="Arial"/>
                <w:sz w:val="13"/>
                <w:szCs w:val="13"/>
                <w:b w:val="1"/>
                <w:bCs w:val="1"/>
                <w:color w:val="auto"/>
              </w:rPr>
              <w:t>Net Interest Margin, as Adjusted</w:t>
            </w: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963"/>
              <w:spacing w:after="0"/>
              <w:rPr>
                <w:sz w:val="20"/>
                <w:szCs w:val="20"/>
                <w:color w:val="auto"/>
              </w:rPr>
            </w:pPr>
            <w:r>
              <w:rPr>
                <w:rFonts w:ascii="Arial" w:cs="Arial" w:eastAsia="Arial" w:hAnsi="Arial"/>
                <w:sz w:val="13"/>
                <w:szCs w:val="13"/>
                <w:b w:val="1"/>
                <w:bCs w:val="1"/>
                <w:color w:val="auto"/>
              </w:rPr>
              <w:t>Year Ended</w:t>
            </w:r>
          </w:p>
        </w:tc>
      </w:tr>
      <w:tr>
        <w:trPr>
          <w:trHeight w:val="150"/>
        </w:trPr>
        <w:tc>
          <w:tcPr>
            <w:tcW w:w="442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2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 2023</w:t>
            </w:r>
          </w:p>
        </w:tc>
        <w:tc>
          <w:tcPr>
            <w:tcW w:w="120" w:type="dxa"/>
            <w:vAlign w:val="bottom"/>
          </w:tcPr>
          <w:p>
            <w:pPr>
              <w:spacing w:after="0"/>
              <w:rPr>
                <w:sz w:val="13"/>
                <w:szCs w:val="13"/>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b w:val="1"/>
                <w:bCs w:val="1"/>
                <w:color w:val="auto"/>
              </w:rPr>
              <w:t>December 31, 2022</w:t>
            </w:r>
          </w:p>
        </w:tc>
      </w:tr>
      <w:tr>
        <w:trPr>
          <w:trHeight w:val="23"/>
        </w:trPr>
        <w:tc>
          <w:tcPr>
            <w:tcW w:w="44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r>
      <w:tr>
        <w:trPr>
          <w:trHeight w:val="159"/>
        </w:trPr>
        <w:tc>
          <w:tcPr>
            <w:tcW w:w="4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141,526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140,607</w:t>
            </w:r>
          </w:p>
        </w:tc>
      </w:tr>
      <w:tr>
        <w:trPr>
          <w:trHeight w:val="156"/>
        </w:trPr>
        <w:tc>
          <w:tcPr>
            <w:tcW w:w="4420" w:type="dxa"/>
            <w:vAlign w:val="bottom"/>
          </w:tcPr>
          <w:p>
            <w:pPr>
              <w:ind w:left="80"/>
              <w:spacing w:after="0"/>
              <w:rPr>
                <w:sz w:val="20"/>
                <w:szCs w:val="20"/>
                <w:color w:val="auto"/>
              </w:rPr>
            </w:pPr>
            <w:r>
              <w:rPr>
                <w:rFonts w:ascii="Arial" w:cs="Arial" w:eastAsia="Arial" w:hAnsi="Arial"/>
                <w:sz w:val="11"/>
                <w:szCs w:val="11"/>
                <w:color w:val="auto"/>
              </w:rPr>
              <w:t>Less: Credit Card Loan Income</w:t>
            </w:r>
          </w:p>
        </w:tc>
        <w:tc>
          <w:tcPr>
            <w:tcW w:w="1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61,096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63,348</w:t>
            </w:r>
          </w:p>
        </w:tc>
      </w:tr>
      <w:tr>
        <w:trPr>
          <w:trHeight w:val="162"/>
        </w:trPr>
        <w:tc>
          <w:tcPr>
            <w:tcW w:w="4420" w:type="dxa"/>
            <w:vAlign w:val="bottom"/>
            <w:shd w:val="clear" w:color="auto" w:fill="CCEEFF"/>
          </w:tcPr>
          <w:p>
            <w:pPr>
              <w:ind w:left="80"/>
              <w:spacing w:after="0"/>
              <w:rPr>
                <w:sz w:val="20"/>
                <w:szCs w:val="20"/>
                <w:color w:val="auto"/>
              </w:rPr>
            </w:pPr>
            <w:r>
              <w:rPr>
                <w:rFonts w:ascii="Arial" w:cs="Arial" w:eastAsia="Arial" w:hAnsi="Arial"/>
                <w:sz w:val="11"/>
                <w:szCs w:val="11"/>
                <w:color w:val="auto"/>
              </w:rPr>
              <w:t>Less: SBA-PPP Loan Income</w:t>
            </w: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3,477</w:t>
            </w:r>
          </w:p>
        </w:tc>
      </w:tr>
      <w:tr>
        <w:trPr>
          <w:trHeight w:val="150"/>
        </w:trPr>
        <w:tc>
          <w:tcPr>
            <w:tcW w:w="4420" w:type="dxa"/>
            <w:vAlign w:val="bottom"/>
          </w:tcPr>
          <w:p>
            <w:pPr>
              <w:ind w:left="20"/>
              <w:spacing w:after="0"/>
              <w:rPr>
                <w:sz w:val="20"/>
                <w:szCs w:val="20"/>
                <w:color w:val="auto"/>
              </w:rPr>
            </w:pPr>
            <w:r>
              <w:rPr>
                <w:rFonts w:ascii="Arial" w:cs="Arial" w:eastAsia="Arial" w:hAnsi="Arial"/>
                <w:sz w:val="11"/>
                <w:szCs w:val="11"/>
                <w:b w:val="1"/>
                <w:bCs w:val="1"/>
                <w:color w:val="auto"/>
              </w:rPr>
              <w:t>Net Interest Income, as Adjusted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80,400</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73,782</w:t>
            </w:r>
          </w:p>
        </w:tc>
      </w:tr>
      <w:tr>
        <w:trPr>
          <w:trHeight w:val="159"/>
        </w:trPr>
        <w:tc>
          <w:tcPr>
            <w:tcW w:w="4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Average Interest Earning Assets</w:t>
            </w: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2,145,209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2,033,242</w:t>
            </w:r>
          </w:p>
        </w:tc>
      </w:tr>
      <w:tr>
        <w:trPr>
          <w:trHeight w:val="156"/>
        </w:trPr>
        <w:tc>
          <w:tcPr>
            <w:tcW w:w="4420" w:type="dxa"/>
            <w:vAlign w:val="bottom"/>
          </w:tcPr>
          <w:p>
            <w:pPr>
              <w:ind w:left="80"/>
              <w:spacing w:after="0"/>
              <w:rPr>
                <w:sz w:val="20"/>
                <w:szCs w:val="20"/>
                <w:color w:val="auto"/>
              </w:rPr>
            </w:pPr>
            <w:r>
              <w:rPr>
                <w:rFonts w:ascii="Arial" w:cs="Arial" w:eastAsia="Arial" w:hAnsi="Arial"/>
                <w:sz w:val="11"/>
                <w:szCs w:val="11"/>
                <w:color w:val="auto"/>
              </w:rPr>
              <w:t>Less: Average Credit Card Loans</w:t>
            </w:r>
          </w:p>
        </w:tc>
        <w:tc>
          <w:tcPr>
            <w:tcW w:w="1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114,450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126,473</w:t>
            </w:r>
          </w:p>
        </w:tc>
      </w:tr>
      <w:tr>
        <w:trPr>
          <w:trHeight w:val="162"/>
        </w:trPr>
        <w:tc>
          <w:tcPr>
            <w:tcW w:w="4420" w:type="dxa"/>
            <w:vAlign w:val="bottom"/>
            <w:shd w:val="clear" w:color="auto" w:fill="CCEEFF"/>
          </w:tcPr>
          <w:p>
            <w:pPr>
              <w:ind w:left="80"/>
              <w:spacing w:after="0"/>
              <w:rPr>
                <w:sz w:val="20"/>
                <w:szCs w:val="20"/>
                <w:color w:val="auto"/>
              </w:rPr>
            </w:pPr>
            <w:r>
              <w:rPr>
                <w:rFonts w:ascii="Arial" w:cs="Arial" w:eastAsia="Arial" w:hAnsi="Arial"/>
                <w:sz w:val="11"/>
                <w:szCs w:val="11"/>
                <w:color w:val="auto"/>
              </w:rPr>
              <w:t>Less: Average SBA-PPP Loans</w:t>
            </w: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1,373</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29,831</w:t>
            </w:r>
          </w:p>
        </w:tc>
      </w:tr>
      <w:tr>
        <w:trPr>
          <w:trHeight w:val="150"/>
        </w:trPr>
        <w:tc>
          <w:tcPr>
            <w:tcW w:w="4420" w:type="dxa"/>
            <w:vAlign w:val="bottom"/>
          </w:tcPr>
          <w:p>
            <w:pPr>
              <w:ind w:left="20"/>
              <w:spacing w:after="0"/>
              <w:rPr>
                <w:sz w:val="20"/>
                <w:szCs w:val="20"/>
                <w:color w:val="auto"/>
              </w:rPr>
            </w:pPr>
            <w:r>
              <w:rPr>
                <w:rFonts w:ascii="Arial" w:cs="Arial" w:eastAsia="Arial" w:hAnsi="Arial"/>
                <w:sz w:val="11"/>
                <w:szCs w:val="11"/>
                <w:b w:val="1"/>
                <w:bCs w:val="1"/>
                <w:color w:val="auto"/>
              </w:rPr>
              <w:t>Total Average Interest Earning Assets, as Adjusted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2,029,386</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1,876,938</w:t>
            </w:r>
          </w:p>
        </w:tc>
      </w:tr>
      <w:tr>
        <w:trPr>
          <w:trHeight w:val="159"/>
        </w:trPr>
        <w:tc>
          <w:tcPr>
            <w:tcW w:w="4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Interest Margin, as Adjusted</w:t>
            </w: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3.96%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3.93%</w:t>
            </w:r>
          </w:p>
        </w:tc>
      </w:tr>
    </w:tbl>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ind w:left="20"/>
              <w:spacing w:after="0"/>
              <w:rPr>
                <w:sz w:val="20"/>
                <w:szCs w:val="20"/>
                <w:color w:val="auto"/>
              </w:rPr>
            </w:pPr>
            <w:r>
              <w:rPr>
                <w:rFonts w:ascii="Arial" w:cs="Arial" w:eastAsia="Arial" w:hAnsi="Arial"/>
                <w:sz w:val="13"/>
                <w:szCs w:val="13"/>
                <w:b w:val="1"/>
                <w:bCs w:val="1"/>
                <w:color w:val="auto"/>
              </w:rPr>
              <w:t>Portfolio Loans Receivable Yield, as Adjusted</w:t>
            </w: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963"/>
              <w:spacing w:after="0"/>
              <w:rPr>
                <w:sz w:val="20"/>
                <w:szCs w:val="20"/>
                <w:color w:val="auto"/>
              </w:rPr>
            </w:pPr>
            <w:r>
              <w:rPr>
                <w:rFonts w:ascii="Arial" w:cs="Arial" w:eastAsia="Arial" w:hAnsi="Arial"/>
                <w:sz w:val="13"/>
                <w:szCs w:val="13"/>
                <w:b w:val="1"/>
                <w:bCs w:val="1"/>
                <w:color w:val="auto"/>
              </w:rPr>
              <w:t>Year Ended</w:t>
            </w:r>
          </w:p>
        </w:tc>
      </w:tr>
      <w:tr>
        <w:trPr>
          <w:trHeight w:val="150"/>
        </w:trPr>
        <w:tc>
          <w:tcPr>
            <w:tcW w:w="440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20" w:type="dxa"/>
            <w:vAlign w:val="bottom"/>
          </w:tcPr>
          <w:p>
            <w:pPr>
              <w:spacing w:after="0"/>
              <w:rPr>
                <w:sz w:val="13"/>
                <w:szCs w:val="13"/>
                <w:color w:val="auto"/>
              </w:rPr>
            </w:pP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 2023</w:t>
            </w:r>
          </w:p>
        </w:tc>
        <w:tc>
          <w:tcPr>
            <w:tcW w:w="100" w:type="dxa"/>
            <w:vAlign w:val="bottom"/>
          </w:tcPr>
          <w:p>
            <w:pPr>
              <w:spacing w:after="0"/>
              <w:rPr>
                <w:sz w:val="13"/>
                <w:szCs w:val="13"/>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b w:val="1"/>
                <w:bCs w:val="1"/>
                <w:color w:val="auto"/>
              </w:rPr>
              <w:t>December 31, 2022</w:t>
            </w:r>
          </w:p>
        </w:tc>
      </w:tr>
      <w:tr>
        <w:trPr>
          <w:trHeight w:val="23"/>
        </w:trPr>
        <w:tc>
          <w:tcPr>
            <w:tcW w:w="44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r>
      <w:tr>
        <w:trPr>
          <w:trHeight w:val="159"/>
        </w:trPr>
        <w:tc>
          <w:tcPr>
            <w:tcW w:w="44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Portfolio Loans Receivable 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174,348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140,496</w:t>
            </w:r>
          </w:p>
        </w:tc>
      </w:tr>
      <w:tr>
        <w:trPr>
          <w:trHeight w:val="156"/>
        </w:trPr>
        <w:tc>
          <w:tcPr>
            <w:tcW w:w="440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Less: Credit Card Loan Income</w:t>
            </w: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61,096</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63,348</w:t>
            </w:r>
          </w:p>
        </w:tc>
      </w:tr>
      <w:tr>
        <w:trPr>
          <w:trHeight w:val="153"/>
        </w:trPr>
        <w:tc>
          <w:tcPr>
            <w:tcW w:w="44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Portfolio Loans Receivable Interest Income, as 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113,252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77,148</w:t>
            </w:r>
          </w:p>
        </w:tc>
      </w:tr>
      <w:tr>
        <w:trPr>
          <w:trHeight w:val="156"/>
        </w:trPr>
        <w:tc>
          <w:tcPr>
            <w:tcW w:w="4400" w:type="dxa"/>
            <w:vAlign w:val="bottom"/>
          </w:tcPr>
          <w:p>
            <w:pPr>
              <w:ind w:left="20"/>
              <w:spacing w:after="0"/>
              <w:rPr>
                <w:sz w:val="20"/>
                <w:szCs w:val="20"/>
                <w:color w:val="auto"/>
              </w:rPr>
            </w:pPr>
            <w:r>
              <w:rPr>
                <w:rFonts w:ascii="Arial" w:cs="Arial" w:eastAsia="Arial" w:hAnsi="Arial"/>
                <w:sz w:val="11"/>
                <w:szCs w:val="11"/>
                <w:color w:val="auto"/>
              </w:rPr>
              <w:t>Average Portfolio Loans Receivable</w:t>
            </w: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1,815,595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1,579,661</w:t>
            </w:r>
          </w:p>
        </w:tc>
      </w:tr>
      <w:tr>
        <w:trPr>
          <w:trHeight w:val="162"/>
        </w:trPr>
        <w:tc>
          <w:tcPr>
            <w:tcW w:w="4400" w:type="dxa"/>
            <w:vAlign w:val="bottom"/>
            <w:shd w:val="clear" w:color="auto" w:fill="CCEEFF"/>
          </w:tcPr>
          <w:p>
            <w:pPr>
              <w:ind w:left="80"/>
              <w:spacing w:after="0"/>
              <w:rPr>
                <w:sz w:val="20"/>
                <w:szCs w:val="20"/>
                <w:color w:val="auto"/>
              </w:rPr>
            </w:pPr>
            <w:r>
              <w:rPr>
                <w:rFonts w:ascii="Arial" w:cs="Arial" w:eastAsia="Arial" w:hAnsi="Arial"/>
                <w:sz w:val="11"/>
                <w:szCs w:val="11"/>
                <w:color w:val="auto"/>
              </w:rPr>
              <w:t>Less: Average Credit Card Loans</w:t>
            </w: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114,450</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126,473</w:t>
            </w:r>
          </w:p>
        </w:tc>
      </w:tr>
      <w:tr>
        <w:trPr>
          <w:trHeight w:val="150"/>
        </w:trPr>
        <w:tc>
          <w:tcPr>
            <w:tcW w:w="4400" w:type="dxa"/>
            <w:vAlign w:val="bottom"/>
          </w:tcPr>
          <w:p>
            <w:pPr>
              <w:ind w:left="20"/>
              <w:spacing w:after="0"/>
              <w:rPr>
                <w:sz w:val="20"/>
                <w:szCs w:val="20"/>
                <w:color w:val="auto"/>
              </w:rPr>
            </w:pPr>
            <w:r>
              <w:rPr>
                <w:rFonts w:ascii="Arial" w:cs="Arial" w:eastAsia="Arial" w:hAnsi="Arial"/>
                <w:sz w:val="11"/>
                <w:szCs w:val="11"/>
                <w:b w:val="1"/>
                <w:bCs w:val="1"/>
                <w:color w:val="auto"/>
              </w:rPr>
              <w:t>Total Average Portfolio Loans Receivable, as Adjusted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1,701,145</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1,453,188</w:t>
            </w:r>
          </w:p>
        </w:tc>
      </w:tr>
      <w:tr>
        <w:trPr>
          <w:trHeight w:val="159"/>
        </w:trPr>
        <w:tc>
          <w:tcPr>
            <w:tcW w:w="44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Portfolio Loans Receivable Yield, as Adjusted</w:t>
            </w: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6.66%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5.31%</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0"/>
        </w:trPr>
        <w:tc>
          <w:tcPr>
            <w:tcW w:w="4480" w:type="dxa"/>
            <w:vAlign w:val="bottom"/>
          </w:tcPr>
          <w:p>
            <w:pPr>
              <w:ind w:left="20"/>
              <w:spacing w:after="0"/>
              <w:rPr>
                <w:sz w:val="20"/>
                <w:szCs w:val="20"/>
                <w:color w:val="auto"/>
              </w:rPr>
            </w:pPr>
            <w:r>
              <w:rPr>
                <w:rFonts w:ascii="Arial" w:cs="Arial" w:eastAsia="Arial" w:hAnsi="Arial"/>
                <w:sz w:val="13"/>
                <w:szCs w:val="13"/>
                <w:b w:val="1"/>
                <w:bCs w:val="1"/>
                <w:color w:val="auto"/>
              </w:rPr>
              <w:t>Pre-tax, Pre-Provision Net Revenue ("PPNR")</w:t>
            </w: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963"/>
              <w:spacing w:after="0"/>
              <w:rPr>
                <w:sz w:val="20"/>
                <w:szCs w:val="20"/>
                <w:color w:val="auto"/>
              </w:rPr>
            </w:pPr>
            <w:r>
              <w:rPr>
                <w:rFonts w:ascii="Arial" w:cs="Arial" w:eastAsia="Arial" w:hAnsi="Arial"/>
                <w:sz w:val="13"/>
                <w:szCs w:val="13"/>
                <w:b w:val="1"/>
                <w:bCs w:val="1"/>
                <w:color w:val="auto"/>
              </w:rPr>
              <w:t>Year Ended</w:t>
            </w:r>
          </w:p>
        </w:tc>
      </w:tr>
      <w:tr>
        <w:trPr>
          <w:trHeight w:val="150"/>
        </w:trPr>
        <w:tc>
          <w:tcPr>
            <w:tcW w:w="448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0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 2023</w:t>
            </w:r>
          </w:p>
        </w:tc>
        <w:tc>
          <w:tcPr>
            <w:tcW w:w="120" w:type="dxa"/>
            <w:vAlign w:val="bottom"/>
          </w:tcPr>
          <w:p>
            <w:pPr>
              <w:spacing w:after="0"/>
              <w:rPr>
                <w:sz w:val="13"/>
                <w:szCs w:val="13"/>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b w:val="1"/>
                <w:bCs w:val="1"/>
                <w:color w:val="auto"/>
              </w:rPr>
              <w:t>December 31, 2022</w:t>
            </w:r>
          </w:p>
        </w:tc>
      </w:tr>
      <w:tr>
        <w:trPr>
          <w:trHeight w:val="23"/>
        </w:trPr>
        <w:tc>
          <w:tcPr>
            <w:tcW w:w="44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r>
      <w:tr>
        <w:trPr>
          <w:trHeight w:val="159"/>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35,871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41,804</w:t>
            </w:r>
          </w:p>
        </w:tc>
      </w:tr>
      <w:tr>
        <w:trPr>
          <w:trHeight w:val="156"/>
        </w:trPr>
        <w:tc>
          <w:tcPr>
            <w:tcW w:w="4480" w:type="dxa"/>
            <w:vAlign w:val="bottom"/>
          </w:tcPr>
          <w:p>
            <w:pPr>
              <w:ind w:left="80"/>
              <w:spacing w:after="0"/>
              <w:rPr>
                <w:sz w:val="20"/>
                <w:szCs w:val="20"/>
                <w:color w:val="auto"/>
              </w:rPr>
            </w:pPr>
            <w:r>
              <w:rPr>
                <w:rFonts w:ascii="Arial" w:cs="Arial" w:eastAsia="Arial" w:hAnsi="Arial"/>
                <w:sz w:val="11"/>
                <w:szCs w:val="11"/>
                <w:color w:val="auto"/>
              </w:rPr>
              <w:t>Add: Income Tax Expense</w:t>
            </w:r>
          </w:p>
        </w:tc>
        <w:tc>
          <w:tcPr>
            <w:tcW w:w="10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Arial" w:cs="Arial" w:eastAsia="Arial" w:hAnsi="Arial"/>
                <w:sz w:val="11"/>
                <w:szCs w:val="11"/>
                <w:color w:val="auto"/>
              </w:rPr>
              <w:t>10,354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12,430</w:t>
            </w:r>
          </w:p>
        </w:tc>
      </w:tr>
      <w:tr>
        <w:trPr>
          <w:trHeight w:val="162"/>
        </w:trPr>
        <w:tc>
          <w:tcPr>
            <w:tcW w:w="4480" w:type="dxa"/>
            <w:vAlign w:val="bottom"/>
            <w:shd w:val="clear" w:color="auto" w:fill="CCEEFF"/>
          </w:tcPr>
          <w:p>
            <w:pPr>
              <w:ind w:left="80"/>
              <w:spacing w:after="0"/>
              <w:rPr>
                <w:sz w:val="20"/>
                <w:szCs w:val="20"/>
                <w:color w:val="auto"/>
              </w:rPr>
            </w:pPr>
            <w:r>
              <w:rPr>
                <w:rFonts w:ascii="Arial" w:cs="Arial" w:eastAsia="Arial" w:hAnsi="Arial"/>
                <w:sz w:val="11"/>
                <w:szCs w:val="11"/>
                <w:color w:val="auto"/>
              </w:rPr>
              <w:t>Add: Provision for Credit Losses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9,610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6,631</w:t>
            </w:r>
          </w:p>
        </w:tc>
      </w:tr>
      <w:tr>
        <w:trPr>
          <w:trHeight w:val="156"/>
        </w:trPr>
        <w:tc>
          <w:tcPr>
            <w:tcW w:w="448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Add: Release of Credit Losses on Unfunded Commitments</w:t>
            </w: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Pre-tax, Pre-Provision Net Revenue ("PPNR")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55,734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60,865</w:t>
            </w: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ind w:left="20"/>
              <w:spacing w:after="0"/>
              <w:rPr>
                <w:sz w:val="20"/>
                <w:szCs w:val="20"/>
                <w:color w:val="auto"/>
              </w:rPr>
            </w:pPr>
            <w:r>
              <w:rPr>
                <w:rFonts w:ascii="Arial" w:cs="Arial" w:eastAsia="Arial" w:hAnsi="Arial"/>
                <w:sz w:val="13"/>
                <w:szCs w:val="13"/>
                <w:b w:val="1"/>
                <w:bCs w:val="1"/>
                <w:color w:val="auto"/>
              </w:rPr>
              <w:t>Allowance for Credit Losses to Total Portfolio Loans</w:t>
            </w: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963"/>
              <w:spacing w:after="0"/>
              <w:rPr>
                <w:sz w:val="20"/>
                <w:szCs w:val="20"/>
                <w:color w:val="auto"/>
              </w:rPr>
            </w:pPr>
            <w:r>
              <w:rPr>
                <w:rFonts w:ascii="Arial" w:cs="Arial" w:eastAsia="Arial" w:hAnsi="Arial"/>
                <w:sz w:val="13"/>
                <w:szCs w:val="13"/>
                <w:b w:val="1"/>
                <w:bCs w:val="1"/>
                <w:color w:val="auto"/>
              </w:rPr>
              <w:t>Year Ended</w:t>
            </w:r>
          </w:p>
        </w:tc>
      </w:tr>
      <w:tr>
        <w:trPr>
          <w:trHeight w:val="150"/>
        </w:trPr>
        <w:tc>
          <w:tcPr>
            <w:tcW w:w="440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2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 2023</w:t>
            </w:r>
          </w:p>
        </w:tc>
        <w:tc>
          <w:tcPr>
            <w:tcW w:w="120" w:type="dxa"/>
            <w:vAlign w:val="bottom"/>
          </w:tcPr>
          <w:p>
            <w:pPr>
              <w:spacing w:after="0"/>
              <w:rPr>
                <w:sz w:val="13"/>
                <w:szCs w:val="13"/>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b w:val="1"/>
                <w:bCs w:val="1"/>
                <w:color w:val="auto"/>
              </w:rPr>
              <w:t>December 31, 2022</w:t>
            </w:r>
          </w:p>
        </w:tc>
      </w:tr>
      <w:tr>
        <w:trPr>
          <w:trHeight w:val="54"/>
        </w:trPr>
        <w:tc>
          <w:tcPr>
            <w:tcW w:w="4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r>
      <w:tr>
        <w:trPr>
          <w:trHeight w:val="159"/>
        </w:trPr>
        <w:tc>
          <w:tcPr>
            <w:tcW w:w="44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Allowance for Credit Losses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28,610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26,385</w:t>
            </w:r>
          </w:p>
        </w:tc>
      </w:tr>
      <w:tr>
        <w:trPr>
          <w:trHeight w:val="156"/>
        </w:trPr>
        <w:tc>
          <w:tcPr>
            <w:tcW w:w="4400" w:type="dxa"/>
            <w:vAlign w:val="bottom"/>
          </w:tcPr>
          <w:p>
            <w:pPr>
              <w:ind w:left="20"/>
              <w:spacing w:after="0"/>
              <w:rPr>
                <w:sz w:val="20"/>
                <w:szCs w:val="20"/>
                <w:color w:val="auto"/>
              </w:rPr>
            </w:pPr>
            <w:r>
              <w:rPr>
                <w:rFonts w:ascii="Arial" w:cs="Arial" w:eastAsia="Arial" w:hAnsi="Arial"/>
                <w:sz w:val="11"/>
                <w:szCs w:val="11"/>
                <w:color w:val="auto"/>
              </w:rPr>
              <w:t>Total Loans</w:t>
            </w:r>
          </w:p>
        </w:tc>
        <w:tc>
          <w:tcPr>
            <w:tcW w:w="12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Arial" w:cs="Arial" w:eastAsia="Arial" w:hAnsi="Arial"/>
                <w:sz w:val="11"/>
                <w:szCs w:val="11"/>
                <w:color w:val="auto"/>
              </w:rPr>
              <w:t>1,903,288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1,730,755</w:t>
            </w:r>
          </w:p>
        </w:tc>
      </w:tr>
      <w:tr>
        <w:trPr>
          <w:trHeight w:val="162"/>
        </w:trPr>
        <w:tc>
          <w:tcPr>
            <w:tcW w:w="4400" w:type="dxa"/>
            <w:vAlign w:val="bottom"/>
            <w:shd w:val="clear" w:color="auto" w:fill="CCEEFF"/>
          </w:tcPr>
          <w:p>
            <w:pPr>
              <w:ind w:left="80"/>
              <w:spacing w:after="0"/>
              <w:rPr>
                <w:sz w:val="20"/>
                <w:szCs w:val="20"/>
                <w:color w:val="auto"/>
              </w:rPr>
            </w:pPr>
            <w:r>
              <w:rPr>
                <w:rFonts w:ascii="Arial" w:cs="Arial" w:eastAsia="Arial" w:hAnsi="Arial"/>
                <w:sz w:val="11"/>
                <w:szCs w:val="11"/>
                <w:color w:val="auto"/>
              </w:rPr>
              <w:t>Less: SBA-PPP Loans, net of fees and costs</w:t>
            </w: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1"/>
                <w:szCs w:val="11"/>
                <w:color w:val="auto"/>
              </w:rPr>
              <w:t>645</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2,163</w:t>
            </w:r>
          </w:p>
        </w:tc>
      </w:tr>
      <w:tr>
        <w:trPr>
          <w:trHeight w:val="150"/>
        </w:trPr>
        <w:tc>
          <w:tcPr>
            <w:tcW w:w="4400" w:type="dxa"/>
            <w:vAlign w:val="bottom"/>
          </w:tcPr>
          <w:p>
            <w:pPr>
              <w:ind w:left="20"/>
              <w:spacing w:after="0"/>
              <w:rPr>
                <w:sz w:val="20"/>
                <w:szCs w:val="20"/>
                <w:color w:val="auto"/>
              </w:rPr>
            </w:pPr>
            <w:r>
              <w:rPr>
                <w:rFonts w:ascii="Arial" w:cs="Arial" w:eastAsia="Arial" w:hAnsi="Arial"/>
                <w:sz w:val="11"/>
                <w:szCs w:val="11"/>
                <w:b w:val="1"/>
                <w:bCs w:val="1"/>
                <w:color w:val="auto"/>
              </w:rPr>
              <w:t>Total Portfolio Loans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2"/>
              <w:spacing w:after="0"/>
              <w:rPr>
                <w:sz w:val="20"/>
                <w:szCs w:val="20"/>
                <w:color w:val="auto"/>
              </w:rPr>
            </w:pPr>
            <w:r>
              <w:rPr>
                <w:rFonts w:ascii="Arial" w:cs="Arial" w:eastAsia="Arial" w:hAnsi="Arial"/>
                <w:sz w:val="11"/>
                <w:szCs w:val="11"/>
                <w:color w:val="auto"/>
              </w:rPr>
              <w:t>1,902,643</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1,728,592</w:t>
            </w:r>
          </w:p>
        </w:tc>
      </w:tr>
      <w:tr>
        <w:trPr>
          <w:trHeight w:val="159"/>
        </w:trPr>
        <w:tc>
          <w:tcPr>
            <w:tcW w:w="44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Allowance for Credit Losses to Total Portfolio Loans</w:t>
            </w: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1"/>
                <w:szCs w:val="11"/>
                <w:color w:val="auto"/>
              </w:rPr>
              <w:t>1.50%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1.53%</w:t>
            </w:r>
          </w:p>
        </w:tc>
      </w:tr>
    </w:tbl>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ind w:left="20"/>
              <w:spacing w:after="0"/>
              <w:rPr>
                <w:sz w:val="20"/>
                <w:szCs w:val="20"/>
                <w:color w:val="auto"/>
              </w:rPr>
            </w:pPr>
            <w:r>
              <w:rPr>
                <w:rFonts w:ascii="Arial" w:cs="Arial" w:eastAsia="Arial" w:hAnsi="Arial"/>
                <w:sz w:val="13"/>
                <w:szCs w:val="13"/>
                <w:b w:val="1"/>
                <w:bCs w:val="1"/>
                <w:color w:val="auto"/>
              </w:rPr>
              <w:t>Nonperforming Assets to Total Assets, net SBA-PPP Loans</w:t>
            </w: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963"/>
              <w:spacing w:after="0"/>
              <w:rPr>
                <w:sz w:val="20"/>
                <w:szCs w:val="20"/>
                <w:color w:val="auto"/>
              </w:rPr>
            </w:pPr>
            <w:r>
              <w:rPr>
                <w:rFonts w:ascii="Arial" w:cs="Arial" w:eastAsia="Arial" w:hAnsi="Arial"/>
                <w:sz w:val="13"/>
                <w:szCs w:val="13"/>
                <w:b w:val="1"/>
                <w:bCs w:val="1"/>
                <w:color w:val="auto"/>
              </w:rPr>
              <w:t>Year Ended</w:t>
            </w:r>
          </w:p>
        </w:tc>
      </w:tr>
      <w:tr>
        <w:trPr>
          <w:trHeight w:val="150"/>
        </w:trPr>
        <w:tc>
          <w:tcPr>
            <w:tcW w:w="440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2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 2023</w:t>
            </w:r>
          </w:p>
        </w:tc>
        <w:tc>
          <w:tcPr>
            <w:tcW w:w="120" w:type="dxa"/>
            <w:vAlign w:val="bottom"/>
          </w:tcPr>
          <w:p>
            <w:pPr>
              <w:spacing w:after="0"/>
              <w:rPr>
                <w:sz w:val="13"/>
                <w:szCs w:val="13"/>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b w:val="1"/>
                <w:bCs w:val="1"/>
                <w:color w:val="auto"/>
              </w:rPr>
              <w:t>December 31, 2022</w:t>
            </w:r>
          </w:p>
        </w:tc>
      </w:tr>
      <w:tr>
        <w:trPr>
          <w:trHeight w:val="54"/>
        </w:trPr>
        <w:tc>
          <w:tcPr>
            <w:tcW w:w="4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r>
      <w:tr>
        <w:trPr>
          <w:trHeight w:val="159"/>
        </w:trPr>
        <w:tc>
          <w:tcPr>
            <w:tcW w:w="44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Nonperforming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16,042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9,756</w:t>
            </w:r>
          </w:p>
        </w:tc>
      </w:tr>
      <w:tr>
        <w:trPr>
          <w:trHeight w:val="156"/>
        </w:trPr>
        <w:tc>
          <w:tcPr>
            <w:tcW w:w="4400" w:type="dxa"/>
            <w:vAlign w:val="bottom"/>
          </w:tcPr>
          <w:p>
            <w:pPr>
              <w:ind w:left="20"/>
              <w:spacing w:after="0"/>
              <w:rPr>
                <w:sz w:val="20"/>
                <w:szCs w:val="20"/>
                <w:color w:val="auto"/>
              </w:rPr>
            </w:pPr>
            <w:r>
              <w:rPr>
                <w:rFonts w:ascii="Arial" w:cs="Arial" w:eastAsia="Arial" w:hAnsi="Arial"/>
                <w:sz w:val="11"/>
                <w:szCs w:val="11"/>
                <w:color w:val="auto"/>
              </w:rPr>
              <w:t>Total Assets</w:t>
            </w:r>
          </w:p>
        </w:tc>
        <w:tc>
          <w:tcPr>
            <w:tcW w:w="12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Arial" w:cs="Arial" w:eastAsia="Arial" w:hAnsi="Arial"/>
                <w:sz w:val="11"/>
                <w:szCs w:val="11"/>
                <w:color w:val="auto"/>
              </w:rPr>
              <w:t>2,226,176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2,123,655</w:t>
            </w:r>
          </w:p>
        </w:tc>
      </w:tr>
      <w:tr>
        <w:trPr>
          <w:trHeight w:val="162"/>
        </w:trPr>
        <w:tc>
          <w:tcPr>
            <w:tcW w:w="4400" w:type="dxa"/>
            <w:vAlign w:val="bottom"/>
            <w:shd w:val="clear" w:color="auto" w:fill="CCEEFF"/>
          </w:tcPr>
          <w:p>
            <w:pPr>
              <w:ind w:left="80"/>
              <w:spacing w:after="0"/>
              <w:rPr>
                <w:sz w:val="20"/>
                <w:szCs w:val="20"/>
                <w:color w:val="auto"/>
              </w:rPr>
            </w:pPr>
            <w:r>
              <w:rPr>
                <w:rFonts w:ascii="Arial" w:cs="Arial" w:eastAsia="Arial" w:hAnsi="Arial"/>
                <w:sz w:val="11"/>
                <w:szCs w:val="11"/>
                <w:color w:val="auto"/>
              </w:rPr>
              <w:t>Less: SBA-PPP Loans, net of fees and costs</w:t>
            </w: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1"/>
                <w:szCs w:val="11"/>
                <w:color w:val="auto"/>
              </w:rPr>
              <w:t>645</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2,163</w:t>
            </w:r>
          </w:p>
        </w:tc>
      </w:tr>
      <w:tr>
        <w:trPr>
          <w:trHeight w:val="150"/>
        </w:trPr>
        <w:tc>
          <w:tcPr>
            <w:tcW w:w="4400" w:type="dxa"/>
            <w:vAlign w:val="bottom"/>
          </w:tcPr>
          <w:p>
            <w:pPr>
              <w:ind w:left="20"/>
              <w:spacing w:after="0"/>
              <w:rPr>
                <w:sz w:val="20"/>
                <w:szCs w:val="20"/>
                <w:color w:val="auto"/>
              </w:rPr>
            </w:pPr>
            <w:r>
              <w:rPr>
                <w:rFonts w:ascii="Arial" w:cs="Arial" w:eastAsia="Arial" w:hAnsi="Arial"/>
                <w:sz w:val="11"/>
                <w:szCs w:val="11"/>
                <w:b w:val="1"/>
                <w:bCs w:val="1"/>
                <w:color w:val="auto"/>
              </w:rPr>
              <w:t>Total Assets, net SBA-PPP Loans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2"/>
              <w:spacing w:after="0"/>
              <w:rPr>
                <w:sz w:val="20"/>
                <w:szCs w:val="20"/>
                <w:color w:val="auto"/>
              </w:rPr>
            </w:pPr>
            <w:r>
              <w:rPr>
                <w:rFonts w:ascii="Arial" w:cs="Arial" w:eastAsia="Arial" w:hAnsi="Arial"/>
                <w:sz w:val="11"/>
                <w:szCs w:val="11"/>
                <w:color w:val="auto"/>
              </w:rPr>
              <w:t>2,225,531</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2,121,492</w:t>
            </w:r>
          </w:p>
        </w:tc>
      </w:tr>
      <w:tr>
        <w:trPr>
          <w:trHeight w:val="159"/>
        </w:trPr>
        <w:tc>
          <w:tcPr>
            <w:tcW w:w="44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Nonperforming Assets to Total Assets, net SBA-PPP Loans</w:t>
            </w: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1"/>
                <w:szCs w:val="11"/>
                <w:color w:val="auto"/>
              </w:rPr>
              <w:t>0.72%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0.46%</w:t>
            </w: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ind w:left="20"/>
              <w:spacing w:after="0"/>
              <w:rPr>
                <w:sz w:val="20"/>
                <w:szCs w:val="20"/>
                <w:color w:val="auto"/>
              </w:rPr>
            </w:pPr>
            <w:r>
              <w:rPr>
                <w:rFonts w:ascii="Arial" w:cs="Arial" w:eastAsia="Arial" w:hAnsi="Arial"/>
                <w:sz w:val="13"/>
                <w:szCs w:val="13"/>
                <w:b w:val="1"/>
                <w:bCs w:val="1"/>
                <w:color w:val="auto"/>
              </w:rPr>
              <w:t>Nonperforming Loans to Total Portfolio Loans</w:t>
            </w: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963"/>
              <w:spacing w:after="0"/>
              <w:rPr>
                <w:sz w:val="20"/>
                <w:szCs w:val="20"/>
                <w:color w:val="auto"/>
              </w:rPr>
            </w:pPr>
            <w:r>
              <w:rPr>
                <w:rFonts w:ascii="Arial" w:cs="Arial" w:eastAsia="Arial" w:hAnsi="Arial"/>
                <w:sz w:val="13"/>
                <w:szCs w:val="13"/>
                <w:b w:val="1"/>
                <w:bCs w:val="1"/>
                <w:color w:val="auto"/>
              </w:rPr>
              <w:t>Year Ended</w:t>
            </w:r>
          </w:p>
        </w:tc>
      </w:tr>
      <w:tr>
        <w:trPr>
          <w:trHeight w:val="150"/>
        </w:trPr>
        <w:tc>
          <w:tcPr>
            <w:tcW w:w="440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2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 2023</w:t>
            </w:r>
          </w:p>
        </w:tc>
        <w:tc>
          <w:tcPr>
            <w:tcW w:w="120" w:type="dxa"/>
            <w:vAlign w:val="bottom"/>
          </w:tcPr>
          <w:p>
            <w:pPr>
              <w:spacing w:after="0"/>
              <w:rPr>
                <w:sz w:val="13"/>
                <w:szCs w:val="13"/>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b w:val="1"/>
                <w:bCs w:val="1"/>
                <w:color w:val="auto"/>
              </w:rPr>
              <w:t>December 31, 2022</w:t>
            </w:r>
          </w:p>
        </w:tc>
      </w:tr>
      <w:tr>
        <w:trPr>
          <w:trHeight w:val="54"/>
        </w:trPr>
        <w:tc>
          <w:tcPr>
            <w:tcW w:w="4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r>
      <w:tr>
        <w:trPr>
          <w:trHeight w:val="159"/>
        </w:trPr>
        <w:tc>
          <w:tcPr>
            <w:tcW w:w="44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Nonperforming Loans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16,042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9,756</w:t>
            </w:r>
          </w:p>
        </w:tc>
      </w:tr>
      <w:tr>
        <w:trPr>
          <w:trHeight w:val="156"/>
        </w:trPr>
        <w:tc>
          <w:tcPr>
            <w:tcW w:w="4400" w:type="dxa"/>
            <w:vAlign w:val="bottom"/>
          </w:tcPr>
          <w:p>
            <w:pPr>
              <w:ind w:left="20"/>
              <w:spacing w:after="0"/>
              <w:rPr>
                <w:sz w:val="20"/>
                <w:szCs w:val="20"/>
                <w:color w:val="auto"/>
              </w:rPr>
            </w:pPr>
            <w:r>
              <w:rPr>
                <w:rFonts w:ascii="Arial" w:cs="Arial" w:eastAsia="Arial" w:hAnsi="Arial"/>
                <w:sz w:val="11"/>
                <w:szCs w:val="11"/>
                <w:color w:val="auto"/>
              </w:rPr>
              <w:t>Total Loans</w:t>
            </w:r>
          </w:p>
        </w:tc>
        <w:tc>
          <w:tcPr>
            <w:tcW w:w="12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Arial" w:cs="Arial" w:eastAsia="Arial" w:hAnsi="Arial"/>
                <w:sz w:val="11"/>
                <w:szCs w:val="11"/>
                <w:color w:val="auto"/>
              </w:rPr>
              <w:t>1,903,288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1,730,755</w:t>
            </w:r>
          </w:p>
        </w:tc>
      </w:tr>
      <w:tr>
        <w:trPr>
          <w:trHeight w:val="162"/>
        </w:trPr>
        <w:tc>
          <w:tcPr>
            <w:tcW w:w="4400" w:type="dxa"/>
            <w:vAlign w:val="bottom"/>
            <w:shd w:val="clear" w:color="auto" w:fill="CCEEFF"/>
          </w:tcPr>
          <w:p>
            <w:pPr>
              <w:ind w:left="80"/>
              <w:spacing w:after="0"/>
              <w:rPr>
                <w:sz w:val="20"/>
                <w:szCs w:val="20"/>
                <w:color w:val="auto"/>
              </w:rPr>
            </w:pPr>
            <w:r>
              <w:rPr>
                <w:rFonts w:ascii="Arial" w:cs="Arial" w:eastAsia="Arial" w:hAnsi="Arial"/>
                <w:sz w:val="11"/>
                <w:szCs w:val="11"/>
                <w:color w:val="auto"/>
              </w:rPr>
              <w:t>Less: SBA-PPP Loans, net of fees and costs</w:t>
            </w: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1"/>
                <w:szCs w:val="11"/>
                <w:color w:val="auto"/>
              </w:rPr>
              <w:t>645</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2,163</w:t>
            </w:r>
          </w:p>
        </w:tc>
      </w:tr>
      <w:tr>
        <w:trPr>
          <w:trHeight w:val="147"/>
        </w:trPr>
        <w:tc>
          <w:tcPr>
            <w:tcW w:w="4400" w:type="dxa"/>
            <w:vAlign w:val="bottom"/>
          </w:tcPr>
          <w:p>
            <w:pPr>
              <w:ind w:left="20"/>
              <w:spacing w:after="0"/>
              <w:rPr>
                <w:sz w:val="20"/>
                <w:szCs w:val="20"/>
                <w:color w:val="auto"/>
              </w:rPr>
            </w:pPr>
            <w:r>
              <w:rPr>
                <w:rFonts w:ascii="Arial" w:cs="Arial" w:eastAsia="Arial" w:hAnsi="Arial"/>
                <w:sz w:val="11"/>
                <w:szCs w:val="11"/>
                <w:color w:val="auto"/>
              </w:rPr>
              <w:t>Total Portfolio Loans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2"/>
              <w:spacing w:after="0"/>
              <w:rPr>
                <w:sz w:val="20"/>
                <w:szCs w:val="20"/>
                <w:color w:val="auto"/>
              </w:rPr>
            </w:pPr>
            <w:r>
              <w:rPr>
                <w:rFonts w:ascii="Arial" w:cs="Arial" w:eastAsia="Arial" w:hAnsi="Arial"/>
                <w:sz w:val="11"/>
                <w:szCs w:val="11"/>
                <w:color w:val="auto"/>
              </w:rPr>
              <w:t>1,902,643</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1,728,592</w:t>
            </w:r>
          </w:p>
        </w:tc>
      </w:tr>
      <w:tr>
        <w:trPr>
          <w:trHeight w:val="162"/>
        </w:trPr>
        <w:tc>
          <w:tcPr>
            <w:tcW w:w="44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Nonperforming Loans to Total Portfolio Loans</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1"/>
                <w:szCs w:val="11"/>
                <w:color w:val="auto"/>
              </w:rPr>
              <w:t>0.84%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0.56%</w:t>
            </w: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ind w:left="20"/>
              <w:spacing w:after="0"/>
              <w:rPr>
                <w:sz w:val="20"/>
                <w:szCs w:val="20"/>
                <w:color w:val="auto"/>
              </w:rPr>
            </w:pPr>
            <w:r>
              <w:rPr>
                <w:rFonts w:ascii="Arial" w:cs="Arial" w:eastAsia="Arial" w:hAnsi="Arial"/>
                <w:sz w:val="13"/>
                <w:szCs w:val="13"/>
                <w:b w:val="1"/>
                <w:bCs w:val="1"/>
                <w:color w:val="auto"/>
              </w:rPr>
              <w:t>Net Charge-offs to Average Portfolio Loans</w:t>
            </w: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963"/>
              <w:spacing w:after="0"/>
              <w:rPr>
                <w:sz w:val="20"/>
                <w:szCs w:val="20"/>
                <w:color w:val="auto"/>
              </w:rPr>
            </w:pPr>
            <w:r>
              <w:rPr>
                <w:rFonts w:ascii="Arial" w:cs="Arial" w:eastAsia="Arial" w:hAnsi="Arial"/>
                <w:sz w:val="13"/>
                <w:szCs w:val="13"/>
                <w:b w:val="1"/>
                <w:bCs w:val="1"/>
                <w:color w:val="auto"/>
              </w:rPr>
              <w:t>Year Ended</w:t>
            </w:r>
          </w:p>
        </w:tc>
      </w:tr>
      <w:tr>
        <w:trPr>
          <w:trHeight w:val="150"/>
        </w:trPr>
        <w:tc>
          <w:tcPr>
            <w:tcW w:w="448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0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 2023</w:t>
            </w:r>
          </w:p>
        </w:tc>
        <w:tc>
          <w:tcPr>
            <w:tcW w:w="120" w:type="dxa"/>
            <w:vAlign w:val="bottom"/>
          </w:tcPr>
          <w:p>
            <w:pPr>
              <w:spacing w:after="0"/>
              <w:rPr>
                <w:sz w:val="13"/>
                <w:szCs w:val="13"/>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b w:val="1"/>
                <w:bCs w:val="1"/>
                <w:color w:val="auto"/>
              </w:rPr>
              <w:t>December 31, 2022</w:t>
            </w:r>
          </w:p>
        </w:tc>
      </w:tr>
      <w:tr>
        <w:trPr>
          <w:trHeight w:val="23"/>
        </w:trPr>
        <w:tc>
          <w:tcPr>
            <w:tcW w:w="44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r>
      <w:tr>
        <w:trPr>
          <w:trHeight w:val="159"/>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Net Charge-offs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8,473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5,427</w:t>
            </w:r>
          </w:p>
        </w:tc>
      </w:tr>
      <w:tr>
        <w:trPr>
          <w:trHeight w:val="156"/>
        </w:trPr>
        <w:tc>
          <w:tcPr>
            <w:tcW w:w="4480" w:type="dxa"/>
            <w:vAlign w:val="bottom"/>
          </w:tcPr>
          <w:p>
            <w:pPr>
              <w:ind w:left="20"/>
              <w:spacing w:after="0"/>
              <w:rPr>
                <w:sz w:val="20"/>
                <w:szCs w:val="20"/>
                <w:color w:val="auto"/>
              </w:rPr>
            </w:pPr>
            <w:r>
              <w:rPr>
                <w:rFonts w:ascii="Arial" w:cs="Arial" w:eastAsia="Arial" w:hAnsi="Arial"/>
                <w:sz w:val="11"/>
                <w:szCs w:val="11"/>
                <w:color w:val="auto"/>
              </w:rPr>
              <w:t>Total Average Loans</w:t>
            </w:r>
          </w:p>
        </w:tc>
        <w:tc>
          <w:tcPr>
            <w:tcW w:w="10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Arial" w:cs="Arial" w:eastAsia="Arial" w:hAnsi="Arial"/>
                <w:sz w:val="11"/>
                <w:szCs w:val="11"/>
                <w:color w:val="auto"/>
              </w:rPr>
              <w:t>1,816,968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1,609,492</w:t>
            </w:r>
          </w:p>
        </w:tc>
      </w:tr>
      <w:tr>
        <w:trPr>
          <w:trHeight w:val="162"/>
        </w:trPr>
        <w:tc>
          <w:tcPr>
            <w:tcW w:w="4480" w:type="dxa"/>
            <w:vAlign w:val="bottom"/>
            <w:shd w:val="clear" w:color="auto" w:fill="CCEEFF"/>
          </w:tcPr>
          <w:p>
            <w:pPr>
              <w:ind w:left="80"/>
              <w:spacing w:after="0"/>
              <w:rPr>
                <w:sz w:val="20"/>
                <w:szCs w:val="20"/>
                <w:color w:val="auto"/>
              </w:rPr>
            </w:pPr>
            <w:r>
              <w:rPr>
                <w:rFonts w:ascii="Arial" w:cs="Arial" w:eastAsia="Arial" w:hAnsi="Arial"/>
                <w:sz w:val="11"/>
                <w:szCs w:val="11"/>
                <w:color w:val="auto"/>
              </w:rPr>
              <w:t>Less: Average SBA-PPP Loans, net of fees and costs</w:t>
            </w: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1"/>
                <w:szCs w:val="11"/>
                <w:color w:val="auto"/>
              </w:rPr>
              <w:t>1,373</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29,831</w:t>
            </w:r>
          </w:p>
        </w:tc>
      </w:tr>
      <w:tr>
        <w:trPr>
          <w:trHeight w:val="150"/>
        </w:trPr>
        <w:tc>
          <w:tcPr>
            <w:tcW w:w="4480" w:type="dxa"/>
            <w:vAlign w:val="bottom"/>
          </w:tcPr>
          <w:p>
            <w:pPr>
              <w:ind w:left="20"/>
              <w:spacing w:after="0"/>
              <w:rPr>
                <w:sz w:val="20"/>
                <w:szCs w:val="20"/>
                <w:color w:val="auto"/>
              </w:rPr>
            </w:pPr>
            <w:r>
              <w:rPr>
                <w:rFonts w:ascii="Arial" w:cs="Arial" w:eastAsia="Arial" w:hAnsi="Arial"/>
                <w:sz w:val="11"/>
                <w:szCs w:val="11"/>
                <w:b w:val="1"/>
                <w:bCs w:val="1"/>
                <w:color w:val="auto"/>
              </w:rPr>
              <w:t>Total Average Portfolio Loans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2"/>
              <w:spacing w:after="0"/>
              <w:rPr>
                <w:sz w:val="20"/>
                <w:szCs w:val="20"/>
                <w:color w:val="auto"/>
              </w:rPr>
            </w:pPr>
            <w:r>
              <w:rPr>
                <w:rFonts w:ascii="Arial" w:cs="Arial" w:eastAsia="Arial" w:hAnsi="Arial"/>
                <w:sz w:val="11"/>
                <w:szCs w:val="11"/>
                <w:color w:val="auto"/>
              </w:rPr>
              <w:t>1,815,595</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1,579,661</w:t>
            </w:r>
          </w:p>
        </w:tc>
      </w:tr>
      <w:tr>
        <w:trPr>
          <w:trHeight w:val="159"/>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Charge-offs to Average Portfolio Loans</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1"/>
                <w:szCs w:val="11"/>
                <w:color w:val="auto"/>
              </w:rPr>
              <w:t>0.47%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0.34%</w:t>
            </w:r>
          </w:p>
        </w:tc>
      </w:tr>
    </w:tbl>
    <w:p>
      <w:pPr>
        <w:spacing w:after="0" w:line="200" w:lineRule="exact"/>
        <w:rPr>
          <w:sz w:val="20"/>
          <w:szCs w:val="20"/>
          <w:color w:val="auto"/>
        </w:rPr>
      </w:pPr>
    </w:p>
    <w:p>
      <w:pPr>
        <w:spacing w:after="0" w:line="22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935"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0"/>
        </w:trPr>
        <w:tc>
          <w:tcPr>
            <w:tcW w:w="4400" w:type="dxa"/>
            <w:vAlign w:val="bottom"/>
          </w:tcPr>
          <w:p>
            <w:pPr>
              <w:ind w:left="20"/>
              <w:spacing w:after="0"/>
              <w:rPr>
                <w:sz w:val="20"/>
                <w:szCs w:val="20"/>
                <w:color w:val="auto"/>
              </w:rPr>
            </w:pPr>
            <w:r>
              <w:rPr>
                <w:rFonts w:ascii="Arial" w:cs="Arial" w:eastAsia="Arial" w:hAnsi="Arial"/>
                <w:sz w:val="13"/>
                <w:szCs w:val="13"/>
                <w:b w:val="1"/>
                <w:bCs w:val="1"/>
                <w:color w:val="auto"/>
              </w:rPr>
              <w:t>Tangible Book Value per Share</w:t>
            </w: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963"/>
              <w:spacing w:after="0"/>
              <w:rPr>
                <w:sz w:val="20"/>
                <w:szCs w:val="20"/>
                <w:color w:val="auto"/>
              </w:rPr>
            </w:pPr>
            <w:r>
              <w:rPr>
                <w:rFonts w:ascii="Arial" w:cs="Arial" w:eastAsia="Arial" w:hAnsi="Arial"/>
                <w:sz w:val="13"/>
                <w:szCs w:val="13"/>
                <w:b w:val="1"/>
                <w:bCs w:val="1"/>
                <w:color w:val="auto"/>
              </w:rPr>
              <w:t>Year Ended</w:t>
            </w:r>
          </w:p>
        </w:tc>
      </w:tr>
      <w:tr>
        <w:trPr>
          <w:trHeight w:val="150"/>
        </w:trPr>
        <w:tc>
          <w:tcPr>
            <w:tcW w:w="4400" w:type="dxa"/>
            <w:vAlign w:val="bottom"/>
          </w:tcPr>
          <w:p>
            <w:pPr>
              <w:ind w:left="20"/>
              <w:spacing w:after="0"/>
              <w:rPr>
                <w:sz w:val="20"/>
                <w:szCs w:val="20"/>
                <w:color w:val="auto"/>
              </w:rPr>
            </w:pPr>
            <w:r>
              <w:rPr>
                <w:rFonts w:ascii="Arial" w:cs="Arial" w:eastAsia="Arial" w:hAnsi="Arial"/>
                <w:sz w:val="8"/>
                <w:szCs w:val="8"/>
                <w:color w:val="auto"/>
              </w:rPr>
              <w:t>(in thousands, except per share amounts)</w:t>
            </w:r>
          </w:p>
        </w:tc>
        <w:tc>
          <w:tcPr>
            <w:tcW w:w="12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 2023</w:t>
            </w:r>
          </w:p>
        </w:tc>
        <w:tc>
          <w:tcPr>
            <w:tcW w:w="120" w:type="dxa"/>
            <w:vAlign w:val="bottom"/>
          </w:tcPr>
          <w:p>
            <w:pPr>
              <w:spacing w:after="0"/>
              <w:rPr>
                <w:sz w:val="13"/>
                <w:szCs w:val="13"/>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b w:val="1"/>
                <w:bCs w:val="1"/>
                <w:color w:val="auto"/>
              </w:rPr>
              <w:t>December 31, 2022</w:t>
            </w:r>
          </w:p>
        </w:tc>
      </w:tr>
      <w:tr>
        <w:trPr>
          <w:trHeight w:val="23"/>
        </w:trPr>
        <w:tc>
          <w:tcPr>
            <w:tcW w:w="44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r>
      <w:tr>
        <w:trPr>
          <w:trHeight w:val="159"/>
        </w:trPr>
        <w:tc>
          <w:tcPr>
            <w:tcW w:w="44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254,860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224,015</w:t>
            </w:r>
          </w:p>
        </w:tc>
      </w:tr>
      <w:tr>
        <w:trPr>
          <w:trHeight w:val="156"/>
        </w:trPr>
        <w:tc>
          <w:tcPr>
            <w:tcW w:w="4400" w:type="dxa"/>
            <w:vAlign w:val="bottom"/>
          </w:tcPr>
          <w:p>
            <w:pPr>
              <w:ind w:left="80"/>
              <w:spacing w:after="0"/>
              <w:rPr>
                <w:sz w:val="20"/>
                <w:szCs w:val="20"/>
                <w:color w:val="auto"/>
              </w:rPr>
            </w:pPr>
            <w:r>
              <w:rPr>
                <w:rFonts w:ascii="Arial" w:cs="Arial" w:eastAsia="Arial" w:hAnsi="Arial"/>
                <w:sz w:val="11"/>
                <w:szCs w:val="11"/>
                <w:color w:val="auto"/>
              </w:rPr>
              <w:t>Less: Preferred Equity</w:t>
            </w:r>
          </w:p>
        </w:tc>
        <w:tc>
          <w:tcPr>
            <w:tcW w:w="12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4400" w:type="dxa"/>
            <w:vAlign w:val="bottom"/>
            <w:shd w:val="clear" w:color="auto" w:fill="CCEEFF"/>
          </w:tcPr>
          <w:p>
            <w:pPr>
              <w:ind w:left="80"/>
              <w:spacing w:after="0"/>
              <w:rPr>
                <w:sz w:val="20"/>
                <w:szCs w:val="20"/>
                <w:color w:val="auto"/>
              </w:rPr>
            </w:pPr>
            <w:r>
              <w:rPr>
                <w:rFonts w:ascii="Arial" w:cs="Arial" w:eastAsia="Arial" w:hAnsi="Arial"/>
                <w:sz w:val="11"/>
                <w:szCs w:val="11"/>
                <w:color w:val="auto"/>
              </w:rPr>
              <w:t>Less: Intangible Assets</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0"/>
        </w:trPr>
        <w:tc>
          <w:tcPr>
            <w:tcW w:w="4400" w:type="dxa"/>
            <w:vAlign w:val="bottom"/>
          </w:tcPr>
          <w:p>
            <w:pPr>
              <w:ind w:left="20"/>
              <w:spacing w:after="0"/>
              <w:rPr>
                <w:sz w:val="20"/>
                <w:szCs w:val="20"/>
                <w:color w:val="auto"/>
              </w:rPr>
            </w:pPr>
            <w:r>
              <w:rPr>
                <w:rFonts w:ascii="Arial" w:cs="Arial" w:eastAsia="Arial" w:hAnsi="Arial"/>
                <w:sz w:val="11"/>
                <w:szCs w:val="11"/>
                <w:b w:val="1"/>
                <w:bCs w:val="1"/>
                <w:color w:val="auto"/>
              </w:rPr>
              <w:t>Tangible Common Equity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254,860</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224,015</w:t>
            </w:r>
          </w:p>
        </w:tc>
      </w:tr>
      <w:tr>
        <w:trPr>
          <w:trHeight w:val="159"/>
        </w:trPr>
        <w:tc>
          <w:tcPr>
            <w:tcW w:w="4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Period End Shares Outstanding</w:t>
            </w: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13,922,532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14,138,829</w:t>
            </w:r>
          </w:p>
        </w:tc>
      </w:tr>
      <w:tr>
        <w:trPr>
          <w:trHeight w:val="159"/>
        </w:trPr>
        <w:tc>
          <w:tcPr>
            <w:tcW w:w="4400" w:type="dxa"/>
            <w:vAlign w:val="bottom"/>
          </w:tcPr>
          <w:p>
            <w:pPr>
              <w:ind w:left="20"/>
              <w:spacing w:after="0"/>
              <w:rPr>
                <w:sz w:val="20"/>
                <w:szCs w:val="20"/>
                <w:color w:val="auto"/>
              </w:rPr>
            </w:pPr>
            <w:r>
              <w:rPr>
                <w:rFonts w:ascii="Arial" w:cs="Arial" w:eastAsia="Arial" w:hAnsi="Arial"/>
                <w:sz w:val="11"/>
                <w:szCs w:val="11"/>
                <w:b w:val="1"/>
                <w:bCs w:val="1"/>
                <w:color w:val="auto"/>
              </w:rPr>
              <w:t>Tangible Book Value per Share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18.31</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15.84</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935" w:right="1440"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auto"/>
        </w:rPr>
        <w:t>ITEM 7A. QUANTITATIVE AND QUALITATIVE DISCLOSURES ABOUT MARKET RISK</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earnings at risk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summarizes the results of our EAR analysis in simulating the change in net interest income and fair value of equity over a 12-month horizon as of December 31, 2023:</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ON NET INTEREST INCOME UNDER A STATIC BALANCE SHEET, PARALLEL INTEREST RATE SHOCK</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820" w:type="dxa"/>
            <w:vAlign w:val="bottom"/>
            <w:gridSpan w:val="2"/>
          </w:tcPr>
          <w:p>
            <w:pPr>
              <w:spacing w:after="0"/>
              <w:rPr>
                <w:sz w:val="20"/>
                <w:szCs w:val="20"/>
                <w:color w:val="auto"/>
              </w:rPr>
            </w:pPr>
            <w:r>
              <w:rPr>
                <w:rFonts w:ascii="Arial" w:cs="Arial" w:eastAsia="Arial" w:hAnsi="Arial"/>
                <w:sz w:val="11"/>
                <w:szCs w:val="11"/>
                <w:b w:val="1"/>
                <w:bCs w:val="1"/>
                <w:color w:val="auto"/>
              </w:rPr>
              <w:t>Earnings at Risk</w:t>
            </w:r>
          </w:p>
        </w:tc>
        <w:tc>
          <w:tcPr>
            <w:tcW w:w="1040" w:type="dxa"/>
            <w:vAlign w:val="bottom"/>
            <w:gridSpan w:val="2"/>
          </w:tcPr>
          <w:p>
            <w:pPr>
              <w:ind w:left="260"/>
              <w:spacing w:after="0"/>
              <w:rPr>
                <w:sz w:val="20"/>
                <w:szCs w:val="20"/>
                <w:color w:val="auto"/>
              </w:rPr>
            </w:pPr>
            <w:r>
              <w:rPr>
                <w:rFonts w:ascii="Arial" w:cs="Arial" w:eastAsia="Arial" w:hAnsi="Arial"/>
                <w:sz w:val="11"/>
                <w:szCs w:val="11"/>
                <w:b w:val="1"/>
                <w:bCs w:val="1"/>
                <w:color w:val="auto"/>
              </w:rPr>
              <w:t>-400 bps</w:t>
            </w:r>
          </w:p>
        </w:tc>
        <w:tc>
          <w:tcPr>
            <w:tcW w:w="1060" w:type="dxa"/>
            <w:vAlign w:val="bottom"/>
            <w:gridSpan w:val="2"/>
          </w:tcPr>
          <w:p>
            <w:pPr>
              <w:ind w:left="260"/>
              <w:spacing w:after="0"/>
              <w:rPr>
                <w:sz w:val="20"/>
                <w:szCs w:val="20"/>
                <w:color w:val="auto"/>
              </w:rPr>
            </w:pPr>
            <w:r>
              <w:rPr>
                <w:rFonts w:ascii="Arial" w:cs="Arial" w:eastAsia="Arial" w:hAnsi="Arial"/>
                <w:sz w:val="11"/>
                <w:szCs w:val="11"/>
                <w:b w:val="1"/>
                <w:bCs w:val="1"/>
                <w:color w:val="auto"/>
              </w:rPr>
              <w:t>-300 bps</w:t>
            </w:r>
          </w:p>
        </w:tc>
        <w:tc>
          <w:tcPr>
            <w:tcW w:w="1060" w:type="dxa"/>
            <w:vAlign w:val="bottom"/>
            <w:gridSpan w:val="2"/>
          </w:tcPr>
          <w:p>
            <w:pPr>
              <w:ind w:left="240"/>
              <w:spacing w:after="0"/>
              <w:rPr>
                <w:sz w:val="20"/>
                <w:szCs w:val="20"/>
                <w:color w:val="auto"/>
              </w:rPr>
            </w:pPr>
            <w:r>
              <w:rPr>
                <w:rFonts w:ascii="Arial" w:cs="Arial" w:eastAsia="Arial" w:hAnsi="Arial"/>
                <w:sz w:val="11"/>
                <w:szCs w:val="11"/>
                <w:b w:val="1"/>
                <w:bCs w:val="1"/>
                <w:color w:val="auto"/>
              </w:rPr>
              <w:t>-200 bps</w:t>
            </w:r>
          </w:p>
        </w:tc>
        <w:tc>
          <w:tcPr>
            <w:tcW w:w="1060" w:type="dxa"/>
            <w:vAlign w:val="bottom"/>
            <w:gridSpan w:val="2"/>
          </w:tcPr>
          <w:p>
            <w:pPr>
              <w:ind w:left="260"/>
              <w:spacing w:after="0"/>
              <w:rPr>
                <w:sz w:val="20"/>
                <w:szCs w:val="20"/>
                <w:color w:val="auto"/>
              </w:rPr>
            </w:pPr>
            <w:r>
              <w:rPr>
                <w:rFonts w:ascii="Arial" w:cs="Arial" w:eastAsia="Arial" w:hAnsi="Arial"/>
                <w:sz w:val="11"/>
                <w:szCs w:val="11"/>
                <w:b w:val="1"/>
                <w:bCs w:val="1"/>
                <w:color w:val="auto"/>
              </w:rPr>
              <w:t>-100 bps</w:t>
            </w:r>
          </w:p>
        </w:tc>
        <w:tc>
          <w:tcPr>
            <w:tcW w:w="1060" w:type="dxa"/>
            <w:vAlign w:val="bottom"/>
            <w:gridSpan w:val="2"/>
          </w:tcPr>
          <w:p>
            <w:pPr>
              <w:ind w:left="380"/>
              <w:spacing w:after="0"/>
              <w:rPr>
                <w:sz w:val="20"/>
                <w:szCs w:val="20"/>
                <w:color w:val="auto"/>
              </w:rPr>
            </w:pPr>
            <w:r>
              <w:rPr>
                <w:rFonts w:ascii="Arial" w:cs="Arial" w:eastAsia="Arial" w:hAnsi="Arial"/>
                <w:sz w:val="11"/>
                <w:szCs w:val="11"/>
                <w:b w:val="1"/>
                <w:bCs w:val="1"/>
                <w:color w:val="auto"/>
              </w:rPr>
              <w:t>Flat</w:t>
            </w:r>
          </w:p>
        </w:tc>
        <w:tc>
          <w:tcPr>
            <w:tcW w:w="1060" w:type="dxa"/>
            <w:vAlign w:val="bottom"/>
            <w:gridSpan w:val="2"/>
          </w:tcPr>
          <w:p>
            <w:pPr>
              <w:ind w:left="240"/>
              <w:spacing w:after="0"/>
              <w:rPr>
                <w:sz w:val="20"/>
                <w:szCs w:val="20"/>
                <w:color w:val="auto"/>
              </w:rPr>
            </w:pPr>
            <w:r>
              <w:rPr>
                <w:rFonts w:ascii="Arial" w:cs="Arial" w:eastAsia="Arial" w:hAnsi="Arial"/>
                <w:sz w:val="11"/>
                <w:szCs w:val="11"/>
                <w:b w:val="1"/>
                <w:bCs w:val="1"/>
                <w:color w:val="auto"/>
              </w:rPr>
              <w:t>+100 bps</w:t>
            </w:r>
          </w:p>
        </w:tc>
        <w:tc>
          <w:tcPr>
            <w:tcW w:w="1060" w:type="dxa"/>
            <w:vAlign w:val="bottom"/>
            <w:gridSpan w:val="2"/>
          </w:tcPr>
          <w:p>
            <w:pPr>
              <w:ind w:left="240"/>
              <w:spacing w:after="0"/>
              <w:rPr>
                <w:sz w:val="20"/>
                <w:szCs w:val="20"/>
                <w:color w:val="auto"/>
              </w:rPr>
            </w:pPr>
            <w:r>
              <w:rPr>
                <w:rFonts w:ascii="Arial" w:cs="Arial" w:eastAsia="Arial" w:hAnsi="Arial"/>
                <w:sz w:val="11"/>
                <w:szCs w:val="11"/>
                <w:b w:val="1"/>
                <w:bCs w:val="1"/>
                <w:color w:val="auto"/>
              </w:rPr>
              <w:t>+200 bps</w:t>
            </w:r>
          </w:p>
        </w:tc>
        <w:tc>
          <w:tcPr>
            <w:tcW w:w="1060" w:type="dxa"/>
            <w:vAlign w:val="bottom"/>
            <w:gridSpan w:val="2"/>
          </w:tcPr>
          <w:p>
            <w:pPr>
              <w:ind w:left="240"/>
              <w:spacing w:after="0"/>
              <w:rPr>
                <w:sz w:val="20"/>
                <w:szCs w:val="20"/>
                <w:color w:val="auto"/>
              </w:rPr>
            </w:pPr>
            <w:r>
              <w:rPr>
                <w:rFonts w:ascii="Arial" w:cs="Arial" w:eastAsia="Arial" w:hAnsi="Arial"/>
                <w:sz w:val="11"/>
                <w:szCs w:val="11"/>
                <w:b w:val="1"/>
                <w:bCs w:val="1"/>
                <w:color w:val="auto"/>
              </w:rPr>
              <w:t>+300 bps</w:t>
            </w:r>
          </w:p>
        </w:tc>
        <w:tc>
          <w:tcPr>
            <w:tcW w:w="980" w:type="dxa"/>
            <w:vAlign w:val="bottom"/>
          </w:tcPr>
          <w:p>
            <w:pPr>
              <w:jc w:val="right"/>
              <w:ind w:right="183"/>
              <w:spacing w:after="0"/>
              <w:rPr>
                <w:sz w:val="20"/>
                <w:szCs w:val="20"/>
                <w:color w:val="auto"/>
              </w:rPr>
            </w:pPr>
            <w:r>
              <w:rPr>
                <w:rFonts w:ascii="Arial" w:cs="Arial" w:eastAsia="Arial" w:hAnsi="Arial"/>
                <w:sz w:val="11"/>
                <w:szCs w:val="11"/>
                <w:b w:val="1"/>
                <w:bCs w:val="1"/>
                <w:color w:val="auto"/>
              </w:rPr>
              <w:t>+400 bps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December 31, 2023</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0.7 %</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0.0 %</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1.3 %</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2.5 %</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3.7 %</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4.9 %</w:t>
            </w: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illustrates the results of our EVE analysis as of December 31, 2023.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ECONOMIC VALUE OF EQUITY ANALYSIS UNDER A STATIC BALANCE SHEET, PARALLEL INTEREST RATE SHOCK</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Economic Value of Equity</w:t>
            </w:r>
          </w:p>
        </w:tc>
        <w:tc>
          <w:tcPr>
            <w:tcW w:w="1500" w:type="dxa"/>
            <w:vAlign w:val="bottom"/>
          </w:tcPr>
          <w:p>
            <w:pPr>
              <w:jc w:val="right"/>
              <w:ind w:right="263"/>
              <w:spacing w:after="0"/>
              <w:rPr>
                <w:sz w:val="20"/>
                <w:szCs w:val="20"/>
                <w:color w:val="auto"/>
              </w:rPr>
            </w:pPr>
            <w:r>
              <w:rPr>
                <w:rFonts w:ascii="Arial" w:cs="Arial" w:eastAsia="Arial" w:hAnsi="Arial"/>
                <w:sz w:val="11"/>
                <w:szCs w:val="11"/>
                <w:b w:val="1"/>
                <w:bCs w:val="1"/>
                <w:color w:val="auto"/>
              </w:rPr>
              <w:t>-400 bps</w:t>
            </w:r>
          </w:p>
        </w:tc>
        <w:tc>
          <w:tcPr>
            <w:tcW w:w="1040" w:type="dxa"/>
            <w:vAlign w:val="bottom"/>
            <w:gridSpan w:val="2"/>
          </w:tcPr>
          <w:p>
            <w:pPr>
              <w:ind w:left="240"/>
              <w:spacing w:after="0"/>
              <w:rPr>
                <w:sz w:val="20"/>
                <w:szCs w:val="20"/>
                <w:color w:val="auto"/>
              </w:rPr>
            </w:pPr>
            <w:r>
              <w:rPr>
                <w:rFonts w:ascii="Arial" w:cs="Arial" w:eastAsia="Arial" w:hAnsi="Arial"/>
                <w:sz w:val="11"/>
                <w:szCs w:val="11"/>
                <w:b w:val="1"/>
                <w:bCs w:val="1"/>
                <w:color w:val="auto"/>
              </w:rPr>
              <w:t>-300 bps</w:t>
            </w:r>
          </w:p>
        </w:tc>
        <w:tc>
          <w:tcPr>
            <w:tcW w:w="1060" w:type="dxa"/>
            <w:vAlign w:val="bottom"/>
            <w:gridSpan w:val="2"/>
          </w:tcPr>
          <w:p>
            <w:pPr>
              <w:ind w:left="260"/>
              <w:spacing w:after="0"/>
              <w:rPr>
                <w:sz w:val="20"/>
                <w:szCs w:val="20"/>
                <w:color w:val="auto"/>
              </w:rPr>
            </w:pPr>
            <w:r>
              <w:rPr>
                <w:rFonts w:ascii="Arial" w:cs="Arial" w:eastAsia="Arial" w:hAnsi="Arial"/>
                <w:sz w:val="11"/>
                <w:szCs w:val="11"/>
                <w:b w:val="1"/>
                <w:bCs w:val="1"/>
                <w:color w:val="auto"/>
              </w:rPr>
              <w:t>-200 bps</w:t>
            </w:r>
          </w:p>
        </w:tc>
        <w:tc>
          <w:tcPr>
            <w:tcW w:w="1060" w:type="dxa"/>
            <w:vAlign w:val="bottom"/>
            <w:gridSpan w:val="2"/>
          </w:tcPr>
          <w:p>
            <w:pPr>
              <w:ind w:left="260"/>
              <w:spacing w:after="0"/>
              <w:rPr>
                <w:sz w:val="20"/>
                <w:szCs w:val="20"/>
                <w:color w:val="auto"/>
              </w:rPr>
            </w:pPr>
            <w:r>
              <w:rPr>
                <w:rFonts w:ascii="Arial" w:cs="Arial" w:eastAsia="Arial" w:hAnsi="Arial"/>
                <w:sz w:val="11"/>
                <w:szCs w:val="11"/>
                <w:b w:val="1"/>
                <w:bCs w:val="1"/>
                <w:color w:val="auto"/>
              </w:rPr>
              <w:t>-100 bps</w:t>
            </w:r>
          </w:p>
        </w:tc>
        <w:tc>
          <w:tcPr>
            <w:tcW w:w="1060" w:type="dxa"/>
            <w:vAlign w:val="bottom"/>
            <w:gridSpan w:val="2"/>
          </w:tcPr>
          <w:p>
            <w:pPr>
              <w:ind w:left="380"/>
              <w:spacing w:after="0"/>
              <w:rPr>
                <w:sz w:val="20"/>
                <w:szCs w:val="20"/>
                <w:color w:val="auto"/>
              </w:rPr>
            </w:pPr>
            <w:r>
              <w:rPr>
                <w:rFonts w:ascii="Arial" w:cs="Arial" w:eastAsia="Arial" w:hAnsi="Arial"/>
                <w:sz w:val="11"/>
                <w:szCs w:val="11"/>
                <w:b w:val="1"/>
                <w:bCs w:val="1"/>
                <w:color w:val="auto"/>
              </w:rPr>
              <w:t>Flat</w:t>
            </w:r>
          </w:p>
        </w:tc>
        <w:tc>
          <w:tcPr>
            <w:tcW w:w="1060" w:type="dxa"/>
            <w:vAlign w:val="bottom"/>
            <w:gridSpan w:val="2"/>
          </w:tcPr>
          <w:p>
            <w:pPr>
              <w:ind w:left="240"/>
              <w:spacing w:after="0"/>
              <w:rPr>
                <w:sz w:val="20"/>
                <w:szCs w:val="20"/>
                <w:color w:val="auto"/>
              </w:rPr>
            </w:pPr>
            <w:r>
              <w:rPr>
                <w:rFonts w:ascii="Arial" w:cs="Arial" w:eastAsia="Arial" w:hAnsi="Arial"/>
                <w:sz w:val="11"/>
                <w:szCs w:val="11"/>
                <w:b w:val="1"/>
                <w:bCs w:val="1"/>
                <w:color w:val="auto"/>
              </w:rPr>
              <w:t>+100 bps</w:t>
            </w:r>
          </w:p>
        </w:tc>
        <w:tc>
          <w:tcPr>
            <w:tcW w:w="1060" w:type="dxa"/>
            <w:vAlign w:val="bottom"/>
            <w:gridSpan w:val="2"/>
          </w:tcPr>
          <w:p>
            <w:pPr>
              <w:ind w:left="240"/>
              <w:spacing w:after="0"/>
              <w:rPr>
                <w:sz w:val="20"/>
                <w:szCs w:val="20"/>
                <w:color w:val="auto"/>
              </w:rPr>
            </w:pPr>
            <w:r>
              <w:rPr>
                <w:rFonts w:ascii="Arial" w:cs="Arial" w:eastAsia="Arial" w:hAnsi="Arial"/>
                <w:sz w:val="11"/>
                <w:szCs w:val="11"/>
                <w:b w:val="1"/>
                <w:bCs w:val="1"/>
                <w:color w:val="auto"/>
              </w:rPr>
              <w:t>+200 bps</w:t>
            </w:r>
          </w:p>
        </w:tc>
        <w:tc>
          <w:tcPr>
            <w:tcW w:w="980" w:type="dxa"/>
            <w:vAlign w:val="bottom"/>
          </w:tcPr>
          <w:p>
            <w:pPr>
              <w:jc w:val="right"/>
              <w:ind w:right="183"/>
              <w:spacing w:after="0"/>
              <w:rPr>
                <w:sz w:val="20"/>
                <w:szCs w:val="20"/>
                <w:color w:val="auto"/>
              </w:rPr>
            </w:pPr>
            <w:r>
              <w:rPr>
                <w:rFonts w:ascii="Arial" w:cs="Arial" w:eastAsia="Arial" w:hAnsi="Arial"/>
                <w:sz w:val="11"/>
                <w:szCs w:val="11"/>
                <w:b w:val="1"/>
                <w:bCs w:val="1"/>
                <w:color w:val="auto"/>
              </w:rPr>
              <w:t>+300 bps</w:t>
            </w:r>
          </w:p>
        </w:tc>
        <w:tc>
          <w:tcPr>
            <w:tcW w:w="1060" w:type="dxa"/>
            <w:vAlign w:val="bottom"/>
          </w:tcPr>
          <w:p>
            <w:pPr>
              <w:jc w:val="right"/>
              <w:ind w:right="183"/>
              <w:spacing w:after="0"/>
              <w:rPr>
                <w:sz w:val="20"/>
                <w:szCs w:val="20"/>
                <w:color w:val="auto"/>
              </w:rPr>
            </w:pPr>
            <w:r>
              <w:rPr>
                <w:rFonts w:ascii="Arial" w:cs="Arial" w:eastAsia="Arial" w:hAnsi="Arial"/>
                <w:sz w:val="11"/>
                <w:szCs w:val="11"/>
                <w:b w:val="1"/>
                <w:bCs w:val="1"/>
                <w:color w:val="auto"/>
              </w:rPr>
              <w:t>+400 bps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1"/>
                <w:szCs w:val="11"/>
                <w:color w:val="auto"/>
              </w:rPr>
              <w:t>December 31, 2023</w:t>
            </w: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(9.8)%</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0.0 %</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color w:val="auto"/>
        </w:rPr>
        <w:t>Interest Rate Sensitivity and Market Risk</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w:t>
      </w:r>
      <w:r>
        <w:rPr>
          <w:rFonts w:ascii="Arial" w:cs="Arial" w:eastAsia="Arial" w:hAnsi="Arial"/>
          <w:sz w:val="14"/>
          <w:szCs w:val="14"/>
          <w:b w:val="1"/>
          <w:bCs w:val="1"/>
          <w:color w:val="auto"/>
        </w:rPr>
        <w:t>.</w:t>
      </w:r>
      <w:r>
        <w:rPr>
          <w:rFonts w:ascii="Arial" w:cs="Arial" w:eastAsia="Arial" w:hAnsi="Arial"/>
          <w:sz w:val="14"/>
          <w:szCs w:val="14"/>
          <w:color w:val="auto"/>
        </w:rPr>
        <w:t xml:space="preserve"> We endeavor to manage our sensitivity position within our established guidelines.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Fluctuations in interest rates will ultimately impact both the level of income and the market value of all interest 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We endeavor to hedge the interest rate risks of our available for sale mortgage pipeline by using MBS, and short positions. Based on the nature of our operations, we are not subject to foreign exchange or commodity price risk. We do not own any trading assets.</w:t>
      </w: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exposure to interest rate risk is managed by the Bank’s Asset/Liability Management Committee (“ALCO”) in accordance with policies approved by our board of directors. The ALCO formulates strategies based on perceived levels of interest rate risk. In determining the appropriate level of interest rate risk, the committee considers the impact on earnings and capital of the current outlook for interest rates, potential changes in interest rates, regional economies, liquidity, business strategies and other factors. The ALCO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ALCO reviews liquidity, capital planning, cash flow flexibility, maturities of deposits and consumer and commercial deposit activity. Management employs methodologies to manage interest rate risk, which include an analysis of relationships between interest earning assets and interest-bearing liabilities and an interest rate shock simulation model.</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67" w:name="page68"/>
    <w:bookmarkEnd w:id="67"/>
    <w:p>
      <w:pPr>
        <w:jc w:val="center"/>
        <w:spacing w:after="0"/>
        <w:rPr>
          <w:sz w:val="20"/>
          <w:szCs w:val="20"/>
          <w:color w:val="auto"/>
        </w:rPr>
      </w:pPr>
      <w:r>
        <w:rPr>
          <w:rFonts w:ascii="Arial" w:cs="Arial" w:eastAsia="Arial" w:hAnsi="Arial"/>
          <w:sz w:val="14"/>
          <w:szCs w:val="14"/>
          <w:b w:val="1"/>
          <w:bCs w:val="1"/>
          <w:color w:val="auto"/>
        </w:rPr>
        <w:t>INTEREST SENSITIVITY GAP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December 31, 2023</w:t>
            </w:r>
          </w:p>
        </w:tc>
        <w:tc>
          <w:tcPr>
            <w:tcW w:w="120" w:type="dxa"/>
            <w:vAlign w:val="bottom"/>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Within One Month</w:t>
            </w:r>
          </w:p>
        </w:tc>
        <w:tc>
          <w:tcPr>
            <w:tcW w:w="140" w:type="dxa"/>
            <w:vAlign w:val="bottom"/>
          </w:tcPr>
          <w:p>
            <w:pPr>
              <w:spacing w:after="0"/>
              <w:rPr>
                <w:sz w:val="10"/>
                <w:szCs w:val="1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9"/>
              </w:rPr>
              <w:t>After One Month</w:t>
            </w:r>
          </w:p>
        </w:tc>
        <w:tc>
          <w:tcPr>
            <w:tcW w:w="100" w:type="dxa"/>
            <w:vAlign w:val="bottom"/>
          </w:tcPr>
          <w:p>
            <w:pPr>
              <w:spacing w:after="0"/>
              <w:rPr>
                <w:sz w:val="10"/>
                <w:szCs w:val="1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9"/>
              </w:rPr>
              <w:t>After Three Through</w:t>
            </w:r>
          </w:p>
        </w:tc>
        <w:tc>
          <w:tcPr>
            <w:tcW w:w="160" w:type="dxa"/>
            <w:vAlign w:val="bottom"/>
          </w:tcPr>
          <w:p>
            <w:pPr>
              <w:spacing w:after="0"/>
              <w:rPr>
                <w:sz w:val="10"/>
                <w:szCs w:val="10"/>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Within One Year</w:t>
            </w:r>
          </w:p>
        </w:tc>
        <w:tc>
          <w:tcPr>
            <w:tcW w:w="80" w:type="dxa"/>
            <w:vAlign w:val="bottom"/>
          </w:tcPr>
          <w:p>
            <w:pPr>
              <w:spacing w:after="0"/>
              <w:rPr>
                <w:sz w:val="10"/>
                <w:szCs w:val="1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Greater Than One Year</w:t>
            </w:r>
          </w:p>
        </w:tc>
        <w:tc>
          <w:tcPr>
            <w:tcW w:w="260" w:type="dxa"/>
            <w:vAlign w:val="bottom"/>
          </w:tcPr>
          <w:p>
            <w:pPr>
              <w:spacing w:after="0"/>
              <w:rPr>
                <w:sz w:val="10"/>
                <w:szCs w:val="10"/>
                <w:color w:val="auto"/>
              </w:rPr>
            </w:pPr>
          </w:p>
        </w:tc>
        <w:tc>
          <w:tcPr>
            <w:tcW w:w="860" w:type="dxa"/>
            <w:vAlign w:val="bottom"/>
            <w:vMerge w:val="restart"/>
          </w:tcPr>
          <w:p>
            <w:pPr>
              <w:jc w:val="right"/>
              <w:ind w:right="39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2"/>
        </w:trPr>
        <w:tc>
          <w:tcPr>
            <w:tcW w:w="3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9"/>
              </w:rPr>
              <w:t>Through Three Months</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Twelve Months</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or Non-Sensitive</w:t>
            </w: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346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1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3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Assets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460" w:type="dxa"/>
            <w:vAlign w:val="bottom"/>
          </w:tcPr>
          <w:p>
            <w:pPr>
              <w:ind w:left="20"/>
              <w:spacing w:after="0"/>
              <w:rPr>
                <w:sz w:val="20"/>
                <w:szCs w:val="20"/>
                <w:color w:val="auto"/>
              </w:rPr>
            </w:pPr>
            <w:r>
              <w:rPr>
                <w:rFonts w:ascii="Arial" w:cs="Arial" w:eastAsia="Arial" w:hAnsi="Arial"/>
                <w:sz w:val="10"/>
                <w:szCs w:val="10"/>
                <w:color w:val="auto"/>
              </w:rPr>
              <w:t>Interest earning assets</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 xml:space="preserve">Loans </w:t>
            </w:r>
            <w:r>
              <w:rPr>
                <w:rFonts w:ascii="Arial" w:cs="Arial" w:eastAsia="Arial" w:hAnsi="Arial"/>
                <w:sz w:val="12"/>
                <w:szCs w:val="12"/>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351,769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471,678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319,530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1,142,977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767,792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1,910,769</w:t>
            </w:r>
          </w:p>
        </w:tc>
        <w:tc>
          <w:tcPr>
            <w:tcW w:w="0" w:type="dxa"/>
            <w:vAlign w:val="bottom"/>
          </w:tcPr>
          <w:p>
            <w:pPr>
              <w:spacing w:after="0"/>
              <w:rPr>
                <w:sz w:val="1"/>
                <w:szCs w:val="1"/>
                <w:color w:val="auto"/>
              </w:rPr>
            </w:pPr>
          </w:p>
        </w:tc>
      </w:tr>
      <w:tr>
        <w:trPr>
          <w:trHeight w:val="134"/>
        </w:trPr>
        <w:tc>
          <w:tcPr>
            <w:tcW w:w="3460" w:type="dxa"/>
            <w:vAlign w:val="bottom"/>
          </w:tcPr>
          <w:p>
            <w:pPr>
              <w:ind w:left="120"/>
              <w:spacing w:after="0"/>
              <w:rPr>
                <w:sz w:val="20"/>
                <w:szCs w:val="20"/>
                <w:color w:val="auto"/>
              </w:rPr>
            </w:pPr>
            <w:r>
              <w:rPr>
                <w:rFonts w:ascii="Arial" w:cs="Arial" w:eastAsia="Arial" w:hAnsi="Arial"/>
                <w:sz w:val="10"/>
                <w:szCs w:val="10"/>
                <w:color w:val="auto"/>
              </w:rPr>
              <w:t>Securities</w:t>
            </w:r>
          </w:p>
        </w:tc>
        <w:tc>
          <w:tcPr>
            <w:tcW w:w="120" w:type="dxa"/>
            <w:vAlign w:val="bottom"/>
          </w:tcPr>
          <w:p>
            <w:pPr>
              <w:spacing w:after="0"/>
              <w:rPr>
                <w:sz w:val="11"/>
                <w:szCs w:val="11"/>
                <w:color w:val="auto"/>
              </w:rPr>
            </w:pPr>
          </w:p>
        </w:tc>
        <w:tc>
          <w:tcPr>
            <w:tcW w:w="1100" w:type="dxa"/>
            <w:vAlign w:val="bottom"/>
          </w:tcPr>
          <w:p>
            <w:pPr>
              <w:jc w:val="right"/>
              <w:ind w:right="91"/>
              <w:spacing w:after="0"/>
              <w:rPr>
                <w:sz w:val="20"/>
                <w:szCs w:val="20"/>
                <w:color w:val="auto"/>
              </w:rPr>
            </w:pPr>
            <w:r>
              <w:rPr>
                <w:rFonts w:ascii="Arial" w:cs="Arial" w:eastAsia="Arial" w:hAnsi="Arial"/>
                <w:sz w:val="10"/>
                <w:szCs w:val="10"/>
                <w:color w:val="auto"/>
              </w:rPr>
              <w:t>3,756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71"/>
              <w:spacing w:after="0"/>
              <w:rPr>
                <w:sz w:val="20"/>
                <w:szCs w:val="20"/>
                <w:color w:val="auto"/>
              </w:rPr>
            </w:pPr>
            <w:r>
              <w:rPr>
                <w:rFonts w:ascii="Arial" w:cs="Arial" w:eastAsia="Arial" w:hAnsi="Arial"/>
                <w:sz w:val="10"/>
                <w:szCs w:val="10"/>
                <w:color w:val="auto"/>
              </w:rPr>
              <w:t>21,571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ind w:right="91"/>
              <w:spacing w:after="0"/>
              <w:rPr>
                <w:sz w:val="20"/>
                <w:szCs w:val="20"/>
                <w:color w:val="auto"/>
              </w:rPr>
            </w:pPr>
            <w:r>
              <w:rPr>
                <w:rFonts w:ascii="Arial" w:cs="Arial" w:eastAsia="Arial" w:hAnsi="Arial"/>
                <w:sz w:val="10"/>
                <w:szCs w:val="10"/>
                <w:color w:val="auto"/>
              </w:rPr>
              <w:t>28,444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53,771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ind w:right="71"/>
              <w:spacing w:after="0"/>
              <w:rPr>
                <w:sz w:val="20"/>
                <w:szCs w:val="20"/>
                <w:color w:val="auto"/>
              </w:rPr>
            </w:pPr>
            <w:r>
              <w:rPr>
                <w:rFonts w:ascii="Arial" w:cs="Arial" w:eastAsia="Arial" w:hAnsi="Arial"/>
                <w:sz w:val="10"/>
                <w:szCs w:val="10"/>
                <w:color w:val="auto"/>
              </w:rPr>
              <w:t>158,911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212,682</w:t>
            </w:r>
          </w:p>
        </w:tc>
        <w:tc>
          <w:tcPr>
            <w:tcW w:w="0" w:type="dxa"/>
            <w:vAlign w:val="bottom"/>
          </w:tcPr>
          <w:p>
            <w:pPr>
              <w:spacing w:after="0"/>
              <w:rPr>
                <w:sz w:val="1"/>
                <w:szCs w:val="1"/>
                <w:color w:val="auto"/>
              </w:rPr>
            </w:pPr>
          </w:p>
        </w:tc>
      </w:tr>
      <w:tr>
        <w:trPr>
          <w:trHeight w:val="142"/>
        </w:trPr>
        <w:tc>
          <w:tcPr>
            <w:tcW w:w="34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Interest-bearing deposits at other financial institutions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39,044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39,044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39,044</w:t>
            </w:r>
          </w:p>
        </w:tc>
        <w:tc>
          <w:tcPr>
            <w:tcW w:w="0" w:type="dxa"/>
            <w:vAlign w:val="bottom"/>
          </w:tcPr>
          <w:p>
            <w:pPr>
              <w:spacing w:after="0"/>
              <w:rPr>
                <w:sz w:val="1"/>
                <w:szCs w:val="1"/>
                <w:color w:val="auto"/>
              </w:rPr>
            </w:pPr>
          </w:p>
        </w:tc>
      </w:tr>
      <w:tr>
        <w:trPr>
          <w:trHeight w:val="134"/>
        </w:trPr>
        <w:tc>
          <w:tcPr>
            <w:tcW w:w="3460" w:type="dxa"/>
            <w:vAlign w:val="bottom"/>
          </w:tcPr>
          <w:p>
            <w:pPr>
              <w:ind w:left="120"/>
              <w:spacing w:after="0"/>
              <w:rPr>
                <w:sz w:val="20"/>
                <w:szCs w:val="20"/>
                <w:color w:val="auto"/>
              </w:rPr>
            </w:pPr>
            <w:r>
              <w:rPr>
                <w:rFonts w:ascii="Arial" w:cs="Arial" w:eastAsia="Arial" w:hAnsi="Arial"/>
                <w:sz w:val="10"/>
                <w:szCs w:val="10"/>
                <w:color w:val="auto"/>
              </w:rPr>
              <w:t>Federal funds sold</w:t>
            </w:r>
          </w:p>
        </w:tc>
        <w:tc>
          <w:tcPr>
            <w:tcW w:w="120" w:type="dxa"/>
            <w:vAlign w:val="bottom"/>
          </w:tcPr>
          <w:p>
            <w:pPr>
              <w:spacing w:after="0"/>
              <w:rPr>
                <w:sz w:val="11"/>
                <w:szCs w:val="11"/>
                <w:color w:val="auto"/>
              </w:rPr>
            </w:pPr>
          </w:p>
        </w:tc>
        <w:tc>
          <w:tcPr>
            <w:tcW w:w="1100" w:type="dxa"/>
            <w:vAlign w:val="bottom"/>
          </w:tcPr>
          <w:p>
            <w:pPr>
              <w:jc w:val="right"/>
              <w:ind w:right="91"/>
              <w:spacing w:after="0"/>
              <w:rPr>
                <w:sz w:val="20"/>
                <w:szCs w:val="20"/>
                <w:color w:val="auto"/>
              </w:rPr>
            </w:pPr>
            <w:r>
              <w:rPr>
                <w:rFonts w:ascii="Arial" w:cs="Arial" w:eastAsia="Arial" w:hAnsi="Arial"/>
                <w:sz w:val="10"/>
                <w:szCs w:val="10"/>
                <w:color w:val="auto"/>
              </w:rPr>
              <w:t>407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407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407</w:t>
            </w:r>
          </w:p>
        </w:tc>
        <w:tc>
          <w:tcPr>
            <w:tcW w:w="0" w:type="dxa"/>
            <w:vAlign w:val="bottom"/>
          </w:tcPr>
          <w:p>
            <w:pPr>
              <w:spacing w:after="0"/>
              <w:rPr>
                <w:sz w:val="1"/>
                <w:szCs w:val="1"/>
                <w:color w:val="auto"/>
              </w:rPr>
            </w:pPr>
          </w:p>
        </w:tc>
      </w:tr>
      <w:tr>
        <w:trPr>
          <w:trHeight w:val="158"/>
        </w:trPr>
        <w:tc>
          <w:tcPr>
            <w:tcW w:w="34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0"/>
                <w:szCs w:val="10"/>
                <w:color w:val="auto"/>
              </w:rPr>
              <w:t>Total earning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394,976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493,249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347,974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1,236,199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926,703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2,162,902</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Liabilities</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Pr>
          <w:p>
            <w:pPr>
              <w:ind w:left="20"/>
              <w:spacing w:after="0"/>
              <w:rPr>
                <w:sz w:val="20"/>
                <w:szCs w:val="20"/>
                <w:color w:val="auto"/>
              </w:rPr>
            </w:pPr>
            <w:r>
              <w:rPr>
                <w:rFonts w:ascii="Arial" w:cs="Arial" w:eastAsia="Arial" w:hAnsi="Arial"/>
                <w:sz w:val="10"/>
                <w:szCs w:val="10"/>
                <w:color w:val="auto"/>
              </w:rPr>
              <w:t>Interest-bearing liabilities</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Interest-bearing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13,138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26,277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116,536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155,951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711,697</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867,648</w:t>
            </w:r>
          </w:p>
        </w:tc>
        <w:tc>
          <w:tcPr>
            <w:tcW w:w="0" w:type="dxa"/>
            <w:vAlign w:val="bottom"/>
          </w:tcPr>
          <w:p>
            <w:pPr>
              <w:spacing w:after="0"/>
              <w:rPr>
                <w:sz w:val="1"/>
                <w:szCs w:val="1"/>
                <w:color w:val="auto"/>
              </w:rPr>
            </w:pPr>
          </w:p>
        </w:tc>
      </w:tr>
      <w:tr>
        <w:trPr>
          <w:trHeight w:val="134"/>
        </w:trPr>
        <w:tc>
          <w:tcPr>
            <w:tcW w:w="3460" w:type="dxa"/>
            <w:vAlign w:val="bottom"/>
            <w:tcBorders>
              <w:bottom w:val="single" w:sz="8" w:color="CCEEFF"/>
            </w:tcBorders>
          </w:tcPr>
          <w:p>
            <w:pPr>
              <w:ind w:left="180"/>
              <w:spacing w:after="0"/>
              <w:rPr>
                <w:sz w:val="20"/>
                <w:szCs w:val="20"/>
                <w:color w:val="auto"/>
              </w:rPr>
            </w:pPr>
            <w:r>
              <w:rPr>
                <w:rFonts w:ascii="Arial" w:cs="Arial" w:eastAsia="Arial" w:hAnsi="Arial"/>
                <w:sz w:val="10"/>
                <w:szCs w:val="10"/>
                <w:color w:val="auto"/>
              </w:rPr>
              <w:t>Time deposits</w:t>
            </w: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69,921</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50,844</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229,894</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350,659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60,316</w:t>
            </w: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410,975</w:t>
            </w:r>
          </w:p>
        </w:tc>
        <w:tc>
          <w:tcPr>
            <w:tcW w:w="0" w:type="dxa"/>
            <w:vAlign w:val="bottom"/>
          </w:tcPr>
          <w:p>
            <w:pPr>
              <w:spacing w:after="0"/>
              <w:rPr>
                <w:sz w:val="1"/>
                <w:szCs w:val="1"/>
                <w:color w:val="auto"/>
              </w:rPr>
            </w:pPr>
          </w:p>
        </w:tc>
      </w:tr>
      <w:tr>
        <w:trPr>
          <w:trHeight w:val="133"/>
        </w:trPr>
        <w:tc>
          <w:tcPr>
            <w:tcW w:w="3460" w:type="dxa"/>
            <w:vAlign w:val="bottom"/>
            <w:shd w:val="clear" w:color="auto" w:fill="CCEEFF"/>
          </w:tcPr>
          <w:p>
            <w:pPr>
              <w:ind w:left="360"/>
              <w:spacing w:after="0"/>
              <w:rPr>
                <w:sz w:val="20"/>
                <w:szCs w:val="20"/>
                <w:color w:val="auto"/>
              </w:rPr>
            </w:pPr>
            <w:r>
              <w:rPr>
                <w:rFonts w:ascii="Arial" w:cs="Arial" w:eastAsia="Arial" w:hAnsi="Arial"/>
                <w:sz w:val="10"/>
                <w:szCs w:val="10"/>
                <w:color w:val="auto"/>
              </w:rPr>
              <w:t>Total Interest-bearing deposits</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83,059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77,121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346,430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506,610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772,013</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1,278,623</w:t>
            </w:r>
          </w:p>
        </w:tc>
        <w:tc>
          <w:tcPr>
            <w:tcW w:w="0" w:type="dxa"/>
            <w:vAlign w:val="bottom"/>
          </w:tcPr>
          <w:p>
            <w:pPr>
              <w:spacing w:after="0"/>
              <w:rPr>
                <w:sz w:val="1"/>
                <w:szCs w:val="1"/>
                <w:color w:val="auto"/>
              </w:rPr>
            </w:pPr>
          </w:p>
        </w:tc>
      </w:tr>
      <w:tr>
        <w:trPr>
          <w:trHeight w:val="134"/>
        </w:trPr>
        <w:tc>
          <w:tcPr>
            <w:tcW w:w="3460" w:type="dxa"/>
            <w:vAlign w:val="bottom"/>
          </w:tcPr>
          <w:p>
            <w:pPr>
              <w:ind w:left="120"/>
              <w:spacing w:after="0"/>
              <w:rPr>
                <w:sz w:val="20"/>
                <w:szCs w:val="20"/>
                <w:color w:val="auto"/>
              </w:rPr>
            </w:pPr>
            <w:r>
              <w:rPr>
                <w:rFonts w:ascii="Arial" w:cs="Arial" w:eastAsia="Arial" w:hAnsi="Arial"/>
                <w:sz w:val="10"/>
                <w:szCs w:val="10"/>
                <w:color w:val="auto"/>
              </w:rPr>
              <w:t>FHLB Advances</w:t>
            </w:r>
          </w:p>
        </w:tc>
        <w:tc>
          <w:tcPr>
            <w:tcW w:w="120" w:type="dxa"/>
            <w:vAlign w:val="bottom"/>
          </w:tcPr>
          <w:p>
            <w:pPr>
              <w:spacing w:after="0"/>
              <w:rPr>
                <w:sz w:val="11"/>
                <w:szCs w:val="11"/>
                <w:color w:val="auto"/>
              </w:rPr>
            </w:pPr>
          </w:p>
        </w:tc>
        <w:tc>
          <w:tcPr>
            <w:tcW w:w="1100" w:type="dxa"/>
            <w:vAlign w:val="bottom"/>
          </w:tcPr>
          <w:p>
            <w:pPr>
              <w:jc w:val="right"/>
              <w:ind w:right="91"/>
              <w:spacing w:after="0"/>
              <w:rPr>
                <w:sz w:val="20"/>
                <w:szCs w:val="20"/>
                <w:color w:val="auto"/>
              </w:rPr>
            </w:pPr>
            <w:r>
              <w:rPr>
                <w:rFonts w:ascii="Arial" w:cs="Arial" w:eastAsia="Arial" w:hAnsi="Arial"/>
                <w:sz w:val="10"/>
                <w:szCs w:val="10"/>
                <w:color w:val="auto"/>
              </w:rPr>
              <w:t>15,000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15,000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ind w:right="71"/>
              <w:spacing w:after="0"/>
              <w:rPr>
                <w:sz w:val="20"/>
                <w:szCs w:val="20"/>
                <w:color w:val="auto"/>
              </w:rPr>
            </w:pPr>
            <w:r>
              <w:rPr>
                <w:rFonts w:ascii="Arial" w:cs="Arial" w:eastAsia="Arial" w:hAnsi="Arial"/>
                <w:sz w:val="10"/>
                <w:szCs w:val="10"/>
                <w:color w:val="auto"/>
              </w:rPr>
              <w:t>7,000</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22,000</w:t>
            </w:r>
          </w:p>
        </w:tc>
        <w:tc>
          <w:tcPr>
            <w:tcW w:w="0" w:type="dxa"/>
            <w:vAlign w:val="bottom"/>
          </w:tcPr>
          <w:p>
            <w:pPr>
              <w:spacing w:after="0"/>
              <w:rPr>
                <w:sz w:val="1"/>
                <w:szCs w:val="1"/>
                <w:color w:val="auto"/>
              </w:rPr>
            </w:pPr>
          </w:p>
        </w:tc>
      </w:tr>
      <w:tr>
        <w:trPr>
          <w:trHeight w:val="138"/>
        </w:trPr>
        <w:tc>
          <w:tcPr>
            <w:tcW w:w="34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borrowed funds</w:t>
            </w:r>
          </w:p>
        </w:tc>
        <w:tc>
          <w:tcPr>
            <w:tcW w:w="1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27,062</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27,062</w:t>
            </w:r>
          </w:p>
        </w:tc>
        <w:tc>
          <w:tcPr>
            <w:tcW w:w="0" w:type="dxa"/>
            <w:vAlign w:val="bottom"/>
          </w:tcPr>
          <w:p>
            <w:pPr>
              <w:spacing w:after="0"/>
              <w:rPr>
                <w:sz w:val="1"/>
                <w:szCs w:val="1"/>
                <w:color w:val="auto"/>
              </w:rPr>
            </w:pPr>
          </w:p>
        </w:tc>
      </w:tr>
      <w:tr>
        <w:trPr>
          <w:trHeight w:val="133"/>
        </w:trPr>
        <w:tc>
          <w:tcPr>
            <w:tcW w:w="3460" w:type="dxa"/>
            <w:vAlign w:val="bottom"/>
          </w:tcPr>
          <w:p>
            <w:pPr>
              <w:ind w:left="280"/>
              <w:spacing w:after="0"/>
              <w:rPr>
                <w:sz w:val="20"/>
                <w:szCs w:val="20"/>
                <w:color w:val="auto"/>
              </w:rPr>
            </w:pPr>
            <w:r>
              <w:rPr>
                <w:rFonts w:ascii="Arial" w:cs="Arial" w:eastAsia="Arial" w:hAnsi="Arial"/>
                <w:sz w:val="10"/>
                <w:szCs w:val="10"/>
                <w:color w:val="auto"/>
              </w:rPr>
              <w:t>Total Interest-bearing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98,059</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77,121</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346,430</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10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521,610</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806,075</w:t>
            </w:r>
          </w:p>
        </w:tc>
        <w:tc>
          <w:tcPr>
            <w:tcW w:w="12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1,327,685</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Pr>
          <w:p>
            <w:pPr>
              <w:ind w:left="20"/>
              <w:spacing w:after="0"/>
              <w:rPr>
                <w:sz w:val="20"/>
                <w:szCs w:val="20"/>
                <w:color w:val="auto"/>
              </w:rPr>
            </w:pPr>
            <w:r>
              <w:rPr>
                <w:rFonts w:ascii="Arial" w:cs="Arial" w:eastAsia="Arial" w:hAnsi="Arial"/>
                <w:sz w:val="10"/>
                <w:szCs w:val="10"/>
                <w:color w:val="auto"/>
              </w:rPr>
              <w:t>Period gap</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91"/>
              <w:spacing w:after="0"/>
              <w:rPr>
                <w:sz w:val="20"/>
                <w:szCs w:val="20"/>
                <w:color w:val="auto"/>
              </w:rPr>
            </w:pPr>
            <w:r>
              <w:rPr>
                <w:rFonts w:ascii="Arial" w:cs="Arial" w:eastAsia="Arial" w:hAnsi="Arial"/>
                <w:sz w:val="10"/>
                <w:szCs w:val="10"/>
                <w:color w:val="auto"/>
              </w:rPr>
              <w:t>296,917</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71"/>
              <w:spacing w:after="0"/>
              <w:rPr>
                <w:sz w:val="20"/>
                <w:szCs w:val="20"/>
                <w:color w:val="auto"/>
              </w:rPr>
            </w:pPr>
            <w:r>
              <w:rPr>
                <w:rFonts w:ascii="Arial" w:cs="Arial" w:eastAsia="Arial" w:hAnsi="Arial"/>
                <w:sz w:val="10"/>
                <w:szCs w:val="10"/>
                <w:color w:val="auto"/>
              </w:rPr>
              <w:t>416,128</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91"/>
              <w:spacing w:after="0"/>
              <w:rPr>
                <w:sz w:val="20"/>
                <w:szCs w:val="20"/>
                <w:color w:val="auto"/>
              </w:rPr>
            </w:pPr>
            <w:r>
              <w:rPr>
                <w:rFonts w:ascii="Arial" w:cs="Arial" w:eastAsia="Arial" w:hAnsi="Arial"/>
                <w:sz w:val="10"/>
                <w:szCs w:val="10"/>
                <w:color w:val="auto"/>
              </w:rPr>
              <w:t>1,544</w:t>
            </w:r>
          </w:p>
        </w:tc>
        <w:tc>
          <w:tcPr>
            <w:tcW w:w="100" w:type="dxa"/>
            <w:vAlign w:val="bottom"/>
          </w:tcPr>
          <w:p>
            <w:pPr>
              <w:spacing w:after="0"/>
              <w:rPr>
                <w:sz w:val="11"/>
                <w:szCs w:val="11"/>
                <w:color w:val="auto"/>
              </w:rPr>
            </w:pP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714,589</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71"/>
              <w:spacing w:after="0"/>
              <w:rPr>
                <w:sz w:val="20"/>
                <w:szCs w:val="20"/>
                <w:color w:val="auto"/>
              </w:rPr>
            </w:pPr>
            <w:r>
              <w:rPr>
                <w:rFonts w:ascii="Arial" w:cs="Arial" w:eastAsia="Arial" w:hAnsi="Arial"/>
                <w:sz w:val="10"/>
                <w:szCs w:val="10"/>
                <w:color w:val="auto"/>
              </w:rPr>
              <w:t>120,628</w:t>
            </w:r>
          </w:p>
        </w:tc>
        <w:tc>
          <w:tcPr>
            <w:tcW w:w="120" w:type="dxa"/>
            <w:vAlign w:val="bottom"/>
          </w:tcPr>
          <w:p>
            <w:pPr>
              <w:spacing w:after="0"/>
              <w:rPr>
                <w:sz w:val="11"/>
                <w:szCs w:val="11"/>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835,217</w:t>
            </w:r>
          </w:p>
        </w:tc>
        <w:tc>
          <w:tcPr>
            <w:tcW w:w="0" w:type="dxa"/>
            <w:vAlign w:val="bottom"/>
          </w:tcPr>
          <w:p>
            <w:pPr>
              <w:spacing w:after="0"/>
              <w:rPr>
                <w:sz w:val="1"/>
                <w:szCs w:val="1"/>
                <w:color w:val="auto"/>
              </w:rPr>
            </w:pPr>
          </w:p>
        </w:tc>
      </w:tr>
      <w:tr>
        <w:trPr>
          <w:trHeight w:val="142"/>
        </w:trPr>
        <w:tc>
          <w:tcPr>
            <w:tcW w:w="3460" w:type="dxa"/>
            <w:vAlign w:val="bottom"/>
            <w:shd w:val="clear" w:color="auto" w:fill="CCEEFF"/>
          </w:tcPr>
          <w:p>
            <w:pPr>
              <w:ind w:left="20"/>
              <w:spacing w:after="0"/>
              <w:rPr>
                <w:sz w:val="20"/>
                <w:szCs w:val="20"/>
                <w:color w:val="auto"/>
              </w:rPr>
            </w:pPr>
            <w:r>
              <w:rPr>
                <w:rFonts w:ascii="Arial" w:cs="Arial" w:eastAsia="Arial" w:hAnsi="Arial"/>
                <w:sz w:val="10"/>
                <w:szCs w:val="10"/>
                <w:color w:val="auto"/>
              </w:rPr>
              <w:t>Cumulative gap</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296,917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713,045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714,589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714,589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835,217</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60" w:type="dxa"/>
            <w:vAlign w:val="bottom"/>
          </w:tcPr>
          <w:p>
            <w:pPr>
              <w:ind w:left="20"/>
              <w:spacing w:after="0"/>
              <w:rPr>
                <w:sz w:val="20"/>
                <w:szCs w:val="20"/>
                <w:color w:val="auto"/>
              </w:rPr>
            </w:pPr>
            <w:r>
              <w:rPr>
                <w:rFonts w:ascii="Arial" w:cs="Arial" w:eastAsia="Arial" w:hAnsi="Arial"/>
                <w:sz w:val="10"/>
                <w:szCs w:val="10"/>
                <w:color w:val="auto"/>
              </w:rPr>
              <w:t>Ratio of cumulative gap to total earning assets</w:t>
            </w:r>
          </w:p>
        </w:tc>
        <w:tc>
          <w:tcPr>
            <w:tcW w:w="1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13.73 %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32.97 %</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33.04 %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33.04 %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38.62 %</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260" w:hanging="255"/>
        <w:spacing w:after="0" w:line="225" w:lineRule="auto"/>
        <w:tabs>
          <w:tab w:leader="none" w:pos="260" w:val="left"/>
        </w:tabs>
        <w:numPr>
          <w:ilvl w:val="0"/>
          <w:numId w:val="16"/>
        </w:numPr>
        <w:rPr>
          <w:rFonts w:ascii="Arial" w:cs="Arial" w:eastAsia="Arial" w:hAnsi="Arial"/>
          <w:sz w:val="13"/>
          <w:szCs w:val="13"/>
          <w:color w:val="auto"/>
          <w:vertAlign w:val="superscript"/>
        </w:rPr>
      </w:pPr>
      <w:r>
        <w:rPr>
          <w:rFonts w:ascii="Arial" w:cs="Arial" w:eastAsia="Arial" w:hAnsi="Arial"/>
          <w:sz w:val="10"/>
          <w:szCs w:val="10"/>
          <w:color w:val="auto"/>
        </w:rPr>
        <w:t>Includes loans held for sale and loans made under the SBA-PPP loan program.</w:t>
      </w:r>
    </w:p>
    <w:p>
      <w:pPr>
        <w:spacing w:after="0" w:line="34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use quarterly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assumptions regarding changes in existing lines of business, new business, and changes in management and client behavior.</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also use economic value-based methodologies to estimate the degree to which the economic values of the Bank’s positions change under different interest rate scenarios. The economic-value approach focuses on a longer-term time horizon and endeavors to capture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44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13" w:right="1440" w:bottom="1440" w:gutter="0" w:footer="0" w:header="0"/>
        </w:sectPr>
      </w:pPr>
    </w:p>
    <w:bookmarkStart w:id="69" w:name="page70"/>
    <w:bookmarkEnd w:id="69"/>
    <w:p>
      <w:pPr>
        <w:ind w:left="370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Capital Bancorp, Inc. and Subsidiaries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have audited the accompanying consolidated balance sheets of Capital Bancorp, Inc. and Subsidiaries (the “Company”) as of December 31, 2023 and 2022, the related consolidated statements of income, comprehensive income, stockholders' equity and cash flows for each of the two years in the period ended December 31, 2023, and the related notes to the consolidated financial statements (collectively,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Company's internal control over financial reporting as of December 31, 2023, based on criteria established in Internal Control — Integrated Framework issued by the Committee of Sponsoring Organizations of the Treadway Commission in 2013, and our report dated March 15, 2024, expressed an unqualified opinion on the effectiveness of the Company's internal control over financial reporting.</w:t>
      </w: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 in Accounting Principle</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discussed in Note 1 to the financial statements, the Company has changed its method of accounting for credit losses effective January 1, 2023 due to the adoption of Financial Accounting Standards Board Accounting Standards Codification No. 326, Financial Instruments – Credit Losses (“ASC 326”). The Company adopted the new credit loss standard using the modified retrospective method such that prior period amounts are not adjusted and continue to be reported in accordance with previously applicable generally accepted accounting principles. Our opinion is not modified with respect to this matter. The adoption of the new credit loss standard and its subsequent application is also communicated as a critical audit matter below.</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color w:val="auto"/>
        </w:rPr>
        <w:t>Critical Audit Matters</w:t>
      </w:r>
    </w:p>
    <w:p>
      <w:pPr>
        <w:spacing w:after="0" w:line="2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Allowance for Credit Losses</w:t>
      </w:r>
    </w:p>
    <w:p>
      <w:pPr>
        <w:spacing w:after="0" w:line="198" w:lineRule="exact"/>
        <w:rPr>
          <w:sz w:val="20"/>
          <w:szCs w:val="20"/>
          <w:color w:val="auto"/>
        </w:rPr>
      </w:pPr>
    </w:p>
    <w:p>
      <w:pPr>
        <w:jc w:val="both"/>
        <w:spacing w:after="0" w:line="179" w:lineRule="exact"/>
        <w:rPr>
          <w:sz w:val="20"/>
          <w:szCs w:val="20"/>
          <w:color w:val="auto"/>
        </w:rPr>
      </w:pPr>
      <w:r>
        <w:rPr>
          <w:rFonts w:ascii="Arial" w:cs="Arial" w:eastAsia="Arial" w:hAnsi="Arial"/>
          <w:sz w:val="14"/>
          <w:szCs w:val="14"/>
          <w:color w:val="auto"/>
        </w:rPr>
        <w:t>As described in Note 5 to the Company’s financial statements, the Company has a gross loan portfolio of $1.9 billion and related allowance for credit losses (“ACL”) of $ 28.6 million as of December 31, 2023. As described by the Company in Note 1, the Company adopted ASC 326 on January 1, 2023. In order to measure expected credit losses on a collective basis, the Company has elected to utilize a discounted cash flow methodology for all segments, except for the credit card and other consumer portfolio segments, which apply a simplified, non</w:t>
      </w:r>
      <w:r>
        <w:rPr>
          <w:rFonts w:ascii="MS PGothic" w:cs="MS PGothic" w:eastAsia="MS PGothic" w:hAnsi="MS PGothic"/>
          <w:sz w:val="14"/>
          <w:szCs w:val="14"/>
          <w:color w:val="auto"/>
        </w:rPr>
        <w:t>‐</w:t>
      </w:r>
      <w:r>
        <w:rPr>
          <w:rFonts w:ascii="Arial" w:cs="Arial" w:eastAsia="Arial" w:hAnsi="Arial"/>
          <w:sz w:val="14"/>
          <w:szCs w:val="14"/>
          <w:color w:val="auto"/>
        </w:rPr>
        <w:t>discounted cash flow calculation. Loans not sharing similar risk characteristics are evaluated on an individual basis.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Within the collectively evaluated component, the Company uses regression analysis of historical internal and peer data to determine suitable loss drivers for modeling lifetime probability of default, loss given default, and lifetime loss rates. For the credit card portfolio, the Company calculates the credit card ACL collectively, applying segmentation based on collateral positions: secured, partially secured, and unsecured.</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Additionally, a qualitative scorecard is used by management to assess the need for adjustments to expected credit loss estimates for information not already captured in the quantitative loss estimation process. The qualitative scorecard evaluates certain risks such as lending policies and procedures, economic conditions, changes in the nature and volume of portfolios, changes in experience, depth, and ability of lending management, changes in volume and severity of past due loans, quality of loan review system, changes in the value of underlying collateral, concentrations of credit, and other external factors.</w:t>
      </w:r>
    </w:p>
    <w:p>
      <w:pPr>
        <w:spacing w:after="0" w:line="13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identified the Company’s estimate of the allowance for credit losses as a critical audit matter. The principal considerations for our determination of the ACL as a critical audit matter related to the high degree of complexity and judgment in the determination of significant model assumptions, specifically, the qualitative factor adjustments to quantitative loss rates. Auditing these complex judgments and assumptions made by the Company involves challenging auditor judgment due to the nature and extent of audit evidence and effort required to address these matters, including the extent of specialized skill or knowledge needed.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color w:val="auto"/>
        </w:rPr>
        <w:t>The primary procedures we performed to address the critical audit matter include the following:</w:t>
      </w:r>
    </w:p>
    <w:p>
      <w:pPr>
        <w:spacing w:after="0" w:line="23" w:lineRule="exact"/>
        <w:rPr>
          <w:sz w:val="20"/>
          <w:szCs w:val="20"/>
          <w:color w:val="auto"/>
        </w:rPr>
      </w:pPr>
    </w:p>
    <w:p>
      <w:pPr>
        <w:ind w:left="240" w:hanging="235"/>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evaluated the appropriateness of the methodology applied in the adoption of ASC 326.</w:t>
      </w:r>
    </w:p>
    <w:p>
      <w:pPr>
        <w:spacing w:after="0" w:line="8" w:lineRule="exact"/>
        <w:rPr>
          <w:rFonts w:ascii="Arial" w:cs="Arial" w:eastAsia="Arial" w:hAnsi="Arial"/>
          <w:sz w:val="14"/>
          <w:szCs w:val="14"/>
          <w:color w:val="auto"/>
        </w:rPr>
      </w:pPr>
    </w:p>
    <w:p>
      <w:pPr>
        <w:ind w:left="260" w:hanging="255"/>
        <w:spacing w:after="0" w:line="253" w:lineRule="auto"/>
        <w:tabs>
          <w:tab w:leader="none" w:pos="282"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tested the design and operating effectiveness of controls relating to the Company’s determination of the allowance for credit losses, including controls over the establishment of qualitative factors.</w:t>
      </w:r>
    </w:p>
    <w:p>
      <w:pPr>
        <w:ind w:left="260" w:hanging="255"/>
        <w:spacing w:after="0" w:line="253" w:lineRule="auto"/>
        <w:tabs>
          <w:tab w:leader="none" w:pos="25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evaluated the relevance and the reasonableness of assumptions related to the evaluation of the loan portfolio, current and forecasted economic conditions, and other risk factors used in the development of the qualitative factors.</w:t>
      </w:r>
    </w:p>
    <w:p>
      <w:pPr>
        <w:ind w:left="240" w:hanging="235"/>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tested the completeness and accuracy of significant inputs to the model including the underlying data used to develop the qualitative factors.</w:t>
      </w:r>
    </w:p>
    <w:p>
      <w:pPr>
        <w:spacing w:after="0" w:line="8" w:lineRule="exact"/>
        <w:rPr>
          <w:rFonts w:ascii="Arial" w:cs="Arial" w:eastAsia="Arial" w:hAnsi="Arial"/>
          <w:sz w:val="14"/>
          <w:szCs w:val="14"/>
          <w:color w:val="auto"/>
        </w:rPr>
      </w:pPr>
    </w:p>
    <w:p>
      <w:pPr>
        <w:ind w:left="240" w:hanging="235"/>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validated the mathematical accuracy of the calculation.</w:t>
      </w:r>
    </w:p>
    <w:p>
      <w:pPr>
        <w:spacing w:after="0" w:line="8" w:lineRule="exact"/>
        <w:rPr>
          <w:rFonts w:ascii="Arial" w:cs="Arial" w:eastAsia="Arial" w:hAnsi="Arial"/>
          <w:sz w:val="14"/>
          <w:szCs w:val="14"/>
          <w:color w:val="auto"/>
        </w:rPr>
      </w:pPr>
    </w:p>
    <w:p>
      <w:pPr>
        <w:ind w:left="260" w:hanging="255"/>
        <w:spacing w:after="0" w:line="170" w:lineRule="exact"/>
        <w:tabs>
          <w:tab w:leader="none" w:pos="25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evaluated the reasonableness of assumptions and data used by the Company in developing the qualitative factors by comparing these data points to internally developed and third</w:t>
      </w:r>
      <w:r>
        <w:rPr>
          <w:rFonts w:ascii="MS PGothic" w:cs="MS PGothic" w:eastAsia="MS PGothic" w:hAnsi="MS PGothic"/>
          <w:sz w:val="14"/>
          <w:szCs w:val="14"/>
          <w:color w:val="auto"/>
        </w:rPr>
        <w:t>‐</w:t>
      </w:r>
      <w:r>
        <w:rPr>
          <w:rFonts w:ascii="Arial" w:cs="Arial" w:eastAsia="Arial" w:hAnsi="Arial"/>
          <w:sz w:val="14"/>
          <w:szCs w:val="14"/>
          <w:color w:val="auto"/>
        </w:rPr>
        <w:t>party sources, and other audit evidence gathered.</w:t>
      </w:r>
    </w:p>
    <w:p>
      <w:pPr>
        <w:ind w:left="240" w:hanging="235"/>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performed analytical procedures to evaluate the directional consistency of changes that occurred in the allowance for credit losses for loans.</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Elliott Davis, PLLC</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2017.</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March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72" w:name="page73"/>
    <w:bookmarkEnd w:id="72"/>
    <w:p>
      <w:pPr>
        <w:ind w:left="370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Capital Bancorp, Inc. and Subsidiaries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Internal Control Over Financial Reporting</w:t>
      </w:r>
    </w:p>
    <w:p>
      <w:pPr>
        <w:spacing w:after="0" w:line="2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have audited Capital Bancorp, Inc. and its subsidiaries’ (the “Company”) internal control over financial reporting as of December 31, 2023, based on criteria established in Internal Control — Integrated Framework issued by the Committee of Sponsoring Organizations of the Treadway Commission in 2013. In our opinion, the Company maintained, in all material respects, effective internal control over financial reporting as of December 31, 2023, based on criteria established in Internal Control — Integrated Framework issued by the Committee of Sponsoring Organizations of the Treadway Commission in 2013.</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balance sheets of the Company as of December 31, 2023 and 2022 and the related consolidated statements of income, comprehensive income, stockholders’ equity and cash flows for each of the two years in the period ending December 31, 2023 of the Company and our report dated March 15, 2024 expressed an unqualified opinion.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2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4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jc w:val="both"/>
        <w:ind w:firstLine="5"/>
        <w:spacing w:after="0" w:line="258" w:lineRule="auto"/>
        <w:tabs>
          <w:tab w:leader="none" w:pos="2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73" w:name="page74"/>
    <w:bookmarkEnd w:id="73"/>
    <w:p>
      <w:pPr>
        <w:jc w:val="both"/>
        <w:spacing w:after="0" w:line="271"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/s/ Elliott Davis, PLLC</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Raleigh, North Carolina</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March 15,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74" w:name="page75"/>
    <w:bookmarkEnd w:id="74"/>
    <w:p>
      <w:pPr>
        <w:ind w:lef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102235</wp:posOffset>
            </wp:positionV>
            <wp:extent cx="7161530"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ind w:left="20"/>
        <w:spacing w:after="0" w:line="212" w:lineRule="auto"/>
        <w:rPr>
          <w:sz w:val="20"/>
          <w:szCs w:val="20"/>
          <w:color w:val="auto"/>
        </w:rPr>
      </w:pPr>
      <w:r>
        <w:rPr>
          <w:rFonts w:ascii="Arial" w:cs="Arial" w:eastAsia="Arial" w:hAnsi="Arial"/>
          <w:sz w:val="14"/>
          <w:szCs w:val="14"/>
          <w:b w:val="1"/>
          <w:bCs w:val="1"/>
          <w:i w:val="1"/>
          <w:iCs w:val="1"/>
          <w:color w:val="auto"/>
        </w:rPr>
        <w:t>Consolidated Balance Sheets</w:t>
      </w:r>
    </w:p>
    <w:p>
      <w:pPr>
        <w:ind w:left="20"/>
        <w:spacing w:after="0"/>
        <w:rPr>
          <w:sz w:val="20"/>
          <w:szCs w:val="20"/>
          <w:color w:val="auto"/>
        </w:rPr>
      </w:pPr>
      <w:r>
        <w:rPr>
          <w:rFonts w:ascii="Arial" w:cs="Arial" w:eastAsia="Arial" w:hAnsi="Arial"/>
          <w:sz w:val="11"/>
          <w:szCs w:val="11"/>
          <w:b w:val="1"/>
          <w:bCs w:val="1"/>
          <w:i w:val="1"/>
          <w:iCs w:val="1"/>
          <w:color w:val="auto"/>
        </w:rPr>
        <w:t>As of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(dollars in thousands)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2022</w:t>
            </w:r>
          </w:p>
        </w:tc>
      </w:tr>
      <w:tr>
        <w:trPr>
          <w:trHeight w:val="139"/>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59"/>
        </w:trPr>
        <w:tc>
          <w:tcPr>
            <w:tcW w:w="8040" w:type="dxa"/>
            <w:vAlign w:val="bottom"/>
          </w:tcPr>
          <w:p>
            <w:pPr>
              <w:ind w:left="20"/>
              <w:spacing w:after="0"/>
              <w:rPr>
                <w:sz w:val="20"/>
                <w:szCs w:val="20"/>
                <w:color w:val="auto"/>
              </w:rPr>
            </w:pPr>
            <w:r>
              <w:rPr>
                <w:rFonts w:ascii="Arial" w:cs="Arial" w:eastAsia="Arial" w:hAnsi="Arial"/>
                <w:sz w:val="11"/>
                <w:szCs w:val="11"/>
                <w:color w:val="auto"/>
              </w:rPr>
              <w:t>Cash and due from banks</w:t>
            </w:r>
          </w:p>
        </w:tc>
        <w:tc>
          <w:tcPr>
            <w:tcW w:w="360" w:type="dxa"/>
            <w:vAlign w:val="bottom"/>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14,513</w:t>
            </w:r>
          </w:p>
        </w:tc>
        <w:tc>
          <w:tcPr>
            <w:tcW w:w="120" w:type="dxa"/>
            <w:vAlign w:val="bottom"/>
          </w:tcPr>
          <w:p>
            <w:pPr>
              <w:spacing w:after="0"/>
              <w:rPr>
                <w:sz w:val="13"/>
                <w:szCs w:val="13"/>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19,963</w:t>
            </w:r>
          </w:p>
        </w:tc>
      </w:tr>
      <w:tr>
        <w:trPr>
          <w:trHeight w:val="159"/>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Interest-bearing deposits at other financial institutions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39,044</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39,764</w:t>
            </w:r>
          </w:p>
        </w:tc>
      </w:tr>
      <w:tr>
        <w:trPr>
          <w:trHeight w:val="15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Federal funds sold</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407</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20,688</w:t>
            </w:r>
          </w:p>
        </w:tc>
      </w:tr>
      <w:tr>
        <w:trPr>
          <w:trHeight w:val="150"/>
        </w:trPr>
        <w:tc>
          <w:tcPr>
            <w:tcW w:w="8040" w:type="dxa"/>
            <w:vAlign w:val="bottom"/>
            <w:shd w:val="clear" w:color="auto" w:fill="CCEEFF"/>
          </w:tcPr>
          <w:p>
            <w:pPr>
              <w:ind w:left="400"/>
              <w:spacing w:after="0"/>
              <w:rPr>
                <w:sz w:val="20"/>
                <w:szCs w:val="20"/>
                <w:color w:val="auto"/>
              </w:rPr>
            </w:pPr>
            <w:r>
              <w:rPr>
                <w:rFonts w:ascii="Arial" w:cs="Arial" w:eastAsia="Arial" w:hAnsi="Arial"/>
                <w:sz w:val="11"/>
                <w:szCs w:val="11"/>
                <w:color w:val="auto"/>
              </w:rPr>
              <w:t>Total cash and cash equivalents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53,964</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80,415</w:t>
            </w:r>
          </w:p>
        </w:tc>
      </w:tr>
      <w:tr>
        <w:trPr>
          <w:trHeight w:val="159"/>
        </w:trPr>
        <w:tc>
          <w:tcPr>
            <w:tcW w:w="8040" w:type="dxa"/>
            <w:vAlign w:val="bottom"/>
          </w:tcPr>
          <w:p>
            <w:pPr>
              <w:ind w:left="20"/>
              <w:spacing w:after="0"/>
              <w:rPr>
                <w:sz w:val="20"/>
                <w:szCs w:val="20"/>
                <w:color w:val="auto"/>
              </w:rPr>
            </w:pPr>
            <w:r>
              <w:rPr>
                <w:rFonts w:ascii="Arial" w:cs="Arial" w:eastAsia="Arial" w:hAnsi="Arial"/>
                <w:sz w:val="11"/>
                <w:szCs w:val="11"/>
                <w:color w:val="auto"/>
              </w:rPr>
              <w:t>Investment securities available for sale</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208,329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252,481</w:t>
            </w:r>
          </w:p>
        </w:tc>
      </w:tr>
      <w:tr>
        <w:trPr>
          <w:trHeight w:val="159"/>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investments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4,353</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7,362</w:t>
            </w:r>
          </w:p>
        </w:tc>
      </w:tr>
      <w:tr>
        <w:trPr>
          <w:trHeight w:val="159"/>
        </w:trPr>
        <w:tc>
          <w:tcPr>
            <w:tcW w:w="8040" w:type="dxa"/>
            <w:vAlign w:val="bottom"/>
          </w:tcPr>
          <w:p>
            <w:pPr>
              <w:ind w:left="20"/>
              <w:spacing w:after="0"/>
              <w:rPr>
                <w:sz w:val="20"/>
                <w:szCs w:val="20"/>
                <w:color w:val="auto"/>
              </w:rPr>
            </w:pPr>
            <w:r>
              <w:rPr>
                <w:rFonts w:ascii="Arial" w:cs="Arial" w:eastAsia="Arial" w:hAnsi="Arial"/>
                <w:sz w:val="11"/>
                <w:szCs w:val="11"/>
                <w:color w:val="auto"/>
              </w:rPr>
              <w:t>Loans held for sale</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7,481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7,416</w:t>
            </w:r>
          </w:p>
        </w:tc>
      </w:tr>
      <w:tr>
        <w:trPr>
          <w:trHeight w:val="159"/>
        </w:trPr>
        <w:tc>
          <w:tcPr>
            <w:tcW w:w="8040" w:type="dxa"/>
            <w:vAlign w:val="bottom"/>
            <w:shd w:val="clear" w:color="auto" w:fill="CCEEFF"/>
          </w:tcPr>
          <w:p>
            <w:pPr>
              <w:ind w:left="60"/>
              <w:spacing w:after="0"/>
              <w:rPr>
                <w:sz w:val="20"/>
                <w:szCs w:val="20"/>
                <w:color w:val="auto"/>
              </w:rPr>
            </w:pPr>
            <w:r>
              <w:rPr>
                <w:rFonts w:ascii="Arial" w:cs="Arial" w:eastAsia="Arial" w:hAnsi="Arial"/>
                <w:sz w:val="11"/>
                <w:szCs w:val="11"/>
                <w:color w:val="auto"/>
              </w:rPr>
              <w:t>U.S. Small Business Administration ("SBA") Payroll Protection Program ("PPP") loans receivable, net of fees and costs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645</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2,163</w:t>
            </w:r>
          </w:p>
        </w:tc>
      </w:tr>
      <w:tr>
        <w:trPr>
          <w:trHeight w:val="159"/>
        </w:trPr>
        <w:tc>
          <w:tcPr>
            <w:tcW w:w="8040" w:type="dxa"/>
            <w:vAlign w:val="bottom"/>
          </w:tcPr>
          <w:p>
            <w:pPr>
              <w:ind w:left="60"/>
              <w:spacing w:after="0"/>
              <w:rPr>
                <w:sz w:val="20"/>
                <w:szCs w:val="20"/>
                <w:color w:val="auto"/>
              </w:rPr>
            </w:pPr>
            <w:r>
              <w:rPr>
                <w:rFonts w:ascii="Arial" w:cs="Arial" w:eastAsia="Arial" w:hAnsi="Arial"/>
                <w:sz w:val="11"/>
                <w:szCs w:val="11"/>
                <w:color w:val="auto"/>
              </w:rPr>
              <w:t>Portfolio loans receivable, net of deferred fees and costs</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1,902,643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1,728,592</w:t>
            </w:r>
          </w:p>
        </w:tc>
      </w:tr>
      <w:tr>
        <w:trPr>
          <w:trHeight w:val="159"/>
        </w:trPr>
        <w:tc>
          <w:tcPr>
            <w:tcW w:w="80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Less allowance for credit losses</w:t>
            </w: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(28,610)</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(26,385)</w:t>
            </w:r>
          </w:p>
        </w:tc>
      </w:tr>
      <w:tr>
        <w:trPr>
          <w:trHeight w:val="150"/>
        </w:trPr>
        <w:tc>
          <w:tcPr>
            <w:tcW w:w="8040" w:type="dxa"/>
            <w:vAlign w:val="bottom"/>
          </w:tcPr>
          <w:p>
            <w:pPr>
              <w:ind w:left="400"/>
              <w:spacing w:after="0"/>
              <w:rPr>
                <w:sz w:val="20"/>
                <w:szCs w:val="20"/>
                <w:color w:val="auto"/>
              </w:rPr>
            </w:pPr>
            <w:r>
              <w:rPr>
                <w:rFonts w:ascii="Arial" w:cs="Arial" w:eastAsia="Arial" w:hAnsi="Arial"/>
                <w:sz w:val="11"/>
                <w:szCs w:val="11"/>
                <w:color w:val="auto"/>
              </w:rPr>
              <w:t>Total portfolio loans held for investment, net</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1,874,033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1,702,207</w:t>
            </w:r>
          </w:p>
        </w:tc>
      </w:tr>
      <w:tr>
        <w:trPr>
          <w:trHeight w:val="159"/>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Premises and equipment, net</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5,069</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3,386</w:t>
            </w:r>
          </w:p>
        </w:tc>
      </w:tr>
      <w:tr>
        <w:trPr>
          <w:trHeight w:val="159"/>
        </w:trPr>
        <w:tc>
          <w:tcPr>
            <w:tcW w:w="8040" w:type="dxa"/>
            <w:vAlign w:val="bottom"/>
          </w:tcPr>
          <w:p>
            <w:pPr>
              <w:ind w:left="20"/>
              <w:spacing w:after="0"/>
              <w:rPr>
                <w:sz w:val="20"/>
                <w:szCs w:val="20"/>
                <w:color w:val="auto"/>
              </w:rPr>
            </w:pPr>
            <w:r>
              <w:rPr>
                <w:rFonts w:ascii="Arial" w:cs="Arial" w:eastAsia="Arial" w:hAnsi="Arial"/>
                <w:sz w:val="11"/>
                <w:szCs w:val="11"/>
                <w:color w:val="auto"/>
              </w:rPr>
              <w:t>Accrued interest receivable</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11,494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9,489</w:t>
            </w:r>
          </w:p>
        </w:tc>
      </w:tr>
      <w:tr>
        <w:trPr>
          <w:trHeight w:val="159"/>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tax asset</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12,252</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13,777</w:t>
            </w:r>
          </w:p>
        </w:tc>
      </w:tr>
      <w:tr>
        <w:trPr>
          <w:trHeight w:val="159"/>
        </w:trPr>
        <w:tc>
          <w:tcPr>
            <w:tcW w:w="8040" w:type="dxa"/>
            <w:vAlign w:val="bottom"/>
          </w:tcPr>
          <w:p>
            <w:pPr>
              <w:ind w:left="20"/>
              <w:spacing w:after="0"/>
              <w:rPr>
                <w:sz w:val="20"/>
                <w:szCs w:val="20"/>
                <w:color w:val="auto"/>
              </w:rPr>
            </w:pPr>
            <w:r>
              <w:rPr>
                <w:rFonts w:ascii="Arial" w:cs="Arial" w:eastAsia="Arial" w:hAnsi="Arial"/>
                <w:sz w:val="11"/>
                <w:szCs w:val="11"/>
                <w:color w:val="auto"/>
              </w:rPr>
              <w:t>Bank owned life insurance</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37,711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36,524</w:t>
            </w:r>
          </w:p>
        </w:tc>
      </w:tr>
      <w:tr>
        <w:trPr>
          <w:trHeight w:val="159"/>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assets</w:t>
            </w: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10,845</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8,435</w:t>
            </w:r>
          </w:p>
        </w:tc>
      </w:tr>
      <w:tr>
        <w:trPr>
          <w:trHeight w:val="150"/>
        </w:trPr>
        <w:tc>
          <w:tcPr>
            <w:tcW w:w="8040" w:type="dxa"/>
            <w:vAlign w:val="bottom"/>
          </w:tcPr>
          <w:p>
            <w:pPr>
              <w:ind w:left="400"/>
              <w:spacing w:after="0"/>
              <w:rPr>
                <w:sz w:val="20"/>
                <w:szCs w:val="20"/>
                <w:color w:val="auto"/>
              </w:rPr>
            </w:pPr>
            <w:r>
              <w:rPr>
                <w:rFonts w:ascii="Arial" w:cs="Arial" w:eastAsia="Arial" w:hAnsi="Arial"/>
                <w:sz w:val="11"/>
                <w:szCs w:val="11"/>
                <w:color w:val="auto"/>
              </w:rPr>
              <w:t>Total assets</w:t>
            </w:r>
          </w:p>
        </w:tc>
        <w:tc>
          <w:tcPr>
            <w:tcW w:w="3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2,226,176</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2,123,655</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31"/>
        </w:trPr>
        <w:tc>
          <w:tcPr>
            <w:tcW w:w="80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59"/>
        </w:trPr>
        <w:tc>
          <w:tcPr>
            <w:tcW w:w="8040" w:type="dxa"/>
            <w:vAlign w:val="bottom"/>
          </w:tcPr>
          <w:p>
            <w:pPr>
              <w:ind w:left="20"/>
              <w:spacing w:after="0"/>
              <w:rPr>
                <w:sz w:val="20"/>
                <w:szCs w:val="20"/>
                <w:color w:val="auto"/>
              </w:rPr>
            </w:pPr>
            <w:r>
              <w:rPr>
                <w:rFonts w:ascii="Arial" w:cs="Arial" w:eastAsia="Arial" w:hAnsi="Arial"/>
                <w:sz w:val="11"/>
                <w:szCs w:val="11"/>
                <w:b w:val="1"/>
                <w:bCs w:val="1"/>
                <w:color w:val="auto"/>
              </w:rPr>
              <w:t>Liabilities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Deposits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9"/>
        </w:trPr>
        <w:tc>
          <w:tcPr>
            <w:tcW w:w="8040" w:type="dxa"/>
            <w:vAlign w:val="bottom"/>
          </w:tcPr>
          <w:p>
            <w:pPr>
              <w:ind w:left="180"/>
              <w:spacing w:after="0"/>
              <w:rPr>
                <w:sz w:val="20"/>
                <w:szCs w:val="20"/>
                <w:color w:val="auto"/>
              </w:rPr>
            </w:pPr>
            <w:r>
              <w:rPr>
                <w:rFonts w:ascii="Arial" w:cs="Arial" w:eastAsia="Arial" w:hAnsi="Arial"/>
                <w:sz w:val="11"/>
                <w:szCs w:val="11"/>
                <w:color w:val="auto"/>
              </w:rPr>
              <w:t>Noninterest-bearing</w:t>
            </w:r>
          </w:p>
        </w:tc>
        <w:tc>
          <w:tcPr>
            <w:tcW w:w="360" w:type="dxa"/>
            <w:vAlign w:val="bottom"/>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617,373</w:t>
            </w:r>
          </w:p>
        </w:tc>
        <w:tc>
          <w:tcPr>
            <w:tcW w:w="120" w:type="dxa"/>
            <w:vAlign w:val="bottom"/>
          </w:tcPr>
          <w:p>
            <w:pPr>
              <w:spacing w:after="0"/>
              <w:rPr>
                <w:sz w:val="13"/>
                <w:szCs w:val="13"/>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674,313</w:t>
            </w:r>
          </w:p>
        </w:tc>
      </w:tr>
      <w:tr>
        <w:trPr>
          <w:trHeight w:val="159"/>
        </w:trPr>
        <w:tc>
          <w:tcPr>
            <w:tcW w:w="80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Interest-bearing</w:t>
            </w: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1,278,623</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1,083,759</w:t>
            </w:r>
          </w:p>
        </w:tc>
      </w:tr>
      <w:tr>
        <w:trPr>
          <w:trHeight w:val="150"/>
        </w:trPr>
        <w:tc>
          <w:tcPr>
            <w:tcW w:w="8040" w:type="dxa"/>
            <w:vAlign w:val="bottom"/>
          </w:tcPr>
          <w:p>
            <w:pPr>
              <w:ind w:left="400"/>
              <w:spacing w:after="0"/>
              <w:rPr>
                <w:sz w:val="20"/>
                <w:szCs w:val="20"/>
                <w:color w:val="auto"/>
              </w:rPr>
            </w:pPr>
            <w:r>
              <w:rPr>
                <w:rFonts w:ascii="Arial" w:cs="Arial" w:eastAsia="Arial" w:hAnsi="Arial"/>
                <w:sz w:val="11"/>
                <w:szCs w:val="11"/>
                <w:color w:val="auto"/>
              </w:rPr>
              <w:t>Total deposits</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1,895,996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1,758,072</w:t>
            </w:r>
          </w:p>
        </w:tc>
      </w:tr>
      <w:tr>
        <w:trPr>
          <w:trHeight w:val="159"/>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Federal Home Loan Bank advances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22,000</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107,000</w:t>
            </w:r>
          </w:p>
        </w:tc>
      </w:tr>
      <w:tr>
        <w:trPr>
          <w:trHeight w:val="159"/>
        </w:trPr>
        <w:tc>
          <w:tcPr>
            <w:tcW w:w="8040" w:type="dxa"/>
            <w:vAlign w:val="bottom"/>
          </w:tcPr>
          <w:p>
            <w:pPr>
              <w:ind w:left="20"/>
              <w:spacing w:after="0"/>
              <w:rPr>
                <w:sz w:val="20"/>
                <w:szCs w:val="20"/>
                <w:color w:val="auto"/>
              </w:rPr>
            </w:pPr>
            <w:r>
              <w:rPr>
                <w:rFonts w:ascii="Arial" w:cs="Arial" w:eastAsia="Arial" w:hAnsi="Arial"/>
                <w:sz w:val="11"/>
                <w:szCs w:val="11"/>
                <w:color w:val="auto"/>
              </w:rPr>
              <w:t>Other borrowed funds</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27,062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12,062</w:t>
            </w:r>
          </w:p>
        </w:tc>
      </w:tr>
      <w:tr>
        <w:trPr>
          <w:trHeight w:val="159"/>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Accrued interest payable</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5,583</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1,031</w:t>
            </w:r>
          </w:p>
        </w:tc>
      </w:tr>
      <w:tr>
        <w:trPr>
          <w:trHeight w:val="15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liabilities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20,675</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21,475</w:t>
            </w:r>
          </w:p>
        </w:tc>
      </w:tr>
      <w:tr>
        <w:trPr>
          <w:trHeight w:val="150"/>
        </w:trPr>
        <w:tc>
          <w:tcPr>
            <w:tcW w:w="8040" w:type="dxa"/>
            <w:vAlign w:val="bottom"/>
            <w:shd w:val="clear" w:color="auto" w:fill="CCEEFF"/>
          </w:tcPr>
          <w:p>
            <w:pPr>
              <w:ind w:left="400"/>
              <w:spacing w:after="0"/>
              <w:rPr>
                <w:sz w:val="20"/>
                <w:szCs w:val="20"/>
                <w:color w:val="auto"/>
              </w:rPr>
            </w:pPr>
            <w:r>
              <w:rPr>
                <w:rFonts w:ascii="Arial" w:cs="Arial" w:eastAsia="Arial" w:hAnsi="Arial"/>
                <w:sz w:val="11"/>
                <w:szCs w:val="11"/>
                <w:color w:val="auto"/>
              </w:rPr>
              <w:t>Total liabilities</w:t>
            </w: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1,971,316</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1,899,640</w:t>
            </w:r>
          </w:p>
        </w:tc>
      </w:tr>
      <w:tr>
        <w:trPr>
          <w:trHeight w:val="150"/>
        </w:trPr>
        <w:tc>
          <w:tcPr>
            <w:tcW w:w="8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Stockholders' equity</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9"/>
        </w:trPr>
        <w:tc>
          <w:tcPr>
            <w:tcW w:w="8040" w:type="dxa"/>
            <w:vAlign w:val="bottom"/>
          </w:tcPr>
          <w:p>
            <w:pPr>
              <w:ind w:left="100"/>
              <w:spacing w:after="0"/>
              <w:rPr>
                <w:sz w:val="20"/>
                <w:szCs w:val="20"/>
                <w:color w:val="auto"/>
              </w:rPr>
            </w:pPr>
            <w:r>
              <w:rPr>
                <w:rFonts w:ascii="Arial" w:cs="Arial" w:eastAsia="Arial" w:hAnsi="Arial"/>
                <w:sz w:val="11"/>
                <w:szCs w:val="11"/>
                <w:color w:val="auto"/>
              </w:rPr>
              <w:t>Common stock, $.01 par value; 49,000,000 shares authorized; 13,922,532 and 14,138,829 issued and outstanding</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139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141</w:t>
            </w:r>
          </w:p>
        </w:tc>
      </w:tr>
      <w:tr>
        <w:trPr>
          <w:trHeight w:val="159"/>
        </w:trPr>
        <w:tc>
          <w:tcPr>
            <w:tcW w:w="80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Additional paid-in capital</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54,473</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58,190</w:t>
            </w:r>
          </w:p>
        </w:tc>
      </w:tr>
      <w:tr>
        <w:trPr>
          <w:trHeight w:val="159"/>
        </w:trPr>
        <w:tc>
          <w:tcPr>
            <w:tcW w:w="8040" w:type="dxa"/>
            <w:vAlign w:val="bottom"/>
          </w:tcPr>
          <w:p>
            <w:pPr>
              <w:ind w:left="120"/>
              <w:spacing w:after="0"/>
              <w:rPr>
                <w:sz w:val="20"/>
                <w:szCs w:val="20"/>
                <w:color w:val="auto"/>
              </w:rPr>
            </w:pPr>
            <w:r>
              <w:rPr>
                <w:rFonts w:ascii="Arial" w:cs="Arial" w:eastAsia="Arial" w:hAnsi="Arial"/>
                <w:sz w:val="11"/>
                <w:szCs w:val="11"/>
                <w:color w:val="auto"/>
              </w:rPr>
              <w:t>Retained earnings</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213,345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182,435</w:t>
            </w:r>
          </w:p>
        </w:tc>
      </w:tr>
      <w:tr>
        <w:trPr>
          <w:trHeight w:val="159"/>
        </w:trPr>
        <w:tc>
          <w:tcPr>
            <w:tcW w:w="80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Accumulated other comprehensive loss</w:t>
            </w: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(13,097)</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(16,751)</w:t>
            </w:r>
          </w:p>
        </w:tc>
      </w:tr>
      <w:tr>
        <w:trPr>
          <w:trHeight w:val="150"/>
        </w:trPr>
        <w:tc>
          <w:tcPr>
            <w:tcW w:w="8040" w:type="dxa"/>
            <w:vAlign w:val="bottom"/>
            <w:tcBorders>
              <w:bottom w:val="single" w:sz="8" w:color="CCEEFF"/>
            </w:tcBorders>
          </w:tcPr>
          <w:p>
            <w:pPr>
              <w:ind w:left="400"/>
              <w:spacing w:after="0"/>
              <w:rPr>
                <w:sz w:val="20"/>
                <w:szCs w:val="20"/>
                <w:color w:val="auto"/>
              </w:rPr>
            </w:pPr>
            <w:r>
              <w:rPr>
                <w:rFonts w:ascii="Arial" w:cs="Arial" w:eastAsia="Arial" w:hAnsi="Arial"/>
                <w:sz w:val="11"/>
                <w:szCs w:val="11"/>
                <w:color w:val="auto"/>
              </w:rPr>
              <w:t>Total stockholders' equity</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254,860</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224,015</w:t>
            </w:r>
          </w:p>
        </w:tc>
      </w:tr>
      <w:tr>
        <w:trPr>
          <w:trHeight w:val="175"/>
        </w:trPr>
        <w:tc>
          <w:tcPr>
            <w:tcW w:w="8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Total liabilities and stockholders' equity</w:t>
            </w: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2,226,176</w:t>
            </w: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2,123,655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75" w:name="page76"/>
    <w:bookmarkEnd w:id="75"/>
    <w:p>
      <w:pPr>
        <w:ind w:lef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102235</wp:posOffset>
            </wp:positionV>
            <wp:extent cx="7161530"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ind w:left="20"/>
        <w:spacing w:after="0" w:line="212" w:lineRule="auto"/>
        <w:rPr>
          <w:sz w:val="20"/>
          <w:szCs w:val="20"/>
          <w:color w:val="auto"/>
        </w:rPr>
      </w:pPr>
      <w:r>
        <w:rPr>
          <w:rFonts w:ascii="Arial" w:cs="Arial" w:eastAsia="Arial" w:hAnsi="Arial"/>
          <w:sz w:val="14"/>
          <w:szCs w:val="14"/>
          <w:b w:val="1"/>
          <w:bCs w:val="1"/>
          <w:i w:val="1"/>
          <w:iCs w:val="1"/>
          <w:color w:val="auto"/>
        </w:rPr>
        <w:t>Consolidated Statements of Income</w:t>
      </w:r>
    </w:p>
    <w:p>
      <w:pPr>
        <w:ind w:left="20"/>
        <w:spacing w:after="0"/>
        <w:rPr>
          <w:sz w:val="20"/>
          <w:szCs w:val="20"/>
          <w:color w:val="auto"/>
        </w:rPr>
      </w:pPr>
      <w:r>
        <w:rPr>
          <w:rFonts w:ascii="Arial" w:cs="Arial" w:eastAsia="Arial" w:hAnsi="Arial"/>
          <w:sz w:val="11"/>
          <w:szCs w:val="11"/>
          <w:b w:val="1"/>
          <w:bCs w:val="1"/>
          <w:i w:val="1"/>
          <w:iCs w:val="1"/>
          <w:color w:val="auto"/>
        </w:rPr>
        <w:t>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13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(dollars in thousands except per share data)</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2022</w:t>
            </w:r>
          </w:p>
        </w:tc>
      </w:tr>
      <w:tr>
        <w:trPr>
          <w:trHeight w:val="15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Interest income</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70"/>
        </w:trPr>
        <w:tc>
          <w:tcPr>
            <w:tcW w:w="7840" w:type="dxa"/>
            <w:vAlign w:val="bottom"/>
          </w:tcPr>
          <w:p>
            <w:pPr>
              <w:ind w:left="120"/>
              <w:spacing w:after="0"/>
              <w:rPr>
                <w:sz w:val="20"/>
                <w:szCs w:val="20"/>
                <w:color w:val="auto"/>
              </w:rPr>
            </w:pPr>
            <w:r>
              <w:rPr>
                <w:rFonts w:ascii="Arial" w:cs="Arial" w:eastAsia="Arial" w:hAnsi="Arial"/>
                <w:sz w:val="13"/>
                <w:szCs w:val="13"/>
                <w:color w:val="auto"/>
              </w:rPr>
              <w:t>Loans, including fees</w:t>
            </w:r>
          </w:p>
        </w:tc>
        <w:tc>
          <w:tcPr>
            <w:tcW w:w="360" w:type="dxa"/>
            <w:vAlign w:val="bottom"/>
          </w:tcPr>
          <w:p>
            <w:pPr>
              <w:jc w:val="right"/>
              <w:ind w:right="196"/>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174,760</w:t>
            </w:r>
          </w:p>
        </w:tc>
        <w:tc>
          <w:tcPr>
            <w:tcW w:w="12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144,408</w:t>
            </w:r>
          </w:p>
        </w:tc>
      </w:tr>
      <w:tr>
        <w:trPr>
          <w:trHeight w:val="170"/>
        </w:trPr>
        <w:tc>
          <w:tcPr>
            <w:tcW w:w="7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Investment securities available for sale</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4,815</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3,912</w:t>
            </w:r>
          </w:p>
        </w:tc>
      </w:tr>
      <w:tr>
        <w:trPr>
          <w:trHeight w:val="170"/>
        </w:trPr>
        <w:tc>
          <w:tcPr>
            <w:tcW w:w="78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Federal funds sold and other</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3,631</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2,326</w:t>
            </w:r>
          </w:p>
        </w:tc>
      </w:tr>
      <w:tr>
        <w:trPr>
          <w:trHeight w:val="160"/>
        </w:trPr>
        <w:tc>
          <w:tcPr>
            <w:tcW w:w="78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interest income</w:t>
            </w: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183,206</w:t>
            </w:r>
          </w:p>
        </w:tc>
        <w:tc>
          <w:tcPr>
            <w:tcW w:w="1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150,646</w:t>
            </w:r>
          </w:p>
        </w:tc>
      </w:tr>
      <w:tr>
        <w:trPr>
          <w:trHeight w:val="150"/>
        </w:trPr>
        <w:tc>
          <w:tcPr>
            <w:tcW w:w="7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Interest expense</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0"/>
        </w:trPr>
        <w:tc>
          <w:tcPr>
            <w:tcW w:w="7840" w:type="dxa"/>
            <w:vAlign w:val="bottom"/>
          </w:tcPr>
          <w:p>
            <w:pPr>
              <w:ind w:left="120"/>
              <w:spacing w:after="0"/>
              <w:rPr>
                <w:sz w:val="20"/>
                <w:szCs w:val="20"/>
                <w:color w:val="auto"/>
              </w:rPr>
            </w:pPr>
            <w:r>
              <w:rPr>
                <w:rFonts w:ascii="Arial" w:cs="Arial" w:eastAsia="Arial" w:hAnsi="Arial"/>
                <w:sz w:val="13"/>
                <w:szCs w:val="13"/>
                <w:color w:val="auto"/>
              </w:rPr>
              <w:t>Deposits</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39,625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7,611</w:t>
            </w:r>
          </w:p>
        </w:tc>
      </w:tr>
      <w:tr>
        <w:trPr>
          <w:trHeight w:val="170"/>
        </w:trPr>
        <w:tc>
          <w:tcPr>
            <w:tcW w:w="7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Borrowed funds</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2,055</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2,428</w:t>
            </w:r>
          </w:p>
        </w:tc>
      </w:tr>
      <w:tr>
        <w:trPr>
          <w:trHeight w:val="160"/>
        </w:trPr>
        <w:tc>
          <w:tcPr>
            <w:tcW w:w="784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Total interest expense</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41,680</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10,039</w:t>
            </w:r>
          </w:p>
        </w:tc>
      </w:tr>
      <w:tr>
        <w:trPr>
          <w:trHeight w:val="150"/>
        </w:trPr>
        <w:tc>
          <w:tcPr>
            <w:tcW w:w="78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70"/>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Net interest income</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141,526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140,607</w:t>
            </w:r>
          </w:p>
        </w:tc>
      </w:tr>
      <w:tr>
        <w:trPr>
          <w:trHeight w:val="170"/>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Provision for credit losses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9,610</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6,631</w:t>
            </w:r>
          </w:p>
        </w:tc>
      </w:tr>
      <w:tr>
        <w:trPr>
          <w:trHeight w:val="170"/>
        </w:trPr>
        <w:tc>
          <w:tcPr>
            <w:tcW w:w="78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Release of credit losses on unfunded commitments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(101)</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16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interest income after provision for credit losses</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132,017</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133,976</w:t>
            </w:r>
          </w:p>
        </w:tc>
      </w:tr>
      <w:tr>
        <w:trPr>
          <w:trHeight w:val="170"/>
        </w:trPr>
        <w:tc>
          <w:tcPr>
            <w:tcW w:w="7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Noninterest income</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0"/>
        </w:trPr>
        <w:tc>
          <w:tcPr>
            <w:tcW w:w="7840" w:type="dxa"/>
            <w:vAlign w:val="bottom"/>
          </w:tcPr>
          <w:p>
            <w:pPr>
              <w:ind w:left="120"/>
              <w:spacing w:after="0"/>
              <w:rPr>
                <w:sz w:val="20"/>
                <w:szCs w:val="20"/>
                <w:color w:val="auto"/>
              </w:rPr>
            </w:pPr>
            <w:r>
              <w:rPr>
                <w:rFonts w:ascii="Arial" w:cs="Arial" w:eastAsia="Arial" w:hAnsi="Arial"/>
                <w:sz w:val="13"/>
                <w:szCs w:val="13"/>
                <w:color w:val="auto"/>
              </w:rPr>
              <w:t>Service charges on deposits</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964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767</w:t>
            </w:r>
          </w:p>
        </w:tc>
      </w:tr>
      <w:tr>
        <w:trPr>
          <w:trHeight w:val="170"/>
        </w:trPr>
        <w:tc>
          <w:tcPr>
            <w:tcW w:w="7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Credit card fees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17,273</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21,972</w:t>
            </w:r>
          </w:p>
        </w:tc>
      </w:tr>
      <w:tr>
        <w:trPr>
          <w:trHeight w:val="170"/>
        </w:trPr>
        <w:tc>
          <w:tcPr>
            <w:tcW w:w="7840" w:type="dxa"/>
            <w:vAlign w:val="bottom"/>
          </w:tcPr>
          <w:p>
            <w:pPr>
              <w:ind w:left="120"/>
              <w:spacing w:after="0"/>
              <w:rPr>
                <w:sz w:val="20"/>
                <w:szCs w:val="20"/>
                <w:color w:val="auto"/>
              </w:rPr>
            </w:pPr>
            <w:r>
              <w:rPr>
                <w:rFonts w:ascii="Arial" w:cs="Arial" w:eastAsia="Arial" w:hAnsi="Arial"/>
                <w:sz w:val="13"/>
                <w:szCs w:val="13"/>
                <w:color w:val="auto"/>
              </w:rPr>
              <w:t>Mortgage banking revenue</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4,896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4,866</w:t>
            </w:r>
          </w:p>
        </w:tc>
      </w:tr>
      <w:tr>
        <w:trPr>
          <w:trHeight w:val="170"/>
        </w:trPr>
        <w:tc>
          <w:tcPr>
            <w:tcW w:w="7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income</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1,842</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1,767</w:t>
            </w:r>
          </w:p>
        </w:tc>
      </w:tr>
      <w:tr>
        <w:trPr>
          <w:trHeight w:val="160"/>
        </w:trPr>
        <w:tc>
          <w:tcPr>
            <w:tcW w:w="784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Total noninterest income</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24,975</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29,372</w:t>
            </w:r>
          </w:p>
        </w:tc>
      </w:tr>
      <w:tr>
        <w:trPr>
          <w:trHeight w:val="150"/>
        </w:trPr>
        <w:tc>
          <w:tcPr>
            <w:tcW w:w="78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70"/>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Noninterest expenses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7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Salaries and employee benefits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48,754</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42,898</w:t>
            </w:r>
          </w:p>
        </w:tc>
      </w:tr>
      <w:tr>
        <w:trPr>
          <w:trHeight w:val="170"/>
        </w:trPr>
        <w:tc>
          <w:tcPr>
            <w:tcW w:w="7840" w:type="dxa"/>
            <w:vAlign w:val="bottom"/>
          </w:tcPr>
          <w:p>
            <w:pPr>
              <w:ind w:left="120"/>
              <w:spacing w:after="0"/>
              <w:rPr>
                <w:sz w:val="20"/>
                <w:szCs w:val="20"/>
                <w:color w:val="auto"/>
              </w:rPr>
            </w:pPr>
            <w:r>
              <w:rPr>
                <w:rFonts w:ascii="Arial" w:cs="Arial" w:eastAsia="Arial" w:hAnsi="Arial"/>
                <w:sz w:val="13"/>
                <w:szCs w:val="13"/>
                <w:color w:val="auto"/>
              </w:rPr>
              <w:t>Occupancy and equipment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5,673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4,865</w:t>
            </w:r>
          </w:p>
        </w:tc>
      </w:tr>
      <w:tr>
        <w:trPr>
          <w:trHeight w:val="170"/>
        </w:trPr>
        <w:tc>
          <w:tcPr>
            <w:tcW w:w="7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Professional fees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9,270</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11,012</w:t>
            </w:r>
          </w:p>
        </w:tc>
      </w:tr>
      <w:tr>
        <w:trPr>
          <w:trHeight w:val="170"/>
        </w:trPr>
        <w:tc>
          <w:tcPr>
            <w:tcW w:w="7840" w:type="dxa"/>
            <w:vAlign w:val="bottom"/>
          </w:tcPr>
          <w:p>
            <w:pPr>
              <w:ind w:left="120"/>
              <w:spacing w:after="0"/>
              <w:rPr>
                <w:sz w:val="20"/>
                <w:szCs w:val="20"/>
                <w:color w:val="auto"/>
              </w:rPr>
            </w:pPr>
            <w:r>
              <w:rPr>
                <w:rFonts w:ascii="Arial" w:cs="Arial" w:eastAsia="Arial" w:hAnsi="Arial"/>
                <w:sz w:val="13"/>
                <w:szCs w:val="13"/>
                <w:color w:val="auto"/>
              </w:rPr>
              <w:t>Data processing</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25,686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29,418</w:t>
            </w:r>
          </w:p>
        </w:tc>
      </w:tr>
      <w:tr>
        <w:trPr>
          <w:trHeight w:val="170"/>
        </w:trPr>
        <w:tc>
          <w:tcPr>
            <w:tcW w:w="7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Advertising</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6,161</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6,220</w:t>
            </w:r>
          </w:p>
        </w:tc>
      </w:tr>
      <w:tr>
        <w:trPr>
          <w:trHeight w:val="170"/>
        </w:trPr>
        <w:tc>
          <w:tcPr>
            <w:tcW w:w="7840" w:type="dxa"/>
            <w:vAlign w:val="bottom"/>
          </w:tcPr>
          <w:p>
            <w:pPr>
              <w:ind w:left="120"/>
              <w:spacing w:after="0"/>
              <w:rPr>
                <w:sz w:val="20"/>
                <w:szCs w:val="20"/>
                <w:color w:val="auto"/>
              </w:rPr>
            </w:pPr>
            <w:r>
              <w:rPr>
                <w:rFonts w:ascii="Arial" w:cs="Arial" w:eastAsia="Arial" w:hAnsi="Arial"/>
                <w:sz w:val="13"/>
                <w:szCs w:val="13"/>
                <w:color w:val="auto"/>
              </w:rPr>
              <w:t>Loan processing</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1,633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1,702</w:t>
            </w:r>
          </w:p>
        </w:tc>
      </w:tr>
      <w:tr>
        <w:trPr>
          <w:trHeight w:val="170"/>
        </w:trPr>
        <w:tc>
          <w:tcPr>
            <w:tcW w:w="7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Foreclosed real estate expenses (income), net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r>
      <w:tr>
        <w:trPr>
          <w:trHeight w:val="170"/>
        </w:trPr>
        <w:tc>
          <w:tcPr>
            <w:tcW w:w="7840" w:type="dxa"/>
            <w:vAlign w:val="bottom"/>
          </w:tcPr>
          <w:p>
            <w:pPr>
              <w:ind w:left="120"/>
              <w:spacing w:after="0"/>
              <w:rPr>
                <w:sz w:val="20"/>
                <w:szCs w:val="20"/>
                <w:color w:val="auto"/>
              </w:rPr>
            </w:pPr>
            <w:r>
              <w:rPr>
                <w:rFonts w:ascii="Arial" w:cs="Arial" w:eastAsia="Arial" w:hAnsi="Arial"/>
                <w:sz w:val="13"/>
                <w:szCs w:val="13"/>
                <w:color w:val="auto"/>
              </w:rPr>
              <w:t>Operational losses</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4,613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4,469</w:t>
            </w:r>
          </w:p>
        </w:tc>
      </w:tr>
      <w:tr>
        <w:trPr>
          <w:trHeight w:val="170"/>
        </w:trPr>
        <w:tc>
          <w:tcPr>
            <w:tcW w:w="7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Outside service providers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1,932</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3,338</w:t>
            </w:r>
          </w:p>
        </w:tc>
      </w:tr>
      <w:tr>
        <w:trPr>
          <w:trHeight w:val="170"/>
        </w:trPr>
        <w:tc>
          <w:tcPr>
            <w:tcW w:w="78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operating</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7,038</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5,375</w:t>
            </w:r>
          </w:p>
        </w:tc>
      </w:tr>
      <w:tr>
        <w:trPr>
          <w:trHeight w:val="160"/>
        </w:trPr>
        <w:tc>
          <w:tcPr>
            <w:tcW w:w="78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noninterest expenses</w:t>
            </w: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110,767</w:t>
            </w:r>
          </w:p>
        </w:tc>
        <w:tc>
          <w:tcPr>
            <w:tcW w:w="1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109,114</w:t>
            </w:r>
          </w:p>
        </w:tc>
      </w:tr>
      <w:tr>
        <w:trPr>
          <w:trHeight w:val="160"/>
        </w:trPr>
        <w:tc>
          <w:tcPr>
            <w:tcW w:w="7840" w:type="dxa"/>
            <w:vAlign w:val="bottom"/>
          </w:tcPr>
          <w:p>
            <w:pPr>
              <w:ind w:left="20"/>
              <w:spacing w:after="0"/>
              <w:rPr>
                <w:sz w:val="20"/>
                <w:szCs w:val="20"/>
                <w:color w:val="auto"/>
              </w:rPr>
            </w:pPr>
            <w:r>
              <w:rPr>
                <w:rFonts w:ascii="Arial" w:cs="Arial" w:eastAsia="Arial" w:hAnsi="Arial"/>
                <w:sz w:val="13"/>
                <w:szCs w:val="13"/>
                <w:color w:val="auto"/>
              </w:rPr>
              <w:t>Income before income taxes</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46,225</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54,234</w:t>
            </w:r>
          </w:p>
        </w:tc>
      </w:tr>
      <w:tr>
        <w:trPr>
          <w:trHeight w:val="17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10,354</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12,430</w:t>
            </w:r>
          </w:p>
        </w:tc>
      </w:tr>
      <w:tr>
        <w:trPr>
          <w:trHeight w:val="160"/>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Net income</w:t>
            </w: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35,871</w:t>
            </w:r>
          </w:p>
        </w:tc>
        <w:tc>
          <w:tcPr>
            <w:tcW w:w="12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41,804</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31"/>
        </w:trPr>
        <w:tc>
          <w:tcPr>
            <w:tcW w:w="78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70"/>
        </w:trPr>
        <w:tc>
          <w:tcPr>
            <w:tcW w:w="7840" w:type="dxa"/>
            <w:vAlign w:val="bottom"/>
          </w:tcPr>
          <w:p>
            <w:pPr>
              <w:ind w:left="20"/>
              <w:spacing w:after="0"/>
              <w:rPr>
                <w:sz w:val="20"/>
                <w:szCs w:val="20"/>
                <w:color w:val="auto"/>
              </w:rPr>
            </w:pPr>
            <w:r>
              <w:rPr>
                <w:rFonts w:ascii="Arial" w:cs="Arial" w:eastAsia="Arial" w:hAnsi="Arial"/>
                <w:sz w:val="13"/>
                <w:szCs w:val="13"/>
                <w:color w:val="auto"/>
              </w:rPr>
              <w:t>Basic earnings per share</w:t>
            </w: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2.56</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Diluted earnings per share</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2.55</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7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common shares outstanding:</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0"/>
        </w:trPr>
        <w:tc>
          <w:tcPr>
            <w:tcW w:w="7840" w:type="dxa"/>
            <w:vAlign w:val="bottom"/>
          </w:tcPr>
          <w:p>
            <w:pPr>
              <w:ind w:left="120"/>
              <w:spacing w:after="0"/>
              <w:rPr>
                <w:sz w:val="20"/>
                <w:szCs w:val="20"/>
                <w:color w:val="auto"/>
              </w:rPr>
            </w:pPr>
            <w:r>
              <w:rPr>
                <w:rFonts w:ascii="Arial" w:cs="Arial" w:eastAsia="Arial" w:hAnsi="Arial"/>
                <w:sz w:val="13"/>
                <w:szCs w:val="13"/>
                <w:color w:val="auto"/>
              </w:rPr>
              <w:t>Basic</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14,002,556</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14,024,598</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7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14,080,547</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14,362,203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4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166" w:right="579" w:bottom="1440" w:gutter="0" w:footer="0" w:header="0"/>
        </w:sectPr>
      </w:pPr>
    </w:p>
    <w:bookmarkStart w:id="76" w:name="page77"/>
    <w:bookmarkEnd w:id="76"/>
    <w:p>
      <w:pPr>
        <w:ind w:lef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149225</wp:posOffset>
            </wp:positionV>
            <wp:extent cx="7161530"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ind w:left="20"/>
        <w:spacing w:after="0" w:line="212" w:lineRule="auto"/>
        <w:rPr>
          <w:sz w:val="20"/>
          <w:szCs w:val="20"/>
          <w:color w:val="auto"/>
        </w:rPr>
      </w:pPr>
      <w:r>
        <w:rPr>
          <w:rFonts w:ascii="Arial" w:cs="Arial" w:eastAsia="Arial" w:hAnsi="Arial"/>
          <w:sz w:val="14"/>
          <w:szCs w:val="14"/>
          <w:b w:val="1"/>
          <w:bCs w:val="1"/>
          <w:i w:val="1"/>
          <w:iCs w:val="1"/>
          <w:color w:val="auto"/>
        </w:rPr>
        <w:t>Consolidated Statements of Comprehensive Income</w:t>
      </w:r>
    </w:p>
    <w:p>
      <w:pPr>
        <w:ind w:left="20"/>
        <w:spacing w:after="0"/>
        <w:rPr>
          <w:sz w:val="20"/>
          <w:szCs w:val="20"/>
          <w:color w:val="auto"/>
        </w:rPr>
      </w:pPr>
      <w:r>
        <w:rPr>
          <w:rFonts w:ascii="Arial" w:cs="Arial" w:eastAsia="Arial" w:hAnsi="Arial"/>
          <w:sz w:val="11"/>
          <w:szCs w:val="11"/>
          <w:b w:val="1"/>
          <w:bCs w:val="1"/>
          <w:i w:val="1"/>
          <w:iCs w:val="1"/>
          <w:color w:val="auto"/>
        </w:rPr>
        <w:t>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13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2022</w:t>
            </w:r>
          </w:p>
        </w:tc>
      </w:tr>
      <w:tr>
        <w:trPr>
          <w:trHeight w:val="160"/>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35,871</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41,804</w:t>
            </w:r>
          </w:p>
        </w:tc>
      </w:tr>
      <w:tr>
        <w:trPr>
          <w:trHeight w:val="150"/>
        </w:trPr>
        <w:tc>
          <w:tcPr>
            <w:tcW w:w="7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70"/>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 (loss):</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70"/>
        </w:trPr>
        <w:tc>
          <w:tcPr>
            <w:tcW w:w="7860" w:type="dxa"/>
            <w:vAlign w:val="bottom"/>
          </w:tcPr>
          <w:p>
            <w:pPr>
              <w:ind w:left="120"/>
              <w:spacing w:after="0"/>
              <w:rPr>
                <w:sz w:val="20"/>
                <w:szCs w:val="20"/>
                <w:color w:val="auto"/>
              </w:rPr>
            </w:pPr>
            <w:r>
              <w:rPr>
                <w:rFonts w:ascii="Arial" w:cs="Arial" w:eastAsia="Arial" w:hAnsi="Arial"/>
                <w:sz w:val="13"/>
                <w:szCs w:val="13"/>
                <w:color w:val="auto"/>
              </w:rPr>
              <w:t>Unrealized gain (loss) on investment securities available for sale</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5,066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(20,912)</w:t>
            </w:r>
          </w:p>
        </w:tc>
      </w:tr>
      <w:tr>
        <w:trPr>
          <w:trHeight w:val="170"/>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 (expense) relating to the items above</w:t>
            </w: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(1,412)</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5,237</w:t>
            </w:r>
          </w:p>
        </w:tc>
      </w:tr>
      <w:tr>
        <w:trPr>
          <w:trHeight w:val="16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comprehensive income (loss)</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3,654</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(15,675)</w:t>
            </w:r>
          </w:p>
        </w:tc>
      </w:tr>
      <w:tr>
        <w:trPr>
          <w:trHeight w:val="18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Comprehensive income</w:t>
            </w: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39,525</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26,129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102235</wp:posOffset>
            </wp:positionV>
            <wp:extent cx="7161530" cy="13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12" w:lineRule="auto"/>
        <w:rPr>
          <w:sz w:val="20"/>
          <w:szCs w:val="20"/>
          <w:color w:val="auto"/>
        </w:rPr>
      </w:pPr>
      <w:r>
        <w:rPr>
          <w:rFonts w:ascii="Arial" w:cs="Arial" w:eastAsia="Arial" w:hAnsi="Arial"/>
          <w:sz w:val="14"/>
          <w:szCs w:val="14"/>
          <w:b w:val="1"/>
          <w:bCs w:val="1"/>
          <w:color w:val="auto"/>
        </w:rPr>
        <w:t>Consolidated Statements of Changes in Stockholders’ Equity</w:t>
      </w:r>
    </w:p>
    <w:p>
      <w:pPr>
        <w:spacing w:after="0"/>
        <w:rPr>
          <w:sz w:val="20"/>
          <w:szCs w:val="20"/>
          <w:color w:val="auto"/>
        </w:rPr>
      </w:pPr>
      <w:r>
        <w:rPr>
          <w:rFonts w:ascii="Arial" w:cs="Arial" w:eastAsia="Arial" w:hAnsi="Arial"/>
          <w:sz w:val="11"/>
          <w:szCs w:val="11"/>
          <w:b w:val="1"/>
          <w:bCs w:val="1"/>
          <w:i w:val="1"/>
          <w:iCs w:val="1"/>
          <w:color w:val="auto"/>
        </w:rPr>
        <w:t>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wp:posOffset>
            </wp:positionV>
            <wp:extent cx="7161530" cy="13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920" w:type="dxa"/>
            <w:vAlign w:val="bottom"/>
          </w:tcPr>
          <w:p>
            <w:pPr>
              <w:spacing w:after="0"/>
              <w:rPr>
                <w:sz w:val="11"/>
                <w:szCs w:val="11"/>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Common Stock</w:t>
            </w: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Additional</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Accumulated Other</w:t>
            </w:r>
          </w:p>
        </w:tc>
        <w:tc>
          <w:tcPr>
            <w:tcW w:w="200" w:type="dxa"/>
            <w:vAlign w:val="bottom"/>
          </w:tcPr>
          <w:p>
            <w:pPr>
              <w:spacing w:after="0"/>
              <w:rPr>
                <w:sz w:val="11"/>
                <w:szCs w:val="11"/>
                <w:color w:val="auto"/>
              </w:rPr>
            </w:pPr>
          </w:p>
        </w:tc>
        <w:tc>
          <w:tcPr>
            <w:tcW w:w="1080" w:type="dxa"/>
            <w:vAlign w:val="bottom"/>
          </w:tcPr>
          <w:p>
            <w:pPr>
              <w:jc w:val="center"/>
              <w:ind w:right="145"/>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3"/>
        </w:trPr>
        <w:tc>
          <w:tcPr>
            <w:tcW w:w="3920" w:type="dxa"/>
            <w:vAlign w:val="bottom"/>
          </w:tcPr>
          <w:p>
            <w:pPr>
              <w:spacing w:after="0"/>
              <w:rPr>
                <w:sz w:val="8"/>
                <w:szCs w:val="8"/>
                <w:color w:val="auto"/>
              </w:rPr>
            </w:pPr>
          </w:p>
        </w:tc>
        <w:tc>
          <w:tcPr>
            <w:tcW w:w="1280" w:type="dxa"/>
            <w:vAlign w:val="bottom"/>
            <w:gridSpan w:val="2"/>
            <w:vMerge w:val="restart"/>
          </w:tcPr>
          <w:p>
            <w:pPr>
              <w:ind w:left="42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8"/>
                <w:szCs w:val="8"/>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Amount</w:t>
            </w:r>
          </w:p>
        </w:tc>
        <w:tc>
          <w:tcPr>
            <w:tcW w:w="160" w:type="dxa"/>
            <w:vAlign w:val="bottom"/>
          </w:tcPr>
          <w:p>
            <w:pPr>
              <w:spacing w:after="0"/>
              <w:rPr>
                <w:sz w:val="8"/>
                <w:szCs w:val="8"/>
                <w:color w:val="auto"/>
              </w:rPr>
            </w:pPr>
          </w:p>
        </w:tc>
        <w:tc>
          <w:tcPr>
            <w:tcW w:w="94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w w:val="95"/>
              </w:rPr>
              <w:t>Paid-in</w:t>
            </w:r>
          </w:p>
        </w:tc>
        <w:tc>
          <w:tcPr>
            <w:tcW w:w="180" w:type="dxa"/>
            <w:vAlign w:val="bottom"/>
          </w:tcPr>
          <w:p>
            <w:pPr>
              <w:spacing w:after="0"/>
              <w:rPr>
                <w:sz w:val="8"/>
                <w:szCs w:val="8"/>
                <w:color w:val="auto"/>
              </w:rPr>
            </w:pPr>
          </w:p>
        </w:tc>
        <w:tc>
          <w:tcPr>
            <w:tcW w:w="880" w:type="dxa"/>
            <w:vAlign w:val="bottom"/>
            <w:gridSpan w:val="2"/>
          </w:tcPr>
          <w:p>
            <w:pPr>
              <w:ind w:left="100"/>
              <w:spacing w:after="0" w:line="93" w:lineRule="exact"/>
              <w:rPr>
                <w:sz w:val="20"/>
                <w:szCs w:val="20"/>
                <w:color w:val="auto"/>
              </w:rPr>
            </w:pPr>
            <w:r>
              <w:rPr>
                <w:rFonts w:ascii="Arial" w:cs="Arial" w:eastAsia="Arial" w:hAnsi="Arial"/>
                <w:sz w:val="10"/>
                <w:szCs w:val="10"/>
                <w:b w:val="1"/>
                <w:bCs w:val="1"/>
                <w:color w:val="auto"/>
              </w:rPr>
              <w:t>Retained</w:t>
            </w:r>
          </w:p>
        </w:tc>
        <w:tc>
          <w:tcPr>
            <w:tcW w:w="120" w:type="dxa"/>
            <w:vAlign w:val="bottom"/>
          </w:tcPr>
          <w:p>
            <w:pPr>
              <w:spacing w:after="0"/>
              <w:rPr>
                <w:sz w:val="8"/>
                <w:szCs w:val="8"/>
                <w:color w:val="auto"/>
              </w:rPr>
            </w:pPr>
          </w:p>
        </w:tc>
        <w:tc>
          <w:tcPr>
            <w:tcW w:w="1440" w:type="dxa"/>
            <w:vAlign w:val="bottom"/>
            <w:gridSpan w:val="2"/>
          </w:tcPr>
          <w:p>
            <w:pPr>
              <w:jc w:val="center"/>
              <w:ind w:right="220"/>
              <w:spacing w:after="0" w:line="93" w:lineRule="exact"/>
              <w:rPr>
                <w:sz w:val="20"/>
                <w:szCs w:val="20"/>
                <w:color w:val="auto"/>
              </w:rPr>
            </w:pPr>
            <w:r>
              <w:rPr>
                <w:rFonts w:ascii="Arial" w:cs="Arial" w:eastAsia="Arial" w:hAnsi="Arial"/>
                <w:sz w:val="10"/>
                <w:szCs w:val="10"/>
                <w:b w:val="1"/>
                <w:bCs w:val="1"/>
                <w:color w:val="auto"/>
                <w:w w:val="97"/>
              </w:rPr>
              <w:t>Comprehensive Income</w:t>
            </w:r>
          </w:p>
        </w:tc>
        <w:tc>
          <w:tcPr>
            <w:tcW w:w="200" w:type="dxa"/>
            <w:vAlign w:val="bottom"/>
          </w:tcPr>
          <w:p>
            <w:pPr>
              <w:spacing w:after="0"/>
              <w:rPr>
                <w:sz w:val="8"/>
                <w:szCs w:val="8"/>
                <w:color w:val="auto"/>
              </w:rPr>
            </w:pPr>
          </w:p>
        </w:tc>
        <w:tc>
          <w:tcPr>
            <w:tcW w:w="1080" w:type="dxa"/>
            <w:vAlign w:val="bottom"/>
          </w:tcPr>
          <w:p>
            <w:pPr>
              <w:jc w:val="center"/>
              <w:ind w:right="145"/>
              <w:spacing w:after="0" w:line="93" w:lineRule="exact"/>
              <w:rPr>
                <w:sz w:val="20"/>
                <w:szCs w:val="20"/>
                <w:color w:val="auto"/>
              </w:rPr>
            </w:pPr>
            <w:r>
              <w:rPr>
                <w:rFonts w:ascii="Arial" w:cs="Arial" w:eastAsia="Arial" w:hAnsi="Arial"/>
                <w:sz w:val="10"/>
                <w:szCs w:val="10"/>
                <w:b w:val="1"/>
                <w:bCs w:val="1"/>
                <w:color w:val="auto"/>
                <w:w w:val="97"/>
              </w:rPr>
              <w:t>Stockholders'</w:t>
            </w:r>
          </w:p>
        </w:tc>
        <w:tc>
          <w:tcPr>
            <w:tcW w:w="0" w:type="dxa"/>
            <w:vAlign w:val="bottom"/>
          </w:tcPr>
          <w:p>
            <w:pPr>
              <w:spacing w:after="0"/>
              <w:rPr>
                <w:sz w:val="1"/>
                <w:szCs w:val="1"/>
                <w:color w:val="auto"/>
              </w:rPr>
            </w:pPr>
          </w:p>
        </w:tc>
      </w:tr>
      <w:tr>
        <w:trPr>
          <w:trHeight w:val="145"/>
        </w:trPr>
        <w:tc>
          <w:tcPr>
            <w:tcW w:w="3920" w:type="dxa"/>
            <w:vAlign w:val="bottom"/>
          </w:tcPr>
          <w:p>
            <w:pPr>
              <w:ind w:left="20"/>
              <w:spacing w:after="0"/>
              <w:rPr>
                <w:sz w:val="20"/>
                <w:szCs w:val="20"/>
                <w:color w:val="auto"/>
              </w:rPr>
            </w:pPr>
            <w:r>
              <w:rPr>
                <w:rFonts w:ascii="Arial" w:cs="Arial" w:eastAsia="Arial" w:hAnsi="Arial"/>
                <w:sz w:val="8"/>
                <w:szCs w:val="8"/>
                <w:i w:val="1"/>
                <w:iCs w:val="1"/>
                <w:color w:val="auto"/>
              </w:rPr>
              <w:t>(dollars in thousands, except per share data)</w:t>
            </w: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Capital</w:t>
            </w:r>
          </w:p>
        </w:tc>
        <w:tc>
          <w:tcPr>
            <w:tcW w:w="180" w:type="dxa"/>
            <w:vAlign w:val="bottom"/>
          </w:tcPr>
          <w:p>
            <w:pPr>
              <w:spacing w:after="0"/>
              <w:rPr>
                <w:sz w:val="12"/>
                <w:szCs w:val="12"/>
                <w:color w:val="auto"/>
              </w:rPr>
            </w:pPr>
          </w:p>
        </w:tc>
        <w:tc>
          <w:tcPr>
            <w:tcW w:w="880" w:type="dxa"/>
            <w:vAlign w:val="bottom"/>
            <w:gridSpan w:val="2"/>
          </w:tcPr>
          <w:p>
            <w:pPr>
              <w:ind w:left="100"/>
              <w:spacing w:after="0"/>
              <w:rPr>
                <w:sz w:val="20"/>
                <w:szCs w:val="20"/>
                <w:color w:val="auto"/>
              </w:rPr>
            </w:pPr>
            <w:r>
              <w:rPr>
                <w:rFonts w:ascii="Arial" w:cs="Arial" w:eastAsia="Arial" w:hAnsi="Arial"/>
                <w:sz w:val="10"/>
                <w:szCs w:val="10"/>
                <w:b w:val="1"/>
                <w:bCs w:val="1"/>
                <w:color w:val="auto"/>
              </w:rPr>
              <w:t>Earnings</w:t>
            </w:r>
          </w:p>
        </w:tc>
        <w:tc>
          <w:tcPr>
            <w:tcW w:w="120" w:type="dxa"/>
            <w:vAlign w:val="bottom"/>
          </w:tcPr>
          <w:p>
            <w:pPr>
              <w:spacing w:after="0"/>
              <w:rPr>
                <w:sz w:val="12"/>
                <w:szCs w:val="12"/>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9"/>
              </w:rPr>
              <w:t>(Loss)</w:t>
            </w:r>
          </w:p>
        </w:tc>
        <w:tc>
          <w:tcPr>
            <w:tcW w:w="200" w:type="dxa"/>
            <w:vAlign w:val="bottom"/>
          </w:tcPr>
          <w:p>
            <w:pPr>
              <w:spacing w:after="0"/>
              <w:rPr>
                <w:sz w:val="12"/>
                <w:szCs w:val="12"/>
                <w:color w:val="auto"/>
              </w:rPr>
            </w:pPr>
          </w:p>
        </w:tc>
        <w:tc>
          <w:tcPr>
            <w:tcW w:w="1080" w:type="dxa"/>
            <w:vAlign w:val="bottom"/>
          </w:tcPr>
          <w:p>
            <w:pPr>
              <w:jc w:val="center"/>
              <w:ind w:right="145"/>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53"/>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2021</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13,962,334</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140</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54,306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144,533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197,903</w:t>
            </w:r>
          </w:p>
        </w:tc>
        <w:tc>
          <w:tcPr>
            <w:tcW w:w="0" w:type="dxa"/>
            <w:vAlign w:val="bottom"/>
          </w:tcPr>
          <w:p>
            <w:pPr>
              <w:spacing w:after="0"/>
              <w:rPr>
                <w:sz w:val="1"/>
                <w:szCs w:val="1"/>
                <w:color w:val="auto"/>
              </w:rPr>
            </w:pPr>
          </w:p>
        </w:tc>
      </w:tr>
      <w:tr>
        <w:trPr>
          <w:trHeight w:val="150"/>
        </w:trPr>
        <w:tc>
          <w:tcPr>
            <w:tcW w:w="3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41,804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41,804</w:t>
            </w:r>
          </w:p>
        </w:tc>
        <w:tc>
          <w:tcPr>
            <w:tcW w:w="0" w:type="dxa"/>
            <w:vAlign w:val="bottom"/>
          </w:tcPr>
          <w:p>
            <w:pPr>
              <w:spacing w:after="0"/>
              <w:rPr>
                <w:sz w:val="1"/>
                <w:szCs w:val="1"/>
                <w:color w:val="auto"/>
              </w:rPr>
            </w:pPr>
          </w:p>
        </w:tc>
      </w:tr>
      <w:tr>
        <w:trPr>
          <w:trHeight w:val="121"/>
        </w:trPr>
        <w:tc>
          <w:tcPr>
            <w:tcW w:w="3920" w:type="dxa"/>
            <w:vAlign w:val="bottom"/>
          </w:tcPr>
          <w:p>
            <w:pPr>
              <w:ind w:left="20"/>
              <w:spacing w:after="0" w:line="121" w:lineRule="exact"/>
              <w:rPr>
                <w:sz w:val="20"/>
                <w:szCs w:val="20"/>
                <w:color w:val="auto"/>
              </w:rPr>
            </w:pPr>
            <w:r>
              <w:rPr>
                <w:rFonts w:ascii="Arial" w:cs="Arial" w:eastAsia="Arial" w:hAnsi="Arial"/>
                <w:sz w:val="11"/>
                <w:szCs w:val="11"/>
                <w:color w:val="auto"/>
              </w:rPr>
              <w:t>Unrealized loss on investment securities available for sale, net of income</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Arial" w:cs="Arial" w:eastAsia="Arial" w:hAnsi="Arial"/>
                <w:sz w:val="11"/>
                <w:szCs w:val="11"/>
                <w:color w:val="auto"/>
              </w:rPr>
              <w:t>(15,675)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1"/>
                <w:szCs w:val="11"/>
                <w:color w:val="auto"/>
              </w:rPr>
              <w:t>(15,675)</w:t>
            </w:r>
          </w:p>
        </w:tc>
        <w:tc>
          <w:tcPr>
            <w:tcW w:w="0" w:type="dxa"/>
            <w:vAlign w:val="bottom"/>
          </w:tcPr>
          <w:p>
            <w:pPr>
              <w:spacing w:after="0"/>
              <w:rPr>
                <w:sz w:val="1"/>
                <w:szCs w:val="1"/>
                <w:color w:val="auto"/>
              </w:rPr>
            </w:pPr>
          </w:p>
        </w:tc>
      </w:tr>
      <w:tr>
        <w:trPr>
          <w:trHeight w:val="144"/>
        </w:trPr>
        <w:tc>
          <w:tcPr>
            <w:tcW w:w="3920" w:type="dxa"/>
            <w:vAlign w:val="bottom"/>
          </w:tcPr>
          <w:p>
            <w:pPr>
              <w:ind w:left="140"/>
              <w:spacing w:after="0"/>
              <w:rPr>
                <w:sz w:val="20"/>
                <w:szCs w:val="20"/>
                <w:color w:val="auto"/>
              </w:rPr>
            </w:pPr>
            <w:r>
              <w:rPr>
                <w:rFonts w:ascii="Arial" w:cs="Arial" w:eastAsia="Arial" w:hAnsi="Arial"/>
                <w:sz w:val="11"/>
                <w:szCs w:val="11"/>
                <w:color w:val="auto"/>
              </w:rPr>
              <w:t>taxes</w:t>
            </w: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options exercised, net of shares withheld for purchase price</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160,590</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1,999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1,235</w:t>
            </w:r>
          </w:p>
        </w:tc>
        <w:tc>
          <w:tcPr>
            <w:tcW w:w="0" w:type="dxa"/>
            <w:vAlign w:val="bottom"/>
          </w:tcPr>
          <w:p>
            <w:pPr>
              <w:spacing w:after="0"/>
              <w:rPr>
                <w:sz w:val="1"/>
                <w:szCs w:val="1"/>
                <w:color w:val="auto"/>
              </w:rPr>
            </w:pPr>
          </w:p>
        </w:tc>
      </w:tr>
      <w:tr>
        <w:trPr>
          <w:trHeight w:val="156"/>
        </w:trPr>
        <w:tc>
          <w:tcPr>
            <w:tcW w:w="3920" w:type="dxa"/>
            <w:vAlign w:val="bottom"/>
          </w:tcPr>
          <w:p>
            <w:pPr>
              <w:ind w:left="20"/>
              <w:spacing w:after="0"/>
              <w:rPr>
                <w:sz w:val="20"/>
                <w:szCs w:val="20"/>
                <w:color w:val="auto"/>
              </w:rPr>
            </w:pPr>
            <w:r>
              <w:rPr>
                <w:rFonts w:ascii="Arial" w:cs="Arial" w:eastAsia="Arial" w:hAnsi="Arial"/>
                <w:sz w:val="11"/>
                <w:szCs w:val="11"/>
                <w:color w:val="auto"/>
              </w:rPr>
              <w:t>Shares issued as compensation</w:t>
            </w:r>
          </w:p>
        </w:tc>
        <w:tc>
          <w:tcPr>
            <w:tcW w:w="1160" w:type="dxa"/>
            <w:vAlign w:val="bottom"/>
          </w:tcPr>
          <w:p>
            <w:pPr>
              <w:jc w:val="right"/>
              <w:spacing w:after="0"/>
              <w:rPr>
                <w:sz w:val="20"/>
                <w:szCs w:val="20"/>
                <w:color w:val="auto"/>
              </w:rPr>
            </w:pPr>
            <w:r>
              <w:rPr>
                <w:rFonts w:ascii="Arial" w:cs="Arial" w:eastAsia="Arial" w:hAnsi="Arial"/>
                <w:sz w:val="11"/>
                <w:szCs w:val="11"/>
                <w:color w:val="auto"/>
              </w:rPr>
              <w:t>15,905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223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80" w:type="dxa"/>
            <w:vAlign w:val="bottom"/>
          </w:tcPr>
          <w:p>
            <w:pPr>
              <w:jc w:val="right"/>
              <w:ind w:right="5"/>
              <w:spacing w:after="0"/>
              <w:rPr>
                <w:sz w:val="20"/>
                <w:szCs w:val="20"/>
                <w:color w:val="auto"/>
              </w:rPr>
            </w:pPr>
            <w:r>
              <w:rPr>
                <w:rFonts w:ascii="Arial" w:cs="Arial" w:eastAsia="Arial" w:hAnsi="Arial"/>
                <w:sz w:val="11"/>
                <w:szCs w:val="11"/>
                <w:color w:val="auto"/>
              </w:rPr>
              <w:t>171</w:t>
            </w:r>
          </w:p>
        </w:tc>
        <w:tc>
          <w:tcPr>
            <w:tcW w:w="0" w:type="dxa"/>
            <w:vAlign w:val="bottom"/>
          </w:tcPr>
          <w:p>
            <w:pPr>
              <w:spacing w:after="0"/>
              <w:rPr>
                <w:sz w:val="1"/>
                <w:szCs w:val="1"/>
                <w:color w:val="auto"/>
              </w:rPr>
            </w:pPr>
          </w:p>
        </w:tc>
      </w:tr>
      <w:tr>
        <w:trPr>
          <w:trHeight w:val="162"/>
        </w:trPr>
        <w:tc>
          <w:tcPr>
            <w:tcW w:w="3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1,662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1,662</w:t>
            </w:r>
          </w:p>
        </w:tc>
        <w:tc>
          <w:tcPr>
            <w:tcW w:w="0" w:type="dxa"/>
            <w:vAlign w:val="bottom"/>
          </w:tcPr>
          <w:p>
            <w:pPr>
              <w:spacing w:after="0"/>
              <w:rPr>
                <w:sz w:val="1"/>
                <w:szCs w:val="1"/>
                <w:color w:val="auto"/>
              </w:rPr>
            </w:pPr>
          </w:p>
        </w:tc>
      </w:tr>
      <w:tr>
        <w:trPr>
          <w:trHeight w:val="156"/>
        </w:trPr>
        <w:tc>
          <w:tcPr>
            <w:tcW w:w="3920" w:type="dxa"/>
            <w:vAlign w:val="bottom"/>
          </w:tcPr>
          <w:p>
            <w:pPr>
              <w:ind w:left="20"/>
              <w:spacing w:after="0"/>
              <w:rPr>
                <w:sz w:val="20"/>
                <w:szCs w:val="20"/>
                <w:color w:val="auto"/>
              </w:rPr>
            </w:pPr>
            <w:r>
              <w:rPr>
                <w:rFonts w:ascii="Arial" w:cs="Arial" w:eastAsia="Arial" w:hAnsi="Arial"/>
                <w:sz w:val="11"/>
                <w:szCs w:val="11"/>
                <w:color w:val="auto"/>
              </w:rPr>
              <w:t>Cash dividends to stockholders ($0.22 per share)</w:t>
            </w: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(3,085)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(3,085)</w:t>
            </w:r>
          </w:p>
        </w:tc>
        <w:tc>
          <w:tcPr>
            <w:tcW w:w="0" w:type="dxa"/>
            <w:vAlign w:val="bottom"/>
          </w:tcPr>
          <w:p>
            <w:pPr>
              <w:spacing w:after="0"/>
              <w:rPr>
                <w:sz w:val="1"/>
                <w:szCs w:val="1"/>
                <w:color w:val="auto"/>
              </w:rPr>
            </w:pPr>
          </w:p>
        </w:tc>
      </w:tr>
      <w:tr>
        <w:trPr>
          <w:trHeight w:val="153"/>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14,138,829</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58,190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182,435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(16,751)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224,015</w:t>
            </w:r>
          </w:p>
        </w:tc>
        <w:tc>
          <w:tcPr>
            <w:tcW w:w="0" w:type="dxa"/>
            <w:vAlign w:val="bottom"/>
          </w:tcPr>
          <w:p>
            <w:pPr>
              <w:spacing w:after="0"/>
              <w:rPr>
                <w:sz w:val="1"/>
                <w:szCs w:val="1"/>
                <w:color w:val="auto"/>
              </w:rPr>
            </w:pPr>
          </w:p>
        </w:tc>
      </w:tr>
      <w:tr>
        <w:trPr>
          <w:trHeight w:val="150"/>
        </w:trPr>
        <w:tc>
          <w:tcPr>
            <w:tcW w:w="3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Cumulative effect adjustment due to adoption of the CECL standard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56"/>
        </w:trPr>
        <w:tc>
          <w:tcPr>
            <w:tcW w:w="39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35,871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80" w:type="dxa"/>
            <w:vAlign w:val="bottom"/>
          </w:tcPr>
          <w:p>
            <w:pPr>
              <w:jc w:val="right"/>
              <w:ind w:right="5"/>
              <w:spacing w:after="0"/>
              <w:rPr>
                <w:sz w:val="20"/>
                <w:szCs w:val="20"/>
                <w:color w:val="auto"/>
              </w:rPr>
            </w:pPr>
            <w:r>
              <w:rPr>
                <w:rFonts w:ascii="Arial" w:cs="Arial" w:eastAsia="Arial" w:hAnsi="Arial"/>
                <w:sz w:val="11"/>
                <w:szCs w:val="11"/>
                <w:color w:val="auto"/>
              </w:rPr>
              <w:t>35,871</w:t>
            </w:r>
          </w:p>
        </w:tc>
        <w:tc>
          <w:tcPr>
            <w:tcW w:w="0" w:type="dxa"/>
            <w:vAlign w:val="bottom"/>
          </w:tcPr>
          <w:p>
            <w:pPr>
              <w:spacing w:after="0"/>
              <w:rPr>
                <w:sz w:val="1"/>
                <w:szCs w:val="1"/>
                <w:color w:val="auto"/>
              </w:rPr>
            </w:pPr>
          </w:p>
        </w:tc>
      </w:tr>
      <w:tr>
        <w:trPr>
          <w:trHeight w:val="124"/>
        </w:trPr>
        <w:tc>
          <w:tcPr>
            <w:tcW w:w="392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Unrealized gain on investment securities available for sale, net of income</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3,654</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3,654</w:t>
            </w:r>
          </w:p>
        </w:tc>
        <w:tc>
          <w:tcPr>
            <w:tcW w:w="0" w:type="dxa"/>
            <w:vAlign w:val="bottom"/>
          </w:tcPr>
          <w:p>
            <w:pPr>
              <w:spacing w:after="0"/>
              <w:rPr>
                <w:sz w:val="1"/>
                <w:szCs w:val="1"/>
                <w:color w:val="auto"/>
              </w:rPr>
            </w:pPr>
          </w:p>
        </w:tc>
      </w:tr>
      <w:tr>
        <w:trPr>
          <w:trHeight w:val="144"/>
        </w:trPr>
        <w:tc>
          <w:tcPr>
            <w:tcW w:w="39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taxes</w:t>
            </w:r>
          </w:p>
        </w:tc>
        <w:tc>
          <w:tcPr>
            <w:tcW w:w="128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20" w:type="dxa"/>
            <w:vAlign w:val="bottom"/>
          </w:tcPr>
          <w:p>
            <w:pPr>
              <w:ind w:left="20"/>
              <w:spacing w:after="0"/>
              <w:rPr>
                <w:sz w:val="20"/>
                <w:szCs w:val="20"/>
                <w:color w:val="auto"/>
              </w:rPr>
            </w:pPr>
            <w:r>
              <w:rPr>
                <w:rFonts w:ascii="Arial" w:cs="Arial" w:eastAsia="Arial" w:hAnsi="Arial"/>
                <w:sz w:val="11"/>
                <w:szCs w:val="11"/>
                <w:color w:val="auto"/>
              </w:rPr>
              <w:t>Stock options exercised, net of shares withheld for purchase price</w:t>
            </w:r>
          </w:p>
        </w:tc>
        <w:tc>
          <w:tcPr>
            <w:tcW w:w="1160" w:type="dxa"/>
            <w:vAlign w:val="bottom"/>
          </w:tcPr>
          <w:p>
            <w:pPr>
              <w:jc w:val="right"/>
              <w:spacing w:after="0"/>
              <w:rPr>
                <w:sz w:val="20"/>
                <w:szCs w:val="20"/>
                <w:color w:val="auto"/>
              </w:rPr>
            </w:pPr>
            <w:r>
              <w:rPr>
                <w:rFonts w:ascii="Arial" w:cs="Arial" w:eastAsia="Arial" w:hAnsi="Arial"/>
                <w:sz w:val="11"/>
                <w:szCs w:val="11"/>
                <w:color w:val="auto"/>
              </w:rPr>
              <w:t>228,405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2,726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(937)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80" w:type="dxa"/>
            <w:vAlign w:val="bottom"/>
          </w:tcPr>
          <w:p>
            <w:pPr>
              <w:jc w:val="right"/>
              <w:ind w:right="5"/>
              <w:spacing w:after="0"/>
              <w:rPr>
                <w:sz w:val="20"/>
                <w:szCs w:val="20"/>
                <w:color w:val="auto"/>
              </w:rPr>
            </w:pPr>
            <w:r>
              <w:rPr>
                <w:rFonts w:ascii="Arial" w:cs="Arial" w:eastAsia="Arial" w:hAnsi="Arial"/>
                <w:sz w:val="11"/>
                <w:szCs w:val="11"/>
                <w:color w:val="auto"/>
              </w:rPr>
              <w:t>1,791</w:t>
            </w:r>
          </w:p>
        </w:tc>
        <w:tc>
          <w:tcPr>
            <w:tcW w:w="0" w:type="dxa"/>
            <w:vAlign w:val="bottom"/>
          </w:tcPr>
          <w:p>
            <w:pPr>
              <w:spacing w:after="0"/>
              <w:rPr>
                <w:sz w:val="1"/>
                <w:szCs w:val="1"/>
                <w:color w:val="auto"/>
              </w:rPr>
            </w:pPr>
          </w:p>
        </w:tc>
      </w:tr>
      <w:tr>
        <w:trPr>
          <w:trHeight w:val="162"/>
        </w:trPr>
        <w:tc>
          <w:tcPr>
            <w:tcW w:w="3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issued as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30,644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547</w:t>
            </w:r>
          </w:p>
        </w:tc>
        <w:tc>
          <w:tcPr>
            <w:tcW w:w="0" w:type="dxa"/>
            <w:vAlign w:val="bottom"/>
          </w:tcPr>
          <w:p>
            <w:pPr>
              <w:spacing w:after="0"/>
              <w:rPr>
                <w:sz w:val="1"/>
                <w:szCs w:val="1"/>
                <w:color w:val="auto"/>
              </w:rPr>
            </w:pPr>
          </w:p>
        </w:tc>
      </w:tr>
      <w:tr>
        <w:trPr>
          <w:trHeight w:val="156"/>
        </w:trPr>
        <w:tc>
          <w:tcPr>
            <w:tcW w:w="392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1,757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80" w:type="dxa"/>
            <w:vAlign w:val="bottom"/>
          </w:tcPr>
          <w:p>
            <w:pPr>
              <w:jc w:val="right"/>
              <w:ind w:right="5"/>
              <w:spacing w:after="0"/>
              <w:rPr>
                <w:sz w:val="20"/>
                <w:szCs w:val="20"/>
                <w:color w:val="auto"/>
              </w:rPr>
            </w:pPr>
            <w:r>
              <w:rPr>
                <w:rFonts w:ascii="Arial" w:cs="Arial" w:eastAsia="Arial" w:hAnsi="Arial"/>
                <w:sz w:val="11"/>
                <w:szCs w:val="11"/>
                <w:color w:val="auto"/>
              </w:rPr>
              <w:t>1,757</w:t>
            </w:r>
          </w:p>
        </w:tc>
        <w:tc>
          <w:tcPr>
            <w:tcW w:w="0" w:type="dxa"/>
            <w:vAlign w:val="bottom"/>
          </w:tcPr>
          <w:p>
            <w:pPr>
              <w:spacing w:after="0"/>
              <w:rPr>
                <w:sz w:val="1"/>
                <w:szCs w:val="1"/>
                <w:color w:val="auto"/>
              </w:rPr>
            </w:pPr>
          </w:p>
        </w:tc>
      </w:tr>
      <w:tr>
        <w:trPr>
          <w:trHeight w:val="162"/>
        </w:trPr>
        <w:tc>
          <w:tcPr>
            <w:tcW w:w="3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dividends to stockholders ($0.28 per share)</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(3,920)</w:t>
            </w:r>
          </w:p>
        </w:tc>
        <w:tc>
          <w:tcPr>
            <w:tcW w:w="0" w:type="dxa"/>
            <w:vAlign w:val="bottom"/>
          </w:tcPr>
          <w:p>
            <w:pPr>
              <w:spacing w:after="0"/>
              <w:rPr>
                <w:sz w:val="1"/>
                <w:szCs w:val="1"/>
                <w:color w:val="auto"/>
              </w:rPr>
            </w:pPr>
          </w:p>
        </w:tc>
      </w:tr>
      <w:tr>
        <w:trPr>
          <w:trHeight w:val="156"/>
        </w:trPr>
        <w:tc>
          <w:tcPr>
            <w:tcW w:w="3920" w:type="dxa"/>
            <w:vAlign w:val="bottom"/>
          </w:tcPr>
          <w:p>
            <w:pPr>
              <w:ind w:left="20"/>
              <w:spacing w:after="0"/>
              <w:rPr>
                <w:sz w:val="20"/>
                <w:szCs w:val="20"/>
                <w:color w:val="auto"/>
              </w:rPr>
            </w:pPr>
            <w:r>
              <w:rPr>
                <w:rFonts w:ascii="Arial" w:cs="Arial" w:eastAsia="Arial" w:hAnsi="Arial"/>
                <w:sz w:val="11"/>
                <w:szCs w:val="11"/>
                <w:color w:val="auto"/>
              </w:rPr>
              <w:t>Shares repurchased and retired</w:t>
            </w:r>
          </w:p>
        </w:tc>
        <w:tc>
          <w:tcPr>
            <w:tcW w:w="1160" w:type="dxa"/>
            <w:vAlign w:val="bottom"/>
          </w:tcPr>
          <w:p>
            <w:pPr>
              <w:jc w:val="right"/>
              <w:spacing w:after="0"/>
              <w:rPr>
                <w:sz w:val="20"/>
                <w:szCs w:val="20"/>
                <w:color w:val="auto"/>
              </w:rPr>
            </w:pPr>
            <w:r>
              <w:rPr>
                <w:rFonts w:ascii="Arial" w:cs="Arial" w:eastAsia="Arial" w:hAnsi="Arial"/>
                <w:sz w:val="11"/>
                <w:szCs w:val="11"/>
                <w:color w:val="auto"/>
              </w:rPr>
              <w:t>(475,346)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(8,822)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(8,826)</w:t>
            </w:r>
          </w:p>
        </w:tc>
        <w:tc>
          <w:tcPr>
            <w:tcW w:w="0" w:type="dxa"/>
            <w:vAlign w:val="bottom"/>
          </w:tcPr>
          <w:p>
            <w:pPr>
              <w:spacing w:after="0"/>
              <w:rPr>
                <w:sz w:val="1"/>
                <w:szCs w:val="1"/>
                <w:color w:val="auto"/>
              </w:rPr>
            </w:pPr>
          </w:p>
        </w:tc>
      </w:tr>
      <w:tr>
        <w:trPr>
          <w:trHeight w:val="17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2023</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13,922,532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54,473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213,345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(13,097)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254,860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210820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149225</wp:posOffset>
            </wp:positionV>
            <wp:extent cx="7161530" cy="13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12" w:lineRule="auto"/>
        <w:rPr>
          <w:sz w:val="20"/>
          <w:szCs w:val="20"/>
          <w:color w:val="auto"/>
        </w:rPr>
      </w:pPr>
      <w:r>
        <w:rPr>
          <w:rFonts w:ascii="Arial" w:cs="Arial" w:eastAsia="Arial" w:hAnsi="Arial"/>
          <w:sz w:val="14"/>
          <w:szCs w:val="14"/>
          <w:b w:val="1"/>
          <w:bCs w:val="1"/>
          <w:i w:val="1"/>
          <w:iCs w:val="1"/>
          <w:color w:val="auto"/>
        </w:rPr>
        <w:t>Consolidated Statements of Cash Flows</w:t>
      </w:r>
    </w:p>
    <w:p>
      <w:pPr>
        <w:spacing w:after="0"/>
        <w:rPr>
          <w:sz w:val="20"/>
          <w:szCs w:val="20"/>
          <w:color w:val="auto"/>
        </w:rPr>
      </w:pPr>
      <w:r>
        <w:rPr>
          <w:rFonts w:ascii="Arial" w:cs="Arial" w:eastAsia="Arial" w:hAnsi="Arial"/>
          <w:sz w:val="11"/>
          <w:szCs w:val="11"/>
          <w:b w:val="1"/>
          <w:bCs w:val="1"/>
          <w:i w:val="1"/>
          <w:iCs w:val="1"/>
          <w:color w:val="auto"/>
        </w:rPr>
        <w:t>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wp:posOffset>
            </wp:positionV>
            <wp:extent cx="7161530" cy="13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70"/>
        </w:trPr>
        <w:tc>
          <w:tcPr>
            <w:tcW w:w="736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2022</w:t>
            </w:r>
          </w:p>
        </w:tc>
      </w:tr>
      <w:tr>
        <w:trPr>
          <w:trHeight w:val="150"/>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7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w:t>
            </w: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35,871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41,804</w:t>
            </w:r>
          </w:p>
        </w:tc>
      </w:tr>
      <w:tr>
        <w:trPr>
          <w:trHeight w:val="169"/>
        </w:trPr>
        <w:tc>
          <w:tcPr>
            <w:tcW w:w="7360" w:type="dxa"/>
            <w:vAlign w:val="bottom"/>
          </w:tcPr>
          <w:p>
            <w:pPr>
              <w:ind w:left="1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Provision for credit losses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9,610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6,631</w:t>
            </w:r>
          </w:p>
        </w:tc>
      </w:tr>
      <w:tr>
        <w:trPr>
          <w:trHeight w:val="170"/>
        </w:trPr>
        <w:tc>
          <w:tcPr>
            <w:tcW w:w="7360" w:type="dxa"/>
            <w:vAlign w:val="bottom"/>
          </w:tcPr>
          <w:p>
            <w:pPr>
              <w:ind w:left="180"/>
              <w:spacing w:after="0"/>
              <w:rPr>
                <w:sz w:val="20"/>
                <w:szCs w:val="20"/>
                <w:color w:val="auto"/>
              </w:rPr>
            </w:pPr>
            <w:r>
              <w:rPr>
                <w:rFonts w:ascii="Arial" w:cs="Arial" w:eastAsia="Arial" w:hAnsi="Arial"/>
                <w:sz w:val="13"/>
                <w:szCs w:val="13"/>
                <w:color w:val="auto"/>
              </w:rPr>
              <w:t>Release of credit losses on unfunded commitments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(101)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(Release of) provision for mortgage put-back reserve, net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70"/>
        </w:trPr>
        <w:tc>
          <w:tcPr>
            <w:tcW w:w="7360" w:type="dxa"/>
            <w:vAlign w:val="bottom"/>
          </w:tcPr>
          <w:p>
            <w:pPr>
              <w:ind w:left="180"/>
              <w:spacing w:after="0"/>
              <w:rPr>
                <w:sz w:val="20"/>
                <w:szCs w:val="20"/>
                <w:color w:val="auto"/>
              </w:rPr>
            </w:pPr>
            <w:r>
              <w:rPr>
                <w:rFonts w:ascii="Arial" w:cs="Arial" w:eastAsia="Arial" w:hAnsi="Arial"/>
                <w:sz w:val="13"/>
                <w:szCs w:val="13"/>
                <w:color w:val="auto"/>
              </w:rPr>
              <w:t>Net amortization on investments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540</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Premises and equipment depreciation</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r>
      <w:tr>
        <w:trPr>
          <w:trHeight w:val="170"/>
        </w:trPr>
        <w:tc>
          <w:tcPr>
            <w:tcW w:w="7360" w:type="dxa"/>
            <w:vAlign w:val="bottom"/>
          </w:tcPr>
          <w:p>
            <w:pPr>
              <w:ind w:left="180"/>
              <w:spacing w:after="0"/>
              <w:rPr>
                <w:sz w:val="20"/>
                <w:szCs w:val="20"/>
                <w:color w:val="auto"/>
              </w:rPr>
            </w:pPr>
            <w:r>
              <w:rPr>
                <w:rFonts w:ascii="Arial" w:cs="Arial" w:eastAsia="Arial" w:hAnsi="Arial"/>
                <w:sz w:val="13"/>
                <w:szCs w:val="13"/>
                <w:color w:val="auto"/>
              </w:rPr>
              <w:t>Lease asset amortization</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149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1,068</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Increase in cash surrender value of BOLI</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(1,187)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w:t>
            </w:r>
          </w:p>
        </w:tc>
      </w:tr>
      <w:tr>
        <w:trPr>
          <w:trHeight w:val="170"/>
        </w:trPr>
        <w:tc>
          <w:tcPr>
            <w:tcW w:w="7360" w:type="dxa"/>
            <w:vAlign w:val="bottom"/>
          </w:tcPr>
          <w:p>
            <w:pPr>
              <w:ind w:left="180"/>
              <w:spacing w:after="0"/>
              <w:rPr>
                <w:sz w:val="20"/>
                <w:szCs w:val="20"/>
                <w:color w:val="auto"/>
              </w:rPr>
            </w:pPr>
            <w:r>
              <w:rPr>
                <w:rFonts w:ascii="Arial" w:cs="Arial" w:eastAsia="Arial" w:hAnsi="Arial"/>
                <w:sz w:val="13"/>
                <w:szCs w:val="13"/>
                <w:color w:val="auto"/>
              </w:rPr>
              <w:t>Executive long-term incentive plan expense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148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582</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1,757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1,662</w:t>
            </w:r>
          </w:p>
        </w:tc>
      </w:tr>
      <w:tr>
        <w:trPr>
          <w:trHeight w:val="170"/>
        </w:trPr>
        <w:tc>
          <w:tcPr>
            <w:tcW w:w="7360" w:type="dxa"/>
            <w:vAlign w:val="bottom"/>
          </w:tcPr>
          <w:p>
            <w:pPr>
              <w:ind w:left="180"/>
              <w:spacing w:after="0"/>
              <w:rPr>
                <w:sz w:val="20"/>
                <w:szCs w:val="20"/>
                <w:color w:val="auto"/>
              </w:rPr>
            </w:pPr>
            <w:r>
              <w:rPr>
                <w:rFonts w:ascii="Arial" w:cs="Arial" w:eastAsia="Arial" w:hAnsi="Arial"/>
                <w:sz w:val="13"/>
                <w:szCs w:val="13"/>
                <w:color w:val="auto"/>
              </w:rPr>
              <w:t>Director and employee compensation paid in Company stock</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547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171</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income tax expense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1,240</w:t>
            </w:r>
          </w:p>
        </w:tc>
      </w:tr>
      <w:tr>
        <w:trPr>
          <w:trHeight w:val="170"/>
        </w:trPr>
        <w:tc>
          <w:tcPr>
            <w:tcW w:w="7360" w:type="dxa"/>
            <w:vAlign w:val="bottom"/>
          </w:tcPr>
          <w:p>
            <w:pPr>
              <w:ind w:left="180"/>
              <w:spacing w:after="0"/>
              <w:rPr>
                <w:sz w:val="20"/>
                <w:szCs w:val="20"/>
                <w:color w:val="auto"/>
              </w:rPr>
            </w:pPr>
            <w:r>
              <w:rPr>
                <w:rFonts w:ascii="Arial" w:cs="Arial" w:eastAsia="Arial" w:hAnsi="Arial"/>
                <w:sz w:val="13"/>
                <w:szCs w:val="13"/>
                <w:color w:val="auto"/>
              </w:rPr>
              <w:t>Valuation allowance on derivatives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Gain on sale of foreclosed real estate</w:t>
            </w: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70"/>
        </w:trPr>
        <w:tc>
          <w:tcPr>
            <w:tcW w:w="7360" w:type="dxa"/>
            <w:vAlign w:val="bottom"/>
          </w:tcPr>
          <w:p>
            <w:pPr>
              <w:ind w:left="180"/>
              <w:spacing w:after="0"/>
              <w:rPr>
                <w:sz w:val="20"/>
                <w:szCs w:val="20"/>
                <w:color w:val="auto"/>
              </w:rPr>
            </w:pPr>
            <w:r>
              <w:rPr>
                <w:rFonts w:ascii="Arial" w:cs="Arial" w:eastAsia="Arial" w:hAnsi="Arial"/>
                <w:sz w:val="13"/>
                <w:szCs w:val="13"/>
                <w:color w:val="auto"/>
              </w:rPr>
              <w:t>Loss on disposal of premises and equipment</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Decrease in valuation of loans held for sale carried at fair value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360" w:type="dxa"/>
            <w:vAlign w:val="bottom"/>
          </w:tcPr>
          <w:p>
            <w:pPr>
              <w:ind w:left="180"/>
              <w:spacing w:after="0"/>
              <w:rPr>
                <w:sz w:val="20"/>
                <w:szCs w:val="20"/>
                <w:color w:val="auto"/>
              </w:rPr>
            </w:pPr>
            <w:r>
              <w:rPr>
                <w:rFonts w:ascii="Arial" w:cs="Arial" w:eastAsia="Arial" w:hAnsi="Arial"/>
                <w:sz w:val="13"/>
                <w:szCs w:val="13"/>
                <w:color w:val="auto"/>
              </w:rPr>
              <w:t>Proceeds from sales of loans held for sale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176,373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308,549</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Originations of loans held for sale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(176,444)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(299,976)</w:t>
            </w:r>
          </w:p>
        </w:tc>
      </w:tr>
      <w:tr>
        <w:trPr>
          <w:trHeight w:val="169"/>
        </w:trPr>
        <w:tc>
          <w:tcPr>
            <w:tcW w:w="7360" w:type="dxa"/>
            <w:vAlign w:val="bottom"/>
          </w:tcPr>
          <w:p>
            <w:pPr>
              <w:ind w:left="180"/>
              <w:spacing w:after="0"/>
              <w:rPr>
                <w:sz w:val="20"/>
                <w:szCs w:val="20"/>
                <w:color w:val="auto"/>
              </w:rPr>
            </w:pPr>
            <w:r>
              <w:rPr>
                <w:rFonts w:ascii="Arial" w:cs="Arial" w:eastAsia="Arial" w:hAnsi="Arial"/>
                <w:sz w:val="13"/>
                <w:szCs w:val="13"/>
                <w:color w:val="auto"/>
              </w:rPr>
              <w:t>Changes in assets and liabilities: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7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Accrued interest receivable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(2,005)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(1,588)</w:t>
            </w:r>
          </w:p>
        </w:tc>
      </w:tr>
      <w:tr>
        <w:trPr>
          <w:trHeight w:val="180"/>
        </w:trPr>
        <w:tc>
          <w:tcPr>
            <w:tcW w:w="7360" w:type="dxa"/>
            <w:vAlign w:val="bottom"/>
          </w:tcPr>
          <w:p>
            <w:pPr>
              <w:ind w:left="280"/>
              <w:spacing w:after="0"/>
              <w:rPr>
                <w:sz w:val="20"/>
                <w:szCs w:val="20"/>
                <w:color w:val="auto"/>
              </w:rPr>
            </w:pPr>
            <w:r>
              <w:rPr>
                <w:rFonts w:ascii="Arial" w:cs="Arial" w:eastAsia="Arial" w:hAnsi="Arial"/>
                <w:sz w:val="13"/>
                <w:szCs w:val="13"/>
                <w:color w:val="auto"/>
              </w:rPr>
              <w:t>Taxes payable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179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(282)</w:t>
            </w:r>
          </w:p>
        </w:tc>
      </w:tr>
      <w:tr>
        <w:trPr>
          <w:trHeight w:val="170"/>
        </w:trPr>
        <w:tc>
          <w:tcPr>
            <w:tcW w:w="7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assets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(2,448)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(4,382)</w:t>
            </w:r>
          </w:p>
        </w:tc>
      </w:tr>
      <w:tr>
        <w:trPr>
          <w:trHeight w:val="170"/>
        </w:trPr>
        <w:tc>
          <w:tcPr>
            <w:tcW w:w="7360" w:type="dxa"/>
            <w:vAlign w:val="bottom"/>
          </w:tcPr>
          <w:p>
            <w:pPr>
              <w:ind w:left="280"/>
              <w:spacing w:after="0"/>
              <w:rPr>
                <w:sz w:val="20"/>
                <w:szCs w:val="20"/>
                <w:color w:val="auto"/>
              </w:rPr>
            </w:pPr>
            <w:r>
              <w:rPr>
                <w:rFonts w:ascii="Arial" w:cs="Arial" w:eastAsia="Arial" w:hAnsi="Arial"/>
                <w:sz w:val="13"/>
                <w:szCs w:val="13"/>
                <w:color w:val="auto"/>
              </w:rPr>
              <w:t>Accrued interest payable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4,552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558</w:t>
            </w:r>
          </w:p>
        </w:tc>
      </w:tr>
      <w:tr>
        <w:trPr>
          <w:trHeight w:val="170"/>
        </w:trPr>
        <w:tc>
          <w:tcPr>
            <w:tcW w:w="7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liabilities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(4,491)</w:t>
            </w:r>
          </w:p>
        </w:tc>
      </w:tr>
      <w:tr>
        <w:trPr>
          <w:trHeight w:val="164"/>
        </w:trPr>
        <w:tc>
          <w:tcPr>
            <w:tcW w:w="7360" w:type="dxa"/>
            <w:vAlign w:val="bottom"/>
          </w:tcPr>
          <w:p>
            <w:pPr>
              <w:ind w:left="380"/>
              <w:spacing w:after="0"/>
              <w:rPr>
                <w:sz w:val="20"/>
                <w:szCs w:val="20"/>
                <w:color w:val="auto"/>
              </w:rPr>
            </w:pPr>
            <w:r>
              <w:rPr>
                <w:rFonts w:ascii="Arial" w:cs="Arial" w:eastAsia="Arial" w:hAnsi="Arial"/>
                <w:sz w:val="13"/>
                <w:szCs w:val="13"/>
                <w:color w:val="auto"/>
              </w:rPr>
              <w:t>Net cash provided by operating activities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47,418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51,390</w:t>
            </w: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45"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204470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80"/>
          </w:cols>
          <w:pgMar w:left="320" w:top="240" w:right="79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149225</wp:posOffset>
            </wp:positionV>
            <wp:extent cx="7161530" cy="13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12" w:lineRule="auto"/>
        <w:rPr>
          <w:sz w:val="20"/>
          <w:szCs w:val="20"/>
          <w:color w:val="auto"/>
        </w:rPr>
      </w:pPr>
      <w:r>
        <w:rPr>
          <w:rFonts w:ascii="Arial" w:cs="Arial" w:eastAsia="Arial" w:hAnsi="Arial"/>
          <w:sz w:val="14"/>
          <w:szCs w:val="14"/>
          <w:b w:val="1"/>
          <w:bCs w:val="1"/>
          <w:i w:val="1"/>
          <w:iCs w:val="1"/>
          <w:color w:val="auto"/>
        </w:rPr>
        <w:t>Consolidated Statements of Cash Flows</w:t>
      </w:r>
    </w:p>
    <w:p>
      <w:pPr>
        <w:spacing w:after="0"/>
        <w:rPr>
          <w:sz w:val="20"/>
          <w:szCs w:val="20"/>
          <w:color w:val="auto"/>
        </w:rPr>
      </w:pPr>
      <w:r>
        <w:rPr>
          <w:rFonts w:ascii="Arial" w:cs="Arial" w:eastAsia="Arial" w:hAnsi="Arial"/>
          <w:sz w:val="11"/>
          <w:szCs w:val="11"/>
          <w:b w:val="1"/>
          <w:bCs w:val="1"/>
          <w:i w:val="1"/>
          <w:iCs w:val="1"/>
          <w:color w:val="auto"/>
        </w:rPr>
        <w:t>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wp:posOffset>
            </wp:positionV>
            <wp:extent cx="7161530" cy="13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7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2022</w:t>
            </w:r>
          </w:p>
        </w:tc>
      </w:tr>
      <w:tr>
        <w:trPr>
          <w:trHeight w:val="150"/>
        </w:trPr>
        <w:tc>
          <w:tcPr>
            <w:tcW w:w="7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7360" w:type="dxa"/>
            <w:vAlign w:val="bottom"/>
          </w:tcPr>
          <w:p>
            <w:pPr>
              <w:ind w:left="120"/>
              <w:spacing w:after="0"/>
              <w:rPr>
                <w:sz w:val="20"/>
                <w:szCs w:val="20"/>
                <w:color w:val="auto"/>
              </w:rPr>
            </w:pPr>
            <w:r>
              <w:rPr>
                <w:rFonts w:ascii="Arial" w:cs="Arial" w:eastAsia="Arial" w:hAnsi="Arial"/>
                <w:sz w:val="13"/>
                <w:szCs w:val="13"/>
                <w:color w:val="auto"/>
              </w:rPr>
              <w:t>Purchases of securities available for sale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(6,960)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(113,078)</w:t>
            </w:r>
          </w:p>
        </w:tc>
      </w:tr>
      <w:tr>
        <w:trPr>
          <w:trHeight w:val="170"/>
        </w:trPr>
        <w:tc>
          <w:tcPr>
            <w:tcW w:w="7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calls and maturities of securities available for sale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55,991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23,846</w:t>
            </w:r>
          </w:p>
        </w:tc>
      </w:tr>
      <w:tr>
        <w:trPr>
          <w:trHeight w:val="170"/>
        </w:trPr>
        <w:tc>
          <w:tcPr>
            <w:tcW w:w="7360" w:type="dxa"/>
            <w:vAlign w:val="bottom"/>
          </w:tcPr>
          <w:p>
            <w:pPr>
              <w:ind w:left="120"/>
              <w:spacing w:after="0"/>
              <w:rPr>
                <w:sz w:val="20"/>
                <w:szCs w:val="20"/>
                <w:color w:val="auto"/>
              </w:rPr>
            </w:pPr>
            <w:r>
              <w:rPr>
                <w:rFonts w:ascii="Arial" w:cs="Arial" w:eastAsia="Arial" w:hAnsi="Arial"/>
                <w:sz w:val="13"/>
                <w:szCs w:val="13"/>
                <w:color w:val="auto"/>
              </w:rPr>
              <w:t>Net sales (purchases) of restricted investments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3,009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(3,864)</w:t>
            </w:r>
          </w:p>
        </w:tc>
      </w:tr>
      <w:tr>
        <w:trPr>
          <w:trHeight w:val="170"/>
        </w:trPr>
        <w:tc>
          <w:tcPr>
            <w:tcW w:w="7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decrease in SBA-PPP loans receivable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1,518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106,122</w:t>
            </w:r>
          </w:p>
        </w:tc>
      </w:tr>
      <w:tr>
        <w:trPr>
          <w:trHeight w:val="170"/>
        </w:trPr>
        <w:tc>
          <w:tcPr>
            <w:tcW w:w="7360" w:type="dxa"/>
            <w:vAlign w:val="bottom"/>
          </w:tcPr>
          <w:p>
            <w:pPr>
              <w:ind w:left="120"/>
              <w:spacing w:after="0"/>
              <w:rPr>
                <w:sz w:val="20"/>
                <w:szCs w:val="20"/>
                <w:color w:val="auto"/>
              </w:rPr>
            </w:pPr>
            <w:r>
              <w:rPr>
                <w:rFonts w:ascii="Arial" w:cs="Arial" w:eastAsia="Arial" w:hAnsi="Arial"/>
                <w:sz w:val="13"/>
                <w:szCs w:val="13"/>
                <w:color w:val="auto"/>
              </w:rPr>
              <w:t>Net increase in portfolio loans receivable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(182,240)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(210,037)</w:t>
            </w:r>
          </w:p>
        </w:tc>
      </w:tr>
      <w:tr>
        <w:trPr>
          <w:trHeight w:val="170"/>
        </w:trPr>
        <w:tc>
          <w:tcPr>
            <w:tcW w:w="7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purchases of premises and equipment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(2,156)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w:t>
            </w:r>
          </w:p>
        </w:tc>
      </w:tr>
      <w:tr>
        <w:trPr>
          <w:trHeight w:val="170"/>
        </w:trPr>
        <w:tc>
          <w:tcPr>
            <w:tcW w:w="7360" w:type="dxa"/>
            <w:vAlign w:val="bottom"/>
          </w:tcPr>
          <w:p>
            <w:pPr>
              <w:ind w:left="120"/>
              <w:spacing w:after="0"/>
              <w:rPr>
                <w:sz w:val="20"/>
                <w:szCs w:val="20"/>
                <w:color w:val="auto"/>
              </w:rPr>
            </w:pPr>
            <w:r>
              <w:rPr>
                <w:rFonts w:ascii="Arial" w:cs="Arial" w:eastAsia="Arial" w:hAnsi="Arial"/>
                <w:sz w:val="13"/>
                <w:szCs w:val="13"/>
                <w:color w:val="auto"/>
              </w:rPr>
              <w:t>Proceeds from sales of foreclosed real estate</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106</w:t>
            </w:r>
          </w:p>
        </w:tc>
      </w:tr>
      <w:tr>
        <w:trPr>
          <w:trHeight w:val="160"/>
        </w:trPr>
        <w:tc>
          <w:tcPr>
            <w:tcW w:w="73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(130,838)</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(198,455)</w:t>
            </w:r>
          </w:p>
        </w:tc>
      </w:tr>
      <w:tr>
        <w:trPr>
          <w:trHeight w:val="150"/>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7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increase (decrease) in:</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7360" w:type="dxa"/>
            <w:vAlign w:val="bottom"/>
          </w:tcPr>
          <w:p>
            <w:pPr>
              <w:ind w:left="180"/>
              <w:spacing w:after="0"/>
              <w:rPr>
                <w:sz w:val="20"/>
                <w:szCs w:val="20"/>
                <w:color w:val="auto"/>
              </w:rPr>
            </w:pPr>
            <w:r>
              <w:rPr>
                <w:rFonts w:ascii="Arial" w:cs="Arial" w:eastAsia="Arial" w:hAnsi="Arial"/>
                <w:sz w:val="13"/>
                <w:szCs w:val="13"/>
                <w:color w:val="auto"/>
              </w:rPr>
              <w:t>Noninterest-bearing deposits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(56,940)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(113,337)</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Interest-bearing deposits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194,864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74,272</w:t>
            </w:r>
          </w:p>
        </w:tc>
      </w:tr>
      <w:tr>
        <w:trPr>
          <w:trHeight w:val="170"/>
        </w:trPr>
        <w:tc>
          <w:tcPr>
            <w:tcW w:w="7360" w:type="dxa"/>
            <w:vAlign w:val="bottom"/>
          </w:tcPr>
          <w:p>
            <w:pPr>
              <w:ind w:left="180"/>
              <w:spacing w:after="0"/>
              <w:rPr>
                <w:sz w:val="20"/>
                <w:szCs w:val="20"/>
                <w:color w:val="auto"/>
              </w:rPr>
            </w:pPr>
            <w:r>
              <w:rPr>
                <w:rFonts w:ascii="Arial" w:cs="Arial" w:eastAsia="Arial" w:hAnsi="Arial"/>
                <w:sz w:val="13"/>
                <w:szCs w:val="13"/>
                <w:color w:val="auto"/>
              </w:rPr>
              <w:t>Federal Home Loan Bank (repayments) advances, net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(85,000)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85,000</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borrowed funds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15,000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360" w:type="dxa"/>
            <w:vAlign w:val="bottom"/>
          </w:tcPr>
          <w:p>
            <w:pPr>
              <w:ind w:left="180"/>
              <w:spacing w:after="0"/>
              <w:rPr>
                <w:sz w:val="20"/>
                <w:szCs w:val="20"/>
                <w:color w:val="auto"/>
              </w:rPr>
            </w:pPr>
            <w:r>
              <w:rPr>
                <w:rFonts w:ascii="Arial" w:cs="Arial" w:eastAsia="Arial" w:hAnsi="Arial"/>
                <w:sz w:val="13"/>
                <w:szCs w:val="13"/>
                <w:color w:val="auto"/>
              </w:rPr>
              <w:t>Dividends paid</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(3,920)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(3,085)</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Repurchase of common stock</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(8,826)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3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proceeds from exercise of stock options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1,791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1,235</w:t>
            </w:r>
          </w:p>
        </w:tc>
      </w:tr>
      <w:tr>
        <w:trPr>
          <w:trHeight w:val="160"/>
        </w:trPr>
        <w:tc>
          <w:tcPr>
            <w:tcW w:w="73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cash provided by financing activities</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56,969</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44,085</w:t>
            </w:r>
          </w:p>
        </w:tc>
      </w:tr>
      <w:tr>
        <w:trPr>
          <w:trHeight w:val="192"/>
        </w:trPr>
        <w:tc>
          <w:tcPr>
            <w:tcW w:w="7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70"/>
        </w:trPr>
        <w:tc>
          <w:tcPr>
            <w:tcW w:w="7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decrease in cash and cash equivalents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(26,451)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(102,980)</w:t>
            </w:r>
          </w:p>
        </w:tc>
      </w:tr>
      <w:tr>
        <w:trPr>
          <w:trHeight w:val="212"/>
        </w:trPr>
        <w:tc>
          <w:tcPr>
            <w:tcW w:w="7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0"/>
        </w:trPr>
        <w:tc>
          <w:tcPr>
            <w:tcW w:w="7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beginning of year</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80,415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183,395</w:t>
            </w:r>
          </w:p>
        </w:tc>
      </w:tr>
      <w:tr>
        <w:trPr>
          <w:trHeight w:val="192"/>
        </w:trPr>
        <w:tc>
          <w:tcPr>
            <w:tcW w:w="7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5"/>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end of year</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53,964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80,415</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7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Noncash investing and financing activities: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49"/>
        </w:trPr>
        <w:tc>
          <w:tcPr>
            <w:tcW w:w="7360" w:type="dxa"/>
            <w:vAlign w:val="bottom"/>
          </w:tcPr>
          <w:p>
            <w:pPr>
              <w:ind w:left="120"/>
              <w:spacing w:after="0"/>
              <w:rPr>
                <w:sz w:val="20"/>
                <w:szCs w:val="20"/>
                <w:color w:val="auto"/>
              </w:rPr>
            </w:pPr>
            <w:r>
              <w:rPr>
                <w:rFonts w:ascii="Arial" w:cs="Arial" w:eastAsia="Arial" w:hAnsi="Arial"/>
                <w:sz w:val="13"/>
                <w:szCs w:val="13"/>
                <w:color w:val="auto"/>
              </w:rPr>
              <w:t>Change in unrealized gains (losses) on investments</w:t>
            </w: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5,066</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(20,912)</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3"/>
        </w:trPr>
        <w:tc>
          <w:tcPr>
            <w:tcW w:w="7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Cash paid during the period for:</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5"/>
        </w:trPr>
        <w:tc>
          <w:tcPr>
            <w:tcW w:w="7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Taxes</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7,704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11,730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7360" w:type="dxa"/>
            <w:vAlign w:val="bottom"/>
          </w:tcPr>
          <w:p>
            <w:pPr>
              <w:ind w:left="120"/>
              <w:spacing w:after="0" w:line="133" w:lineRule="exact"/>
              <w:rPr>
                <w:sz w:val="20"/>
                <w:szCs w:val="20"/>
                <w:color w:val="auto"/>
              </w:rPr>
            </w:pPr>
            <w:r>
              <w:rPr>
                <w:rFonts w:ascii="Arial" w:cs="Arial" w:eastAsia="Arial" w:hAnsi="Arial"/>
                <w:sz w:val="13"/>
                <w:szCs w:val="13"/>
                <w:color w:val="auto"/>
              </w:rPr>
              <w:t>Interest</w:t>
            </w:r>
          </w:p>
        </w:tc>
        <w:tc>
          <w:tcPr>
            <w:tcW w:w="340" w:type="dxa"/>
            <w:vAlign w:val="bottom"/>
            <w:tcBorders>
              <w:bottom w:val="single" w:sz="8" w:color="auto"/>
            </w:tcBorders>
          </w:tcPr>
          <w:p>
            <w:pPr>
              <w:jc w:val="right"/>
              <w:ind w:right="176"/>
              <w:spacing w:after="0" w:line="133" w:lineRule="exact"/>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37,128</w:t>
            </w:r>
          </w:p>
        </w:tc>
        <w:tc>
          <w:tcPr>
            <w:tcW w:w="100" w:type="dxa"/>
            <w:vAlign w:val="bottom"/>
          </w:tcPr>
          <w:p>
            <w:pPr>
              <w:spacing w:after="0"/>
              <w:rPr>
                <w:sz w:val="11"/>
                <w:szCs w:val="11"/>
                <w:color w:val="auto"/>
              </w:rPr>
            </w:pPr>
          </w:p>
        </w:tc>
        <w:tc>
          <w:tcPr>
            <w:tcW w:w="320" w:type="dxa"/>
            <w:vAlign w:val="bottom"/>
            <w:tcBorders>
              <w:bottom w:val="single" w:sz="8" w:color="auto"/>
            </w:tcBorders>
          </w:tcPr>
          <w:p>
            <w:pPr>
              <w:jc w:val="right"/>
              <w:ind w:right="176"/>
              <w:spacing w:after="0" w:line="133" w:lineRule="exact"/>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9,481</w:t>
            </w:r>
          </w:p>
        </w:tc>
      </w:tr>
      <w:tr>
        <w:trPr>
          <w:trHeight w:val="20"/>
        </w:trPr>
        <w:tc>
          <w:tcPr>
            <w:tcW w:w="7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45"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204470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80"/>
          </w:cols>
          <w:pgMar w:left="320" w:top="240" w:right="799" w:bottom="1440" w:gutter="0" w:footer="0" w:header="0"/>
        </w:sectPr>
      </w:pPr>
    </w:p>
    <w:bookmarkStart w:id="80" w:name="page81"/>
    <w:bookmarkEnd w:id="80"/>
    <w:p>
      <w:pPr>
        <w:ind w:lef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102235</wp:posOffset>
            </wp:positionV>
            <wp:extent cx="6925945" cy="133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5945" cy="13335"/>
                    </a:xfrm>
                    <a:prstGeom prst="rect">
                      <a:avLst/>
                    </a:prstGeom>
                    <a:noFill/>
                  </pic:spPr>
                </pic:pic>
              </a:graphicData>
            </a:graphic>
          </wp:anchor>
        </w:drawing>
        <w:t>Capital Bancorp, Inc. and Subsidiaries</w:t>
      </w:r>
    </w:p>
    <w:p>
      <w:pPr>
        <w:ind w:left="2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6925945" cy="13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5945"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Nature of Business and Basis of Presentation</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Nature of operations:</w:t>
      </w:r>
    </w:p>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Capital Bancorp, Inc. is a Maryland corporation and bank holding company (the “Company”) for Capital Bank, N.A. (the “Bank”). The Company's primary operations are conducted by the Bank, which operates branches in Rockville and Columbia, Maryland; Reston, Virginia; and the District of Columbia. The Bank is principally engaged in the business of investing in commercial, real estate, and credit card loans and attracting deposits. The Company originates residential mortgages for sale in the secondary market through Capital Bank Home Loans (“CBHL”), the Bank’s residential mortgage banking arm, and issues credit cards through OpenSky</w:t>
      </w:r>
      <w:r>
        <w:rPr>
          <w:rFonts w:ascii="Arial" w:cs="Arial" w:eastAsia="Arial" w:hAnsi="Arial"/>
          <w:sz w:val="18"/>
          <w:szCs w:val="18"/>
          <w:color w:val="auto"/>
          <w:vertAlign w:val="superscript"/>
        </w:rPr>
        <w:t>™</w:t>
      </w:r>
      <w:r>
        <w:rPr>
          <w:rFonts w:ascii="Arial" w:cs="Arial" w:eastAsia="Arial" w:hAnsi="Arial"/>
          <w:sz w:val="14"/>
          <w:szCs w:val="14"/>
          <w:color w:val="auto"/>
        </w:rPr>
        <w:t>, a digitally-driven, nationwide credit card platform providing secured, partially secured, and unsecured credit solutions.</w:t>
      </w:r>
    </w:p>
    <w:p>
      <w:pPr>
        <w:spacing w:after="0" w:line="15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formed Church Street Capital, LLC (“Church Street Capital”) in 2014 to provide short-term secured real estate financing to Washington, D.C. area investors and developers that may not meet all Bank credit criteria. At December 31, 2023, Church Street Capital had loans totaling $7.9 million with a collectively assessed allowance for credit losses (“ACL”) of $184 thousand. Refer to Note 5 - Portfolio Loans Receivable to the Consolidated Financial Statements for further discussion of the consolidated ACL.</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addition, the Company owns all of the stock of Capital Bancorp (MD) Statutory Trust I (the “Trust”). The Trust is a special purpose non-consolidated entity organized for the sole purpose of issuing trust preferred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Basis of presentation:</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accompanying consolidated financial statements include the activity of the Company and its wholly-owned subsidiaries, the Bank and Church Street Capital. All intercompany transactions have been eliminated in consolidation. The Company reports its activities as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Significant accounting policies:</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preparation of consolidated financial statements in accordance with GAAP requires estimates and judgments that affect the reported amounts of assets, liabilities, revenues and expenses and related disclosures of contingent assets and liabilities. The primary reference point for the estimates is on historical experience and assumptions believed to be reasonable regarding the value of certain assets and liabilities that are not readily available from other sources. Estimates are evaluated on an ongoing basis. Actual results may materially differ from these estimates under different assumptions or conditions.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For purposes of reporting cash flows, cash and cash equivalents include cash on hand, amounts due from financial institutions, interest-bearing deposits with financial institutions and federal funds sold. Generally, federal funds are sold for one-day periods.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81" w:name="page82"/>
    <w:bookmarkEnd w:id="81"/>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Investment securities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Investment securities are classified as available for sale and carried at fair value with unrealized gains and losses included in stockholders’ equity on an after-tax basis. Premiums and discounts on investment securities are amortized on the level-yield method without anticipating prepayments, except for mortgage-backed securities where prepayments are anticipated. Changes in the fair value of debt securities available for sale are included in stockholder’s equity as unrealized gains and losses, net of the related tax effect.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Management evaluates all investments in an unrealized loss position on a quarterly basis, and more frequently when economic or market conditions warrant such evaluation. If the Company has the intent to sell the security or it is more likely than not that the Company will be required to sell the security, the security is written down to fair value and the entire loss is recorded in earnings.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If either of the above criteria is not met, the Company evaluates whether the decline in fair value is the result of credit losses or other factors. In making the assessment, the Company may consider various factors including the extent to which fair value is less than amortized cost, performance on any underlying collateral, downgrades in the ratings of the security by a rating agency, the failure of the issuer to make scheduled interest or principal payments and adverse conditions specifically related to the security. If the assessment indicates that a credit loss exists, the present value of cash flows expected to be collected are compared to the amortized cost basis of the security and any excess is recorded as an ACL, limited by the amount that the fair value is less than the amortized cost basis. Any amount of unrealized loss that has not been recorded through an ACL is recognized in other comprehensive income.</w:t>
      </w:r>
    </w:p>
    <w:p>
      <w:pPr>
        <w:spacing w:after="0" w:line="14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Changes in the ACL are recorded as provision for (or reversal of) credit loss expense. Losses are charged against the ACL when management believes an AFS security is confirmed to be uncollectible or when either of the criteria regarding intent or requirement to sell is met. At December 31, 2023, there was no ACL related to the AFS portfolio.</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Loans held for sale</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Mortgage loans originated and intended for sale are recorded at fair value, determined individually, as of the balance sheet date. Fair value is determined based on outstanding investor commitments, or in the absence of such commitments, based on current investor yield requirements. Gains and losses on loan sales are determined by the specific-identification method. The Company’s current practice is to sell residential mortgage loans on a servicing released basis. Interest on loans held for sale is credited to income based on the principal amounts outstanding.</w:t>
      </w:r>
    </w:p>
    <w:p>
      <w:pPr>
        <w:spacing w:after="0" w:line="106" w:lineRule="exact"/>
        <w:rPr>
          <w:sz w:val="20"/>
          <w:szCs w:val="20"/>
          <w:color w:val="auto"/>
        </w:rPr>
      </w:pPr>
    </w:p>
    <w:p>
      <w:pPr>
        <w:jc w:val="both"/>
        <w:spacing w:after="0" w:line="182" w:lineRule="exact"/>
        <w:rPr>
          <w:sz w:val="20"/>
          <w:szCs w:val="20"/>
          <w:color w:val="auto"/>
        </w:rPr>
      </w:pPr>
      <w:r>
        <w:rPr>
          <w:rFonts w:ascii="Arial" w:cs="Arial" w:eastAsia="Arial" w:hAnsi="Arial"/>
          <w:sz w:val="14"/>
          <w:szCs w:val="14"/>
          <w:color w:val="auto"/>
        </w:rPr>
        <w:t>Upon sale and delivery, loans are legally isolated from the Company and the Company has no ability to restrict or constrain the ability of third</w:t>
      </w:r>
      <w:r>
        <w:rPr>
          <w:rFonts w:ascii="MS PGothic" w:cs="MS PGothic" w:eastAsia="MS PGothic" w:hAnsi="MS PGothic"/>
          <w:sz w:val="14"/>
          <w:szCs w:val="14"/>
          <w:color w:val="auto"/>
        </w:rPr>
        <w:t>‑</w:t>
      </w:r>
      <w:r>
        <w:rPr>
          <w:rFonts w:ascii="Arial" w:cs="Arial" w:eastAsia="Arial" w:hAnsi="Arial"/>
          <w:sz w:val="14"/>
          <w:szCs w:val="14"/>
          <w:color w:val="auto"/>
        </w:rPr>
        <w:t>party investors to pledge or exchange the mortgage loans. The Company does not have the entitlement or ability to repurchase the mortgage loans or unilaterally cause third</w:t>
      </w:r>
      <w:r>
        <w:rPr>
          <w:rFonts w:ascii="MS PGothic" w:cs="MS PGothic" w:eastAsia="MS PGothic" w:hAnsi="MS PGothic"/>
          <w:sz w:val="14"/>
          <w:szCs w:val="14"/>
          <w:color w:val="auto"/>
        </w:rPr>
        <w:t>‑</w:t>
      </w:r>
      <w:r>
        <w:rPr>
          <w:rFonts w:ascii="Arial" w:cs="Arial" w:eastAsia="Arial" w:hAnsi="Arial"/>
          <w:sz w:val="14"/>
          <w:szCs w:val="14"/>
          <w:color w:val="auto"/>
        </w:rPr>
        <w:t>party investors to put the mortgage loans back to the Company. Unrealized and realized gains on loan sales are determined using the specific-identification method and are recognized through mortgage banking activity in the Consolidated Statements of Income.</w:t>
      </w:r>
    </w:p>
    <w:p>
      <w:pPr>
        <w:spacing w:after="0" w:line="15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elects to measure loans held for sale at fair value to better align reported results with the underlying economic changes in value of the loans on the Company’s balance sheet.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82" w:name="page83"/>
    <w:bookmarkEnd w:id="82"/>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U.S. Small Business Administration Paycheck Protection Program</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During the global COVID-19 pandemic, pursuant to the CARES Act and the Consolidated Appropriations Act, 2021, the United States Small Business Administration Payroll Protection Program (“SBA-PPP”) provided forgivable loans to small businesses to enable them to maintain payroll, hire back employees who had been laid off, and cover overhead. SBA-PPP loans have an interest rate of 1%, have two or five year terms, and carry a 100% guarantee of the SBA. The program ended on May 31, 2021. SBA-PPP loans are eligible to be forgiven by the SBA.</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Due to the unique nature of these provisions, SBA-PPP loans have been disclosed as a separate balance sheet item. Origination fees received by the SBA are capitalized into the carrying amount of the loans. The deferred fee income, net of origination costs, is recognized over the life of the loan as an adjustment to yield using the effective interest method. The remaining net deferred income is recognized upon forgiveness of the loan.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Portfolio loans and the ACL</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Loans are stated at the principal amount outstanding, adjusted for deferred origination fees and costs, discounts on loans acquired, and the ACL. Interest is accrued based on the loan principal balances and stated interest rates. Origination fees and costs are recognized as an adjustment to the related loan yield using approximate interest methods. For credit card loans, loan origination fees and direct loan origination costs are amortized on a straight-line basis over a 12-month period.</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Loans are considered past due if the required principal and interest payments have not been received as of the date such payments were due. For reporting purposes, the Company discontinues the accrual of interest at the earlier of the date any portion of the principal and/or interest is 90 days past due, or at such time as we determine that it is probable that not all principal and interest payments will be collected, and that collateral is insufficient to discharge the debt in full. When the interest accrual is discontinued, all unpaid accrued interest is reversed from income. Generally, interest payments on nonaccrual loans are recorded as a reduction of the principal balance. Interest income is subsequently recognized only to the extent cash payments are received in excess of principal due.</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Loans are generally charged-off in part or in full when management determines the loan to be uncollectible. Factors for charge-off that may be considered include: repayments deemed to be extended out beyond reasonable time frames, customer bankruptcy and lack of assets, and/or collateral deficiencies.</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January 1, 2023, we adopted Accounting Standards Update (“ASU”) 2016-13 “Financial Instruments – Credit Losses (Topic 326): Measurement of Credit Losses on Financial Instruments” (“ASU 2016-13”), which replaces the incurred loss methodology for determining our provision for credit losses and ACL with an expected loss methodology that is referred to as the Current Expected Credit Loss model (“CECL”). The measurement of expected credit losses under the CECL methodology is applicable to financial assets measured at amortized cost, including loans receivable and held-to-maturity (“HTM”) debt securities. It also applies to off-balance sheet credit exposures not accounted for as insurance (loan commitments, standby letters of credit, financial guarantees, and other similar instruments) and net investments in leases recognized by a lessor in accordance with ASU 2016-02 “Leases (Topic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83" w:name="page84"/>
    <w:bookmarkEnd w:id="83"/>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ASU 2016-13 made changes to the accounting for AFS debt securities. One such change is to require credit-related impairments to be recognized as an ACL rather than as a write-down of the security’s amortized cost basis when the Company does not intend to sell or believes that the Company will be required to sell the securities prior to recovery of the security’s amortized cost basis. The Company adopted ASU 2016-13 using the modified retrospective method. Results for reporting periods beginning after January 1, 2023 are presented under ASU 2016-13 while prior period amounts continue to be reported in accordance with previously applicable GAAP. The Company does not own HTM debt securities. There was no ACL on available for sale securities at December 31, 2023.</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following table illustrates the impact of the adoption of ASC 326, or the CECL standard. The adoption of the standard required an $804 thousand increase in the ACL and a $775 thousand reduction to the reserve for unfunded commitments (“RUC”). The improved precision of the calculation of the historical utilization of unfunded commitments gave rise to the reduction. The net impact of the adoption of the CECL standard to retained earnings was $29 thousand.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6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99"/>
              </w:rPr>
              <w:t>January 1, 2023</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32"/>
        </w:trPr>
        <w:tc>
          <w:tcPr>
            <w:tcW w:w="6260" w:type="dxa"/>
            <w:vAlign w:val="bottom"/>
          </w:tcPr>
          <w:p>
            <w:pPr>
              <w:spacing w:after="0"/>
              <w:rPr>
                <w:sz w:val="11"/>
                <w:szCs w:val="11"/>
                <w:color w:val="auto"/>
              </w:rPr>
            </w:pPr>
          </w:p>
        </w:tc>
        <w:tc>
          <w:tcPr>
            <w:tcW w:w="170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Pre-adoption of the CECL</w:t>
            </w:r>
          </w:p>
        </w:tc>
        <w:tc>
          <w:tcPr>
            <w:tcW w:w="1700" w:type="dxa"/>
            <w:vAlign w:val="bottom"/>
            <w:gridSpan w:val="3"/>
          </w:tcPr>
          <w:p>
            <w:pPr>
              <w:jc w:val="center"/>
              <w:ind w:right="100"/>
              <w:spacing w:after="0" w:line="133" w:lineRule="exact"/>
              <w:rPr>
                <w:sz w:val="20"/>
                <w:szCs w:val="20"/>
                <w:color w:val="auto"/>
              </w:rPr>
            </w:pPr>
            <w:r>
              <w:rPr>
                <w:rFonts w:ascii="Arial" w:cs="Arial" w:eastAsia="Arial" w:hAnsi="Arial"/>
                <w:sz w:val="13"/>
                <w:szCs w:val="13"/>
                <w:b w:val="1"/>
                <w:bCs w:val="1"/>
                <w:color w:val="auto"/>
                <w:w w:val="98"/>
              </w:rPr>
              <w:t>As Reported Under ASC</w:t>
            </w:r>
          </w:p>
        </w:tc>
        <w:tc>
          <w:tcPr>
            <w:tcW w:w="1600" w:type="dxa"/>
            <w:vAlign w:val="bottom"/>
            <w:gridSpan w:val="2"/>
          </w:tcPr>
          <w:p>
            <w:pPr>
              <w:ind w:left="40"/>
              <w:spacing w:after="0" w:line="133" w:lineRule="exact"/>
              <w:rPr>
                <w:sz w:val="20"/>
                <w:szCs w:val="20"/>
                <w:color w:val="auto"/>
              </w:rPr>
            </w:pPr>
            <w:r>
              <w:rPr>
                <w:rFonts w:ascii="Arial" w:cs="Arial" w:eastAsia="Arial" w:hAnsi="Arial"/>
                <w:sz w:val="13"/>
                <w:szCs w:val="13"/>
                <w:b w:val="1"/>
                <w:bCs w:val="1"/>
                <w:color w:val="auto"/>
                <w:w w:val="99"/>
              </w:rPr>
              <w:t>Impact of adoption of the</w:t>
            </w:r>
          </w:p>
        </w:tc>
      </w:tr>
      <w:tr>
        <w:trPr>
          <w:trHeight w:val="184"/>
        </w:trPr>
        <w:tc>
          <w:tcPr>
            <w:tcW w:w="626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32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Arial" w:cs="Arial" w:eastAsia="Arial" w:hAnsi="Arial"/>
                <w:sz w:val="13"/>
                <w:szCs w:val="13"/>
                <w:b w:val="1"/>
                <w:bCs w:val="1"/>
                <w:color w:val="auto"/>
              </w:rPr>
              <w:t>standard</w:t>
            </w:r>
          </w:p>
        </w:tc>
        <w:tc>
          <w:tcPr>
            <w:tcW w:w="200" w:type="dxa"/>
            <w:vAlign w:val="bottom"/>
          </w:tcPr>
          <w:p>
            <w:pPr>
              <w:spacing w:after="0"/>
              <w:rPr>
                <w:sz w:val="16"/>
                <w:szCs w:val="16"/>
                <w:color w:val="auto"/>
              </w:rPr>
            </w:pPr>
          </w:p>
        </w:tc>
        <w:tc>
          <w:tcPr>
            <w:tcW w:w="1400" w:type="dxa"/>
            <w:vAlign w:val="bottom"/>
          </w:tcPr>
          <w:p>
            <w:pPr>
              <w:jc w:val="center"/>
              <w:ind w:right="136"/>
              <w:spacing w:after="0"/>
              <w:rPr>
                <w:sz w:val="20"/>
                <w:szCs w:val="20"/>
                <w:color w:val="auto"/>
              </w:rPr>
            </w:pPr>
            <w:r>
              <w:rPr>
                <w:rFonts w:ascii="Arial" w:cs="Arial" w:eastAsia="Arial" w:hAnsi="Arial"/>
                <w:sz w:val="13"/>
                <w:szCs w:val="13"/>
                <w:b w:val="1"/>
                <w:bCs w:val="1"/>
                <w:color w:val="auto"/>
                <w:w w:val="92"/>
              </w:rPr>
              <w:t>326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3"/>
                <w:szCs w:val="13"/>
                <w:b w:val="1"/>
                <w:bCs w:val="1"/>
                <w:color w:val="auto"/>
              </w:rPr>
              <w:t>CECL standard</w:t>
            </w:r>
          </w:p>
        </w:tc>
      </w:tr>
      <w:tr>
        <w:trPr>
          <w:trHeight w:val="167"/>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32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r>
      <w:tr>
        <w:trPr>
          <w:trHeight w:val="174"/>
        </w:trPr>
        <w:tc>
          <w:tcPr>
            <w:tcW w:w="6260" w:type="dxa"/>
            <w:vAlign w:val="bottom"/>
          </w:tcPr>
          <w:p>
            <w:pPr>
              <w:ind w:left="100"/>
              <w:spacing w:after="0"/>
              <w:rPr>
                <w:sz w:val="20"/>
                <w:szCs w:val="20"/>
                <w:color w:val="auto"/>
              </w:rPr>
            </w:pPr>
            <w:r>
              <w:rPr>
                <w:rFonts w:ascii="Arial" w:cs="Arial" w:eastAsia="Arial" w:hAnsi="Arial"/>
                <w:sz w:val="13"/>
                <w:szCs w:val="13"/>
                <w:color w:val="auto"/>
              </w:rPr>
              <w:t>Real estate:</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7"/>
        </w:trPr>
        <w:tc>
          <w:tcPr>
            <w:tcW w:w="6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Residential</w:t>
            </w: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484,735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484,735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ind w:left="1180"/>
              <w:spacing w:after="0"/>
              <w:rPr>
                <w:sz w:val="20"/>
                <w:szCs w:val="20"/>
                <w:color w:val="auto"/>
              </w:rPr>
            </w:pPr>
            <w:r>
              <w:rPr>
                <w:rFonts w:ascii="Arial" w:cs="Arial" w:eastAsia="Arial" w:hAnsi="Arial"/>
                <w:sz w:val="13"/>
                <w:szCs w:val="13"/>
                <w:color w:val="auto"/>
              </w:rPr>
              <w:t>—</w:t>
            </w:r>
          </w:p>
        </w:tc>
      </w:tr>
      <w:tr>
        <w:trPr>
          <w:trHeight w:val="174"/>
        </w:trPr>
        <w:tc>
          <w:tcPr>
            <w:tcW w:w="6260" w:type="dxa"/>
            <w:vAlign w:val="bottom"/>
          </w:tcPr>
          <w:p>
            <w:pPr>
              <w:ind w:left="180"/>
              <w:spacing w:after="0"/>
              <w:rPr>
                <w:sz w:val="20"/>
                <w:szCs w:val="20"/>
                <w:color w:val="auto"/>
              </w:rPr>
            </w:pPr>
            <w:r>
              <w:rPr>
                <w:rFonts w:ascii="Arial" w:cs="Arial" w:eastAsia="Arial" w:hAnsi="Arial"/>
                <w:sz w:val="13"/>
                <w:szCs w:val="13"/>
                <w:color w:val="auto"/>
              </w:rPr>
              <w:t>Commercial</w:t>
            </w: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664,551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664,551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ind w:left="1180"/>
              <w:spacing w:after="0"/>
              <w:rPr>
                <w:sz w:val="20"/>
                <w:szCs w:val="20"/>
                <w:color w:val="auto"/>
              </w:rPr>
            </w:pPr>
            <w:r>
              <w:rPr>
                <w:rFonts w:ascii="Arial" w:cs="Arial" w:eastAsia="Arial" w:hAnsi="Arial"/>
                <w:sz w:val="13"/>
                <w:szCs w:val="13"/>
                <w:color w:val="auto"/>
              </w:rPr>
              <w:t>—</w:t>
            </w:r>
          </w:p>
        </w:tc>
      </w:tr>
      <w:tr>
        <w:trPr>
          <w:trHeight w:val="187"/>
        </w:trPr>
        <w:tc>
          <w:tcPr>
            <w:tcW w:w="6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Construction</w:t>
            </w: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238,099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238,099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ind w:left="1180"/>
              <w:spacing w:after="0"/>
              <w:rPr>
                <w:sz w:val="20"/>
                <w:szCs w:val="20"/>
                <w:color w:val="auto"/>
              </w:rPr>
            </w:pPr>
            <w:r>
              <w:rPr>
                <w:rFonts w:ascii="Arial" w:cs="Arial" w:eastAsia="Arial" w:hAnsi="Arial"/>
                <w:sz w:val="13"/>
                <w:szCs w:val="13"/>
                <w:color w:val="auto"/>
              </w:rPr>
              <w:t>—</w:t>
            </w:r>
          </w:p>
        </w:tc>
      </w:tr>
      <w:tr>
        <w:trPr>
          <w:trHeight w:val="174"/>
        </w:trPr>
        <w:tc>
          <w:tcPr>
            <w:tcW w:w="6260" w:type="dxa"/>
            <w:vAlign w:val="bottom"/>
          </w:tcPr>
          <w:p>
            <w:pPr>
              <w:ind w:left="100"/>
              <w:spacing w:after="0"/>
              <w:rPr>
                <w:sz w:val="20"/>
                <w:szCs w:val="20"/>
                <w:color w:val="auto"/>
              </w:rPr>
            </w:pPr>
            <w:r>
              <w:rPr>
                <w:rFonts w:ascii="Arial" w:cs="Arial" w:eastAsia="Arial" w:hAnsi="Arial"/>
                <w:sz w:val="13"/>
                <w:szCs w:val="13"/>
                <w:color w:val="auto"/>
              </w:rPr>
              <w:t>Commercial and Industrial</w:t>
            </w: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220,221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220,221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ind w:left="1180"/>
              <w:spacing w:after="0"/>
              <w:rPr>
                <w:sz w:val="20"/>
                <w:szCs w:val="20"/>
                <w:color w:val="auto"/>
              </w:rPr>
            </w:pPr>
            <w:r>
              <w:rPr>
                <w:rFonts w:ascii="Arial" w:cs="Arial" w:eastAsia="Arial" w:hAnsi="Arial"/>
                <w:sz w:val="13"/>
                <w:szCs w:val="13"/>
                <w:color w:val="auto"/>
              </w:rPr>
              <w:t>—</w:t>
            </w:r>
          </w:p>
        </w:tc>
      </w:tr>
      <w:tr>
        <w:trPr>
          <w:trHeight w:val="187"/>
        </w:trPr>
        <w:tc>
          <w:tcPr>
            <w:tcW w:w="6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Credit card, net of reserve</w:t>
            </w: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128,434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128,434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ind w:left="1180"/>
              <w:spacing w:after="0"/>
              <w:rPr>
                <w:sz w:val="20"/>
                <w:szCs w:val="20"/>
                <w:color w:val="auto"/>
              </w:rPr>
            </w:pPr>
            <w:r>
              <w:rPr>
                <w:rFonts w:ascii="Arial" w:cs="Arial" w:eastAsia="Arial" w:hAnsi="Arial"/>
                <w:sz w:val="13"/>
                <w:szCs w:val="13"/>
                <w:color w:val="auto"/>
              </w:rPr>
              <w:t>—</w:t>
            </w:r>
          </w:p>
        </w:tc>
      </w:tr>
      <w:tr>
        <w:trPr>
          <w:trHeight w:val="174"/>
        </w:trPr>
        <w:tc>
          <w:tcPr>
            <w:tcW w:w="62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consumer</w:t>
            </w: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1180"/>
              <w:spacing w:after="0"/>
              <w:rPr>
                <w:sz w:val="20"/>
                <w:szCs w:val="20"/>
                <w:color w:val="auto"/>
              </w:rPr>
            </w:pPr>
            <w:r>
              <w:rPr>
                <w:rFonts w:ascii="Arial" w:cs="Arial" w:eastAsia="Arial" w:hAnsi="Arial"/>
                <w:sz w:val="13"/>
                <w:szCs w:val="13"/>
                <w:color w:val="auto"/>
              </w:rPr>
              <w:t>—</w:t>
            </w:r>
          </w:p>
        </w:tc>
      </w:tr>
      <w:tr>
        <w:trPr>
          <w:trHeight w:val="178"/>
        </w:trPr>
        <w:tc>
          <w:tcPr>
            <w:tcW w:w="6260" w:type="dxa"/>
            <w:vAlign w:val="bottom"/>
            <w:shd w:val="clear" w:color="auto" w:fill="CCEEFF"/>
          </w:tcPr>
          <w:p>
            <w:pPr>
              <w:spacing w:after="0"/>
              <w:rPr>
                <w:sz w:val="20"/>
                <w:szCs w:val="20"/>
                <w:color w:val="auto"/>
              </w:rPr>
            </w:pPr>
            <w:r>
              <w:rPr>
                <w:rFonts w:ascii="Arial" w:cs="Arial" w:eastAsia="Arial" w:hAnsi="Arial"/>
                <w:sz w:val="13"/>
                <w:szCs w:val="13"/>
                <w:color w:val="auto"/>
              </w:rPr>
              <w:t>Portfolio loans receivable, gross</w:t>
            </w: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1,737,219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1,737,219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ind w:left="1180"/>
              <w:spacing w:after="0"/>
              <w:rPr>
                <w:sz w:val="20"/>
                <w:szCs w:val="20"/>
                <w:color w:val="auto"/>
              </w:rPr>
            </w:pPr>
            <w:r>
              <w:rPr>
                <w:rFonts w:ascii="Arial" w:cs="Arial" w:eastAsia="Arial" w:hAnsi="Arial"/>
                <w:sz w:val="13"/>
                <w:szCs w:val="13"/>
                <w:color w:val="auto"/>
              </w:rPr>
              <w:t>—</w:t>
            </w:r>
          </w:p>
        </w:tc>
      </w:tr>
      <w:tr>
        <w:trPr>
          <w:trHeight w:val="174"/>
        </w:trPr>
        <w:tc>
          <w:tcPr>
            <w:tcW w:w="6260" w:type="dxa"/>
            <w:vAlign w:val="bottom"/>
          </w:tcPr>
          <w:p>
            <w:pPr>
              <w:spacing w:after="0"/>
              <w:rPr>
                <w:sz w:val="20"/>
                <w:szCs w:val="20"/>
                <w:color w:val="auto"/>
              </w:rPr>
            </w:pPr>
            <w:r>
              <w:rPr>
                <w:rFonts w:ascii="Arial" w:cs="Arial" w:eastAsia="Arial" w:hAnsi="Arial"/>
                <w:sz w:val="13"/>
                <w:szCs w:val="13"/>
                <w:color w:val="auto"/>
              </w:rPr>
              <w:t>Deferred origination fees, net</w:t>
            </w: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(8,627)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(8,627)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ind w:left="1180"/>
              <w:spacing w:after="0"/>
              <w:rPr>
                <w:sz w:val="20"/>
                <w:szCs w:val="20"/>
                <w:color w:val="auto"/>
              </w:rPr>
            </w:pPr>
            <w:r>
              <w:rPr>
                <w:rFonts w:ascii="Arial" w:cs="Arial" w:eastAsia="Arial" w:hAnsi="Arial"/>
                <w:sz w:val="13"/>
                <w:szCs w:val="13"/>
                <w:color w:val="auto"/>
              </w:rPr>
              <w:t>—</w:t>
            </w:r>
          </w:p>
        </w:tc>
      </w:tr>
      <w:tr>
        <w:trPr>
          <w:trHeight w:val="187"/>
        </w:trPr>
        <w:tc>
          <w:tcPr>
            <w:tcW w:w="6260" w:type="dxa"/>
            <w:vAlign w:val="bottom"/>
            <w:shd w:val="clear" w:color="auto" w:fill="CCEEFF"/>
          </w:tcPr>
          <w:p>
            <w:pPr>
              <w:spacing w:after="0"/>
              <w:rPr>
                <w:sz w:val="20"/>
                <w:szCs w:val="20"/>
                <w:color w:val="auto"/>
              </w:rPr>
            </w:pPr>
            <w:r>
              <w:rPr>
                <w:rFonts w:ascii="Arial" w:cs="Arial" w:eastAsia="Arial" w:hAnsi="Arial"/>
                <w:sz w:val="13"/>
                <w:szCs w:val="13"/>
                <w:color w:val="auto"/>
              </w:rPr>
              <w:t>Allowance for credit losses</w:t>
            </w:r>
          </w:p>
        </w:tc>
        <w:tc>
          <w:tcPr>
            <w:tcW w:w="3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(26,385)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(27,189)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3"/>
                <w:szCs w:val="13"/>
                <w:color w:val="auto"/>
                <w:w w:val="98"/>
              </w:rPr>
              <w:t>(804)</w:t>
            </w:r>
          </w:p>
        </w:tc>
      </w:tr>
      <w:tr>
        <w:trPr>
          <w:trHeight w:val="164"/>
        </w:trPr>
        <w:tc>
          <w:tcPr>
            <w:tcW w:w="6260" w:type="dxa"/>
            <w:vAlign w:val="bottom"/>
            <w:tcBorders>
              <w:bottom w:val="single" w:sz="8" w:color="CCEEFF"/>
            </w:tcBorders>
          </w:tcPr>
          <w:p>
            <w:pPr>
              <w:spacing w:after="0" w:line="148" w:lineRule="exact"/>
              <w:rPr>
                <w:sz w:val="20"/>
                <w:szCs w:val="20"/>
                <w:color w:val="auto"/>
              </w:rPr>
            </w:pPr>
            <w:r>
              <w:rPr>
                <w:rFonts w:ascii="Arial" w:cs="Arial" w:eastAsia="Arial" w:hAnsi="Arial"/>
                <w:sz w:val="13"/>
                <w:szCs w:val="13"/>
                <w:color w:val="auto"/>
              </w:rPr>
              <w:t>Portfolio loans receivable, net</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1,702,207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1,701,403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ind w:left="1060"/>
              <w:spacing w:after="0"/>
              <w:rPr>
                <w:sz w:val="20"/>
                <w:szCs w:val="20"/>
                <w:color w:val="auto"/>
              </w:rPr>
            </w:pPr>
            <w:r>
              <w:rPr>
                <w:rFonts w:ascii="Arial" w:cs="Arial" w:eastAsia="Arial" w:hAnsi="Arial"/>
                <w:sz w:val="13"/>
                <w:szCs w:val="13"/>
                <w:color w:val="auto"/>
                <w:w w:val="98"/>
              </w:rPr>
              <w:t>(804)</w:t>
            </w:r>
          </w:p>
        </w:tc>
      </w:tr>
      <w:tr>
        <w:trPr>
          <w:trHeight w:val="178"/>
        </w:trPr>
        <w:tc>
          <w:tcPr>
            <w:tcW w:w="6260" w:type="dxa"/>
            <w:vAlign w:val="bottom"/>
            <w:shd w:val="clear" w:color="auto" w:fill="CCEEFF"/>
          </w:tcPr>
          <w:p>
            <w:pPr>
              <w:spacing w:after="0"/>
              <w:rPr>
                <w:sz w:val="20"/>
                <w:szCs w:val="20"/>
                <w:color w:val="auto"/>
              </w:rPr>
            </w:pPr>
            <w:r>
              <w:rPr>
                <w:rFonts w:ascii="Arial" w:cs="Arial" w:eastAsia="Arial" w:hAnsi="Arial"/>
                <w:sz w:val="13"/>
                <w:szCs w:val="13"/>
                <w:color w:val="auto"/>
              </w:rPr>
              <w:t>Liabilities: Reserve for unfunded commitments</w:t>
            </w: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ind w:left="1060"/>
              <w:spacing w:after="0"/>
              <w:rPr>
                <w:sz w:val="20"/>
                <w:szCs w:val="20"/>
                <w:color w:val="auto"/>
              </w:rPr>
            </w:pPr>
            <w:r>
              <w:rPr>
                <w:rFonts w:ascii="Arial" w:cs="Arial" w:eastAsia="Arial" w:hAnsi="Arial"/>
                <w:sz w:val="13"/>
                <w:szCs w:val="13"/>
                <w:color w:val="auto"/>
                <w:w w:val="98"/>
              </w:rPr>
              <w:t>(775)</w:t>
            </w:r>
          </w:p>
        </w:tc>
      </w:tr>
    </w:tbl>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maintain an ACL that represents management’s estimate of the expected credit losses and risks inherent in our loan portfolio. The amount of the ACL should not be interpreted as an indication that charge-offs in future periods will necessarily occur in those amounts, or at all. The allowance immediately recognizes lifetime expected credit losses when a financial asset is originated or purchased. The ACL is a valuation account that is deducted from the amortized cost basis of loans to present the net amount expected to be collected on the loans. Loans, or portions thereof, are charged-off against the allowance when they are deemed uncollectible. Factors for charge-off that may be considered include: repayments deemed to be extended out beyond reasonable time frames, customer bankruptcy and lack of assets, and/or collateral deficiencies. Expected recoveries do not exceed the aggregate of amounts previously charged-off and expected to be charged-off.</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determining the ACL, we estimate losses collectively based on quantitative analysis of historical credit losses adjusted for current conditions and reasonable and supportable forecasts of collectability of future cash flows over the remaining term of each financial instrument. The Company has elected to utilize a discounted cash flow methodology for all segments, except for the credit card and other consumer portfolio segments, which apply a simplified, non-discounted cash flow calculation. See further detail regarding our forecasting methodology in the “Cash Flow Method” section below.</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84" w:name="page85"/>
    <w:bookmarkEnd w:id="84"/>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Quarterly, the Company utilizes a Qualitative Scorecard to consider the need to qualitatively adjust expected credit loss estimates for information not already captured in the quantitative loss estimation process, which may impact expected credit losses. The Qualitative Scorecard evaluates certain risk environments such as economic conditions, changes in the nature and volume of portfolios, changes in experience, depth, and ability of lending management, changes in volume and severity of past due loans and similar conditions, and changes in the value of underlying collateral. The scorecard results help the Company analyze directional consistency to risk conditions and circumstances that should be considered for each loan segment and to refine its estimates of expected credit losses. As of December 31, 2023, there have been no significant changes applied through the Qualitative Scorecard subsequent to implementation on January 1, 2023.</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Purchased Credit Deterioration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Upon adoption of ASU 2016-13, loans which were identified as Purchase Credit Impaired under the incurred loss model are identified as Purchased Credit Deteriorated (“PCD”) loans at January 1, 2023 without reassessment. In future acquisitions, the Company may purchase loans, some of which have experienced more than insignificant credit deterioration since origination. In those cases, the Company will consider certain criteria including days past due, accrual status, risk rating, credit mark, and other relevant factors in assessing whether purchased loans are PCD. PCD loans are recorded at the amount paid and the Company will determine the initial ACL required for PCD assets with no impact to earnings. The loan’s purchase price and ACL is then the initial amortized cost basis for PCD loans. The difference between the initial amortized cost basis and the par value of the loan is a noncredit discount or premium, which is amortized into interest income over the life of the loan. Subsequent to initial recognition, PCD loans are subject to the same interest income recognition and impairment model as non-PCD loans, with changes to the ACL recorded through provision expense.</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Flow Method</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Company uses the discounted cash flow (“DCF”) method to estimate expected credit losses for each portfolio loan segment, with the exception of credit card and other consumer loans, which use a non-discounted cash flow calculation. For each of these loan segments, the Company generates cash flow projections at the instrument level. Payment expectations are adjusted for estimated prepayment speed and for probability and severity of a loss. The expected credit losses derived from the cash flow calculations are estimated over the contractual term of the loans, adjusted for expected prepayments when appropriate. The modeling of expected prepayment speeds is primarily based on historical internal data. Industry benchmark data is utilized when a statistically insufficient history exists. The contractual term excludes expected extensions, renewals and modifications.</w:t>
      </w:r>
    </w:p>
    <w:p>
      <w:pPr>
        <w:spacing w:after="0" w:line="31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uses regression analysis of historical internal and peer data to determine suitable portfolio segment level loss drivers to utilize when modeling lifetime probability of default, lifetime loss given default, and lifetime loss rates. This analysis also determines how expected probability of default, loss given default, and lifetime loss rates will react to forecasted levels of the loss drivers.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For the credit card portfolio, the Company calculates the credit card ACL collectively, applying segmentation based on collateral positions: secured, partially secured, and unsecured.</w:t>
      </w:r>
    </w:p>
    <w:p>
      <w:pPr>
        <w:spacing w:after="0" w:line="33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For all DCF and loss rate models, the Company has elected to use a four quarter forecast period across all portfolio segments. After the forecasted period, the models will revert to a long run average of each economic factor over four quarters. The Company uses economic projections from reputable and independent third parties to inform its loss driver forecast over the forecast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85" w:name="page86"/>
    <w:bookmarkEnd w:id="85"/>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For the non-credit card and consumer portfolios, the combination of adjustments for credit expectations (default and loss) and timing expectations (prepayment, curtailment, and time to recovery) produces an expected cash flow stream at the instrument level. An effective interest rate is calculated by the Company, adjusted for any net deferred fees or costs, premium, or discount existing at the origination or acquisition, to produce an instrument-level net present value of expected cash flows. The ACL reflects the difference between the amortized cost basis and the present value of the expected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Individual Evaluation</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will evaluate individual instruments for expected credit losses when those instruments do not share similar risk characteristics with instruments evaluated on a collective basis. Instruments may be evaluated whether or not there is an expectation of collectability in place. Instruments evaluated individually are not included in the Company’s collective analysis. Collateral dependent or secured loans with respect to which the Company expects repayment to be provided substantially through the operation or sale of the collateral utilize a collateral-based methodology in which ACL is measured based on the difference between the net realizable value of the collateral and the amortized cost basis of the asset as of the measurement date. If the collateral valuation is equal to or greater than amortized cost, no reserve is applied. If a loan is not collateral dependent, the loan will be analyzed based on a forecast of future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Credit Losses on Off-Balance Sheet Credit Exposures</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Company’s financial instruments include off-balance sheet credit instruments such as unfunded commitments to make loans, commercial letters of credit issued, and commitments to fund other investments. The Company’s maximum exposure to credit loss in the event of nonperformance by the other party to the financial instrument for off-balance sheet loan commitments is represented by the contractual amount of the credit commitment. Loan commitments and lines of credit are generally made on the same terms, including with regard to collateral, as outstanding loans.</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maintains a RUC on off-balance sheet credit exposures through a provision reflected in other liabilities. Increases or decreases in the reserve are charged to or released from the provision for credit losses for unfunded commitments in the consolidated statements of income. The provision (credit) for credit losses on off-balance sheet exposures prior to January 1, 2023 was included in other noninterest expense in the consolidated statements of income. The RUC on off-balance credit exposures is estimated by loan segment at each balance sheet date under the current expected credit loss model based on the segment loss factor and the estimated utilization rate of the unfunded commitments. The Company has analyzed its historic funding behavior at the segment level to determine an expected utilization rate.</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above methodology for determining an appropriate ACL is based on a comprehensive analysis of the loan portfolio in accordance with ASC 326. The analysis considers all significant factors that affect the expected collectability of the portfolio and supports the expected credit losses estimated by this process. It is important to recognize that the related process, methodology, and underlying assumptions require a substantial degree of judgment. Additional disclosure on the ACL, and qualitative factors can be found in Part II, Item 1A - Risk Factors and Note 5 - Portfolio Loans Receivable.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Credit Losses on SBA-PPP loans and interest receivable</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ACL for SBA-PPP loans was separately evaluated given the explicit government guarantee. The Company has incorporated historical experience with similar SBA guarantees and underwriting adjusted for reasonable and supportable forecasts and concluded the expected credit loss is zero and, therefore, no allowance has been assigned to these loans.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86" w:name="page87"/>
    <w:bookmarkEnd w:id="86"/>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does not measure an ACL on accrued interest receivable balances because these balances are written off as a reduction to interest income when loans are placed on nonaccrual status.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Loan modifications</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Effective January 1, 2023, the Company adopted ASU 2022-02 - Financial Instruments - Credit Losses (Topic 326): Troubled Debt Restructurings and Vintage Disclosures. From time to time, the Company may elect to modify the contractual terms of loans to a borrower experiencing financial difficulties as a way to mitigate loss, to proactively work with borrowers in financial difficulty, or to comply with regulations regarding the treatment of certain bankruptcy filing and discharge situations. These modifications may include reductions in the interest rate, payment extensions, forgiveness of principal, forbearance or other actions. Under ASU 2022-02, modifications to a loan for a borrower experiencing financial difficulty that have occurred in the current reporting period, are disclosed along with the impact of the modifications. During the year ended December 31, 2023, the Company did not have any such modifications.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Premises and equipment</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Premises and equipment are stated at cost less accumulated depreciation and amortization. Depreciation and amortization are computed using the straight-line method over the estimated useful lives of the related property, generally over two to seven years. Leasehold improvements are amortized over the estimated term of the respective leases, which may include renewal options where management has the positive intent to exercise such options, or the estimated useful lives of the improvements, whichever is less. The costs of major renewals and improvements are capitalized with the corresponding costs associated with amortization or depreciation included as a component of occupancy and equipment expenses. Expenditures for maintenance, repairs, and minor replacements are charged to noninterest expenses as incurred.</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Leases</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 xml:space="preserve">The Company accounts for leases according to ASU 2016-02,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and applies a right-of-use (“ROU”) model that requires a lessee to record, for all leases with a lease term of more than 12 months, an asset representing its right to use the underlying asset and a liability to make lease payments. The Company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elected not to apply the recognition requirements of ASC 842 to short-term leases, defined as leases with a term of 12 months or less, and to recognize the lease payments in net income on short-term leases on a straight-line basis over the lease term.</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Derivative financial instruments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may enter into commitments to fund residential mortgage loans (interest rate locks) with the intention of selling them in the secondary market. The Company also enters into forward sales agreements for certain funded loans and loan commitments. The Company records unfunded commitments intended for loans held for sale and forward sales agreements at fair value with changes in fair value recorded as a component of mortgage banking revenue. Loans originated and intended for sale in the secondary market are carried at fair value. For pipeline loans which are not pre-sold to an investor, the Company endeavors to manage the interest rate risk on rate lock commitments by entering into forward sale contracts, whereby the Company obtains the right to deliver securities to investors in the future at a specified price. Such contracts are accounted for as derivatives and are recorded at fair value as derivative assets or liabilities, with changes in fair value recorded in mortgage banking revenue.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87" w:name="page88"/>
    <w:bookmarkEnd w:id="87"/>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The Company accounts for derivative instruments and hedging activities according to guidelines established in ASC 815-10, </w:t>
      </w:r>
      <w:r>
        <w:rPr>
          <w:rFonts w:ascii="Arial" w:cs="Arial" w:eastAsia="Arial" w:hAnsi="Arial"/>
          <w:sz w:val="14"/>
          <w:szCs w:val="14"/>
          <w:i w:val="1"/>
          <w:iCs w:val="1"/>
          <w:color w:val="auto"/>
        </w:rPr>
        <w:t>Accounting for Derivative Instruments and Hedging</w:t>
      </w:r>
      <w:r>
        <w:rPr>
          <w:rFonts w:ascii="Arial" w:cs="Arial" w:eastAsia="Arial" w:hAnsi="Arial"/>
          <w:sz w:val="14"/>
          <w:szCs w:val="14"/>
          <w:color w:val="auto"/>
        </w:rPr>
        <w:t xml:space="preserve"> </w:t>
      </w:r>
      <w:r>
        <w:rPr>
          <w:rFonts w:ascii="Arial" w:cs="Arial" w:eastAsia="Arial" w:hAnsi="Arial"/>
          <w:sz w:val="14"/>
          <w:szCs w:val="14"/>
          <w:i w:val="1"/>
          <w:iCs w:val="1"/>
          <w:color w:val="auto"/>
        </w:rPr>
        <w:t>Activities</w:t>
      </w:r>
      <w:r>
        <w:rPr>
          <w:rFonts w:ascii="Arial" w:cs="Arial" w:eastAsia="Arial" w:hAnsi="Arial"/>
          <w:sz w:val="14"/>
          <w:szCs w:val="14"/>
          <w:color w:val="auto"/>
        </w:rPr>
        <w:t>, as amended. The Company recognizes all derivatives as either assets or liabilities on the balance sheet and measures those instruments at fair value. Changes in fair</w:t>
      </w:r>
      <w:r>
        <w:rPr>
          <w:rFonts w:ascii="Arial" w:cs="Arial" w:eastAsia="Arial" w:hAnsi="Arial"/>
          <w:sz w:val="14"/>
          <w:szCs w:val="14"/>
          <w:i w:val="1"/>
          <w:iCs w:val="1"/>
          <w:color w:val="auto"/>
        </w:rPr>
        <w:t xml:space="preserve"> </w:t>
      </w:r>
      <w:r>
        <w:rPr>
          <w:rFonts w:ascii="Arial" w:cs="Arial" w:eastAsia="Arial" w:hAnsi="Arial"/>
          <w:sz w:val="14"/>
          <w:szCs w:val="14"/>
          <w:color w:val="auto"/>
        </w:rPr>
        <w:t>value of derivatives designated and accounted for as cash flow hedges, to the extent they are effective as hedges, are recorded in other comprehensive income, net of deferred taxes. Any hedge ineffectiveness would be recognized in the income statement line item pertaining to the hedged item. As of December 31, 2023, there were no derivative instruments held which would require recognition by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Fair value measurements</w:t>
      </w:r>
    </w:p>
    <w:p>
      <w:pPr>
        <w:spacing w:after="0" w:line="179" w:lineRule="exact"/>
        <w:rPr>
          <w:sz w:val="20"/>
          <w:szCs w:val="20"/>
          <w:color w:val="auto"/>
        </w:rPr>
      </w:pPr>
    </w:p>
    <w:p>
      <w:pPr>
        <w:jc w:val="both"/>
        <w:ind w:right="20"/>
        <w:spacing w:after="0" w:line="261" w:lineRule="auto"/>
        <w:rPr>
          <w:sz w:val="20"/>
          <w:szCs w:val="20"/>
          <w:color w:val="auto"/>
        </w:rPr>
      </w:pPr>
      <w:r>
        <w:rPr>
          <w:rFonts w:ascii="Arial" w:cs="Arial" w:eastAsia="Arial" w:hAnsi="Arial"/>
          <w:sz w:val="14"/>
          <w:szCs w:val="14"/>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estimates, we strive to maximize the use of observable inputs and minimize the use of unobservable inputs.</w:t>
      </w:r>
    </w:p>
    <w:p>
      <w:pPr>
        <w:spacing w:after="0" w:line="31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fair value hierarchy defines Level 1 valuations as those based on quoted prices (unadjusted) for 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Financial assets that are recorded at fair value on a recurring basis include investment securities available for sale, loans held for sale, and derivative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Financial liabilities that are recorded at fair value on a recurring basis are comprised of derivative financial instruments. See Note 17 -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Revenue Recognition</w:t>
      </w:r>
    </w:p>
    <w:p>
      <w:pPr>
        <w:spacing w:after="0" w:line="179"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Accounting Standards Codification 606, Revenue from Contracts with Customers (“ASC 606”), establishes a revenue recognition model for reporting information about the nature, amount, timing and uncertainty of revenue and cash flows arising from the entity's contracts to provide goods or services to customers. A description of the revenue-generating activities that are within the scope of ASC 606, and included in other income in the Company’s consolidated statements of income are as follows: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Income and Fees</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Interest income and fees on loans and investment securities are recognized based on the contractual provisions of the underlying arrangements. Loan origination fees, direct loan origination costs, premiums and discounts on loans held for investment are deferred and generally amortized into interest income as yield adjustments over the contractual life and/or commitment period using the interest method. For credit card loans, loan origination fees and direct loan origination costs are amortized on a straight-line basis over a 12 or 24 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6" w:right="339" w:bottom="1440" w:gutter="0" w:footer="0" w:header="0"/>
        </w:sectPr>
      </w:pPr>
    </w:p>
    <w:bookmarkStart w:id="88" w:name="page89"/>
    <w:bookmarkEnd w:id="88"/>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179" w:lineRule="exact"/>
        <w:rPr>
          <w:sz w:val="20"/>
          <w:szCs w:val="20"/>
          <w:color w:val="auto"/>
        </w:rPr>
      </w:pPr>
    </w:p>
    <w:p>
      <w:pPr>
        <w:jc w:val="both"/>
        <w:ind w:right="40"/>
        <w:spacing w:after="0" w:line="271" w:lineRule="auto"/>
        <w:rPr>
          <w:sz w:val="20"/>
          <w:szCs w:val="20"/>
          <w:color w:val="auto"/>
        </w:rPr>
      </w:pPr>
      <w:r>
        <w:rPr>
          <w:rFonts w:ascii="Arial" w:cs="Arial" w:eastAsia="Arial" w:hAnsi="Arial"/>
          <w:sz w:val="14"/>
          <w:szCs w:val="14"/>
          <w:color w:val="auto"/>
        </w:rPr>
        <w:t>The unamortized premiums, discounts and other basis adjustments on investment securities are included as components of the investment securities’ carrying value and are generally recognized in interest income as yield adjustments over the contractual lives of the securities using the interest method. However, premiums for certain callable investment securities are amortized to the earliest call date.</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Finance charges and fees on credit card loans are recorded in revenue when earned and presented on our consolidated balance sheets within portfolio loans receivable. Annual membership fees are classified as interest income in our consolidated statements of income and are deferred and amortized over 12 months on a straight-line basis.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Bank-owned life insurance</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had $37.7 million of bank-owned life insurance at December 31, 2023 and $36.5 million at December 31, 2022. The Company recognized income on bank-owned life insurance, which is included in other noninterest income, of $1.2 million and $1.0 million for the years ended December 31, 2023 and December 31, 2022,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Income taxes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employs the asset and liability method of accounting for income taxes as required by ASC Topic 740, “</w:t>
      </w:r>
      <w:r>
        <w:rPr>
          <w:rFonts w:ascii="Arial" w:cs="Arial" w:eastAsia="Arial" w:hAnsi="Arial"/>
          <w:sz w:val="14"/>
          <w:szCs w:val="14"/>
          <w:i w:val="1"/>
          <w:iCs w:val="1"/>
          <w:color w:val="auto"/>
        </w:rPr>
        <w:t>Income Taxes</w:t>
      </w:r>
      <w:r>
        <w:rPr>
          <w:rFonts w:ascii="Arial" w:cs="Arial" w:eastAsia="Arial" w:hAnsi="Arial"/>
          <w:sz w:val="14"/>
          <w:szCs w:val="14"/>
          <w:color w:val="auto"/>
        </w:rPr>
        <w:t>.” Under this method, deferred tax assets and liabilities are determined based on differences between the financial statement carrying amounts and the tax basis of existing assets and liabilities (i.e., temporary timing differences) and are measured at the enacted rates that will be in effect when these differences reverse. The Company utilizes statutory requirements for its income tax accounting, and limits risks associated with potentially problematic tax positions that may incur challenge upon audit, where an adverse outcome is more likely than not. Therefore, no provisions are necessary for either uncertain tax positions nor accompanying potential tax penalties and interest for underpayments of income taxes in the Company’s tax reserves. In accordance with ASC Topic 740, the Company may establish a valuation allowance against deferred tax assets in those cases where realization is less than certain.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Earnings per share</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Earnings per share is computed by dividing net income available to common stockholders by the weighted average number of shares outstanding. Diluted earnings per share is computed by dividing net income by the weighted average number of common shares outstanding, adjusted for the dilutive effect of stock options and restricted stock using the treasury stock method. At December 31, 2023 and 2022, there were 277,066 and 139,921 stock options, respectively, excluded from the calculation as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89" w:name="page90"/>
    <w:bookmarkEnd w:id="89"/>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reconciliation of the numerators and denominators used in computing basic and diluted earnings per common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8"/>
          </w:tcPr>
          <w:p>
            <w:pPr>
              <w:spacing w:after="0"/>
              <w:rPr>
                <w:sz w:val="20"/>
                <w:szCs w:val="20"/>
                <w:color w:val="auto"/>
              </w:rPr>
            </w:pPr>
            <w:r>
              <w:rPr>
                <w:rFonts w:ascii="Arial" w:cs="Arial" w:eastAsia="Arial" w:hAnsi="Arial"/>
                <w:sz w:val="11"/>
                <w:szCs w:val="11"/>
                <w:b w:val="1"/>
                <w:bCs w:val="1"/>
                <w:color w:val="auto"/>
              </w:rPr>
              <w:t>For the Years Ended December 31,</w:t>
            </w:r>
          </w:p>
        </w:tc>
        <w:tc>
          <w:tcPr>
            <w:tcW w:w="1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7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2023</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2022</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4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Income</w:t>
            </w:r>
          </w:p>
        </w:tc>
        <w:tc>
          <w:tcPr>
            <w:tcW w:w="1180" w:type="dxa"/>
            <w:vAlign w:val="bottom"/>
          </w:tcPr>
          <w:p>
            <w:pPr>
              <w:jc w:val="right"/>
              <w:ind w:right="86"/>
              <w:spacing w:after="0" w:line="87" w:lineRule="exact"/>
              <w:rPr>
                <w:sz w:val="20"/>
                <w:szCs w:val="20"/>
                <w:color w:val="auto"/>
              </w:rPr>
            </w:pPr>
            <w:r>
              <w:rPr>
                <w:rFonts w:ascii="Arial" w:cs="Arial" w:eastAsia="Arial" w:hAnsi="Arial"/>
                <w:sz w:val="10"/>
                <w:szCs w:val="10"/>
                <w:b w:val="1"/>
                <w:bCs w:val="1"/>
                <w:color w:val="auto"/>
              </w:rPr>
              <w:t>Weighted Average</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jc w:val="center"/>
              <w:ind w:right="87"/>
              <w:spacing w:after="0" w:line="87" w:lineRule="exact"/>
              <w:rPr>
                <w:sz w:val="20"/>
                <w:szCs w:val="20"/>
                <w:color w:val="auto"/>
              </w:rPr>
            </w:pPr>
            <w:r>
              <w:rPr>
                <w:rFonts w:ascii="Arial" w:cs="Arial" w:eastAsia="Arial" w:hAnsi="Arial"/>
                <w:sz w:val="10"/>
                <w:szCs w:val="10"/>
                <w:b w:val="1"/>
                <w:bCs w:val="1"/>
                <w:color w:val="auto"/>
                <w:w w:val="98"/>
              </w:rPr>
              <w:t>Per Share</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gridSpan w:val="2"/>
          </w:tcPr>
          <w:p>
            <w:pPr>
              <w:jc w:val="center"/>
              <w:ind w:right="180"/>
              <w:spacing w:after="0" w:line="87" w:lineRule="exact"/>
              <w:rPr>
                <w:sz w:val="20"/>
                <w:szCs w:val="20"/>
                <w:color w:val="auto"/>
              </w:rPr>
            </w:pPr>
            <w:r>
              <w:rPr>
                <w:rFonts w:ascii="Arial" w:cs="Arial" w:eastAsia="Arial" w:hAnsi="Arial"/>
                <w:sz w:val="10"/>
                <w:szCs w:val="10"/>
                <w:color w:val="auto"/>
                <w:w w:val="99"/>
              </w:rPr>
              <w:t>Weighted Average</w:t>
            </w:r>
          </w:p>
        </w:tc>
        <w:tc>
          <w:tcPr>
            <w:tcW w:w="120" w:type="dxa"/>
            <w:vAlign w:val="bottom"/>
          </w:tcPr>
          <w:p>
            <w:pPr>
              <w:spacing w:after="0"/>
              <w:rPr>
                <w:sz w:val="7"/>
                <w:szCs w:val="7"/>
                <w:color w:val="auto"/>
              </w:rPr>
            </w:pPr>
          </w:p>
        </w:tc>
        <w:tc>
          <w:tcPr>
            <w:tcW w:w="620" w:type="dxa"/>
            <w:vAlign w:val="bottom"/>
          </w:tcPr>
          <w:p>
            <w:pPr>
              <w:jc w:val="right"/>
              <w:ind w:right="87"/>
              <w:spacing w:after="0" w:line="87" w:lineRule="exact"/>
              <w:rPr>
                <w:sz w:val="20"/>
                <w:szCs w:val="20"/>
                <w:color w:val="auto"/>
              </w:rPr>
            </w:pPr>
            <w:r>
              <w:rPr>
                <w:rFonts w:ascii="Arial" w:cs="Arial" w:eastAsia="Arial" w:hAnsi="Arial"/>
                <w:sz w:val="10"/>
                <w:szCs w:val="10"/>
                <w:color w:val="auto"/>
              </w:rPr>
              <w:t>Per Share</w:t>
            </w:r>
          </w:p>
        </w:tc>
        <w:tc>
          <w:tcPr>
            <w:tcW w:w="0" w:type="dxa"/>
            <w:vAlign w:val="bottom"/>
          </w:tcPr>
          <w:p>
            <w:pPr>
              <w:spacing w:after="0"/>
              <w:rPr>
                <w:sz w:val="1"/>
                <w:szCs w:val="1"/>
                <w:color w:val="auto"/>
              </w:rPr>
            </w:pPr>
          </w:p>
        </w:tc>
      </w:tr>
      <w:tr>
        <w:trPr>
          <w:trHeight w:val="145"/>
        </w:trPr>
        <w:tc>
          <w:tcPr>
            <w:tcW w:w="4720" w:type="dxa"/>
            <w:vAlign w:val="bottom"/>
          </w:tcPr>
          <w:p>
            <w:pPr>
              <w:ind w:left="20"/>
              <w:spacing w:after="0"/>
              <w:rPr>
                <w:sz w:val="20"/>
                <w:szCs w:val="20"/>
                <w:color w:val="auto"/>
              </w:rPr>
            </w:pPr>
            <w:r>
              <w:rPr>
                <w:rFonts w:ascii="Arial" w:cs="Arial" w:eastAsia="Arial" w:hAnsi="Arial"/>
                <w:sz w:val="8"/>
                <w:szCs w:val="8"/>
                <w:i w:val="1"/>
                <w:iCs w:val="1"/>
                <w:color w:val="auto"/>
              </w:rPr>
              <w:t>(dollars in thousands)</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80" w:type="dxa"/>
            <w:vAlign w:val="bottom"/>
          </w:tcPr>
          <w:p>
            <w:pPr>
              <w:jc w:val="right"/>
              <w:ind w:right="346"/>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Amount</w:t>
            </w:r>
          </w:p>
        </w:tc>
        <w:tc>
          <w:tcPr>
            <w:tcW w:w="200" w:type="dxa"/>
            <w:vAlign w:val="bottom"/>
          </w:tcPr>
          <w:p>
            <w:pPr>
              <w:spacing w:after="0"/>
              <w:rPr>
                <w:sz w:val="12"/>
                <w:szCs w:val="12"/>
                <w:color w:val="auto"/>
              </w:rPr>
            </w:pPr>
          </w:p>
        </w:tc>
        <w:tc>
          <w:tcPr>
            <w:tcW w:w="860" w:type="dxa"/>
            <w:vAlign w:val="bottom"/>
            <w:gridSpan w:val="2"/>
          </w:tcPr>
          <w:p>
            <w:pPr>
              <w:ind w:left="120"/>
              <w:spacing w:after="0"/>
              <w:rPr>
                <w:sz w:val="20"/>
                <w:szCs w:val="20"/>
                <w:color w:val="auto"/>
              </w:rPr>
            </w:pPr>
            <w:r>
              <w:rPr>
                <w:rFonts w:ascii="Arial" w:cs="Arial" w:eastAsia="Arial" w:hAnsi="Arial"/>
                <w:sz w:val="10"/>
                <w:szCs w:val="10"/>
                <w:color w:val="auto"/>
              </w:rPr>
              <w:t>Income</w:t>
            </w:r>
          </w:p>
        </w:tc>
        <w:tc>
          <w:tcPr>
            <w:tcW w:w="1360" w:type="dxa"/>
            <w:vAlign w:val="bottom"/>
            <w:gridSpan w:val="2"/>
          </w:tcPr>
          <w:p>
            <w:pPr>
              <w:jc w:val="center"/>
              <w:ind w:right="180"/>
              <w:spacing w:after="0"/>
              <w:rPr>
                <w:sz w:val="20"/>
                <w:szCs w:val="20"/>
                <w:color w:val="auto"/>
              </w:rPr>
            </w:pPr>
            <w:r>
              <w:rPr>
                <w:rFonts w:ascii="Arial" w:cs="Arial" w:eastAsia="Arial" w:hAnsi="Arial"/>
                <w:sz w:val="10"/>
                <w:szCs w:val="10"/>
                <w:color w:val="auto"/>
                <w:w w:val="94"/>
              </w:rPr>
              <w:t>Shares</w:t>
            </w:r>
          </w:p>
        </w:tc>
        <w:tc>
          <w:tcPr>
            <w:tcW w:w="120" w:type="dxa"/>
            <w:vAlign w:val="bottom"/>
          </w:tcPr>
          <w:p>
            <w:pPr>
              <w:spacing w:after="0"/>
              <w:rPr>
                <w:sz w:val="12"/>
                <w:szCs w:val="12"/>
                <w:color w:val="auto"/>
              </w:rPr>
            </w:pPr>
          </w:p>
        </w:tc>
        <w:tc>
          <w:tcPr>
            <w:tcW w:w="620" w:type="dxa"/>
            <w:vAlign w:val="bottom"/>
          </w:tcPr>
          <w:p>
            <w:pPr>
              <w:jc w:val="right"/>
              <w:ind w:right="147"/>
              <w:spacing w:after="0"/>
              <w:rPr>
                <w:sz w:val="20"/>
                <w:szCs w:val="20"/>
                <w:color w:val="auto"/>
              </w:rPr>
            </w:pPr>
            <w:r>
              <w:rPr>
                <w:rFonts w:ascii="Arial" w:cs="Arial" w:eastAsia="Arial" w:hAnsi="Arial"/>
                <w:sz w:val="10"/>
                <w:szCs w:val="10"/>
                <w:color w:val="auto"/>
              </w:rPr>
              <w:t>Amount</w:t>
            </w:r>
          </w:p>
        </w:tc>
        <w:tc>
          <w:tcPr>
            <w:tcW w:w="0" w:type="dxa"/>
            <w:vAlign w:val="bottom"/>
          </w:tcPr>
          <w:p>
            <w:pPr>
              <w:spacing w:after="0"/>
              <w:rPr>
                <w:sz w:val="1"/>
                <w:szCs w:val="1"/>
                <w:color w:val="auto"/>
              </w:rPr>
            </w:pPr>
          </w:p>
        </w:tc>
      </w:tr>
      <w:tr>
        <w:trPr>
          <w:trHeight w:val="142"/>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Basic EPS</w:t>
            </w: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720" w:type="dxa"/>
            <w:vAlign w:val="bottom"/>
          </w:tcPr>
          <w:p>
            <w:pPr>
              <w:ind w:left="120"/>
              <w:spacing w:after="0"/>
              <w:rPr>
                <w:sz w:val="20"/>
                <w:szCs w:val="20"/>
                <w:color w:val="auto"/>
              </w:rPr>
            </w:pPr>
            <w:r>
              <w:rPr>
                <w:rFonts w:ascii="Arial" w:cs="Arial" w:eastAsia="Arial" w:hAnsi="Arial"/>
                <w:sz w:val="11"/>
                <w:szCs w:val="11"/>
                <w:color w:val="auto"/>
              </w:rPr>
              <w:t>Net income available to common stockholders</w:t>
            </w:r>
          </w:p>
        </w:tc>
        <w:tc>
          <w:tcPr>
            <w:tcW w:w="180" w:type="dxa"/>
            <w:vAlign w:val="bottom"/>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780" w:type="dxa"/>
            <w:vAlign w:val="bottom"/>
          </w:tcPr>
          <w:p>
            <w:pPr>
              <w:jc w:val="right"/>
              <w:ind w:right="5"/>
              <w:spacing w:after="0"/>
              <w:rPr>
                <w:sz w:val="20"/>
                <w:szCs w:val="20"/>
                <w:color w:val="auto"/>
              </w:rPr>
            </w:pPr>
            <w:r>
              <w:rPr>
                <w:rFonts w:ascii="Arial" w:cs="Arial" w:eastAsia="Arial" w:hAnsi="Arial"/>
                <w:sz w:val="11"/>
                <w:szCs w:val="11"/>
                <w:b w:val="1"/>
                <w:bCs w:val="1"/>
                <w:color w:val="auto"/>
              </w:rPr>
              <w:t>35,871</w:t>
            </w: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14,002,556</w:t>
            </w:r>
          </w:p>
        </w:tc>
        <w:tc>
          <w:tcPr>
            <w:tcW w:w="28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jc w:val="right"/>
              <w:ind w:right="7"/>
              <w:spacing w:after="0"/>
              <w:rPr>
                <w:sz w:val="20"/>
                <w:szCs w:val="20"/>
                <w:color w:val="auto"/>
              </w:rPr>
            </w:pPr>
            <w:r>
              <w:rPr>
                <w:rFonts w:ascii="Arial" w:cs="Arial" w:eastAsia="Arial" w:hAnsi="Arial"/>
                <w:sz w:val="11"/>
                <w:szCs w:val="11"/>
                <w:b w:val="1"/>
                <w:bCs w:val="1"/>
                <w:color w:val="auto"/>
              </w:rPr>
              <w:t>2.56</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41,805</w:t>
            </w:r>
          </w:p>
        </w:tc>
        <w:tc>
          <w:tcPr>
            <w:tcW w:w="10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14,024,598</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2.98</w:t>
            </w:r>
          </w:p>
        </w:tc>
        <w:tc>
          <w:tcPr>
            <w:tcW w:w="0" w:type="dxa"/>
            <w:vAlign w:val="bottom"/>
          </w:tcPr>
          <w:p>
            <w:pPr>
              <w:spacing w:after="0"/>
              <w:rPr>
                <w:sz w:val="1"/>
                <w:szCs w:val="1"/>
                <w:color w:val="auto"/>
              </w:rPr>
            </w:pPr>
          </w:p>
        </w:tc>
      </w:tr>
      <w:tr>
        <w:trPr>
          <w:trHeight w:val="159"/>
        </w:trPr>
        <w:tc>
          <w:tcPr>
            <w:tcW w:w="47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Effect of dilutive securities</w:t>
            </w: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77,991</w:t>
            </w: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337,605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720" w:type="dxa"/>
            <w:vAlign w:val="bottom"/>
          </w:tcPr>
          <w:p>
            <w:pPr>
              <w:ind w:left="20"/>
              <w:spacing w:after="0"/>
              <w:rPr>
                <w:sz w:val="20"/>
                <w:szCs w:val="20"/>
                <w:color w:val="auto"/>
              </w:rPr>
            </w:pPr>
            <w:r>
              <w:rPr>
                <w:rFonts w:ascii="Arial" w:cs="Arial" w:eastAsia="Arial" w:hAnsi="Arial"/>
                <w:sz w:val="11"/>
                <w:szCs w:val="11"/>
                <w:color w:val="auto"/>
              </w:rPr>
              <w:t>Dilutive EPS per common share</w:t>
            </w:r>
          </w:p>
        </w:tc>
        <w:tc>
          <w:tcPr>
            <w:tcW w:w="180" w:type="dxa"/>
            <w:vAlign w:val="bottom"/>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780" w:type="dxa"/>
            <w:vAlign w:val="bottom"/>
          </w:tcPr>
          <w:p>
            <w:pPr>
              <w:jc w:val="right"/>
              <w:ind w:right="5"/>
              <w:spacing w:after="0"/>
              <w:rPr>
                <w:sz w:val="20"/>
                <w:szCs w:val="20"/>
                <w:color w:val="auto"/>
              </w:rPr>
            </w:pPr>
            <w:r>
              <w:rPr>
                <w:rFonts w:ascii="Arial" w:cs="Arial" w:eastAsia="Arial" w:hAnsi="Arial"/>
                <w:sz w:val="11"/>
                <w:szCs w:val="11"/>
                <w:b w:val="1"/>
                <w:bCs w:val="1"/>
                <w:color w:val="auto"/>
              </w:rPr>
              <w:t>35,871</w:t>
            </w: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14,080,547</w:t>
            </w:r>
          </w:p>
        </w:tc>
        <w:tc>
          <w:tcPr>
            <w:tcW w:w="28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jc w:val="right"/>
              <w:ind w:right="7"/>
              <w:spacing w:after="0"/>
              <w:rPr>
                <w:sz w:val="20"/>
                <w:szCs w:val="20"/>
                <w:color w:val="auto"/>
              </w:rPr>
            </w:pPr>
            <w:r>
              <w:rPr>
                <w:rFonts w:ascii="Arial" w:cs="Arial" w:eastAsia="Arial" w:hAnsi="Arial"/>
                <w:sz w:val="11"/>
                <w:szCs w:val="11"/>
                <w:b w:val="1"/>
                <w:bCs w:val="1"/>
                <w:color w:val="auto"/>
              </w:rPr>
              <w:t>2.55</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41,805</w:t>
            </w:r>
          </w:p>
        </w:tc>
        <w:tc>
          <w:tcPr>
            <w:tcW w:w="10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14,362,203</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2.91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Comprehensive loss</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reports as comprehensive loss all changes in stockholders' equity during the year from non-stockholder sources. Other comprehensive loss refers to all components (income, expenses, gains, and losses) of comprehensive loss that are excluded from net income.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The Company's only component of other comprehensive loss is unrealized losses on investment securities available for sale, net of income taxes. Information concerning the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Company's accumulated other comprehensive loss as of December 31, 2023 and 2022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127000</wp:posOffset>
            </wp:positionV>
            <wp:extent cx="185293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52930" cy="6985"/>
                    </a:xfrm>
                    <a:prstGeom prst="rect">
                      <a:avLst/>
                    </a:prstGeom>
                    <a:noFill/>
                  </pic:spPr>
                </pic:pic>
              </a:graphicData>
            </a:graphic>
          </wp:anchor>
        </w:drawing>
      </w:r>
    </w:p>
    <w:p>
      <w:pPr>
        <w:spacing w:after="0" w:line="191" w:lineRule="exact"/>
        <w:rPr>
          <w:sz w:val="20"/>
          <w:szCs w:val="20"/>
          <w:color w:val="auto"/>
        </w:rPr>
      </w:pPr>
    </w:p>
    <w:p>
      <w:pPr>
        <w:ind w:left="6500"/>
        <w:spacing w:after="0"/>
        <w:rPr>
          <w:sz w:val="20"/>
          <w:szCs w:val="20"/>
          <w:color w:val="auto"/>
        </w:rPr>
      </w:pPr>
      <w:r>
        <w:rPr>
          <w:rFonts w:ascii="Arial" w:cs="Arial" w:eastAsia="Arial" w:hAnsi="Arial"/>
          <w:sz w:val="13"/>
          <w:szCs w:val="13"/>
          <w:b w:val="1"/>
          <w:bCs w:val="1"/>
          <w:color w:val="auto"/>
        </w:rPr>
        <w:t>As of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(in thousands)</w:t>
            </w: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60"/>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losses on securities available for sale</w:t>
            </w:r>
          </w:p>
        </w:tc>
        <w:tc>
          <w:tcPr>
            <w:tcW w:w="32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(17,350)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(22,416)</w:t>
            </w:r>
          </w:p>
        </w:tc>
      </w:tr>
      <w:tr>
        <w:trPr>
          <w:trHeight w:val="17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Deferred tax benefit</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4,253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5,665</w:t>
            </w:r>
          </w:p>
        </w:tc>
      </w:tr>
      <w:tr>
        <w:trPr>
          <w:trHeight w:val="185"/>
        </w:trPr>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accumulated comprehensive loss</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(13,097)</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(16,751)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90" w:name="page91"/>
    <w:bookmarkEnd w:id="90"/>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Recently issued accounting pronouncements:</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March 2020, the FASB released ASU 2020-04 - Reference Rate Reform, Topic 848, which provides temporary guidance to ease the potential accounting burden in accounting for, or recognizing the effects from, reference rate reform on financial reporting. The new standard is a result of London Interbank Offered Rate (“LIBOR”) likely being discontinued as an available benchmark rate. The standard is elective and provides optional expedients and exceptions for applying GAAP to contracts, hedging relationships, or other transactions that reference LIBOR, or another reference rate expected to be discontinued. The amendments in the update are effective for all entities between March 12, 2020 and an extended sunset date of December 31, 2024 which was extended by ASU 2022-06 issued by FASB in December 2022. The Company has completed the transition from LIBOR with no material impact on the Company’s financial position or results of operations.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December 2023, the FASB issued Accounting Standards Update ("ASU") 2023-07, "Segment Reporting (Topic 280), Improvements to Reportable Segment Disclosures" ("ASU 2023-07"). ASU 2023-07 Requires public entities to disclose significant segment expenses, an amount and description for other segment items, the title and position of the entity’s chief operating decision maker ("CODM") and an explanation of how the CODM uses the reported measures of profit or loss to assess segment performance, and, on an interim basis, certain segment related disclosures that previously were required only on an annual basis. ASU 2023-07 also clarifies that entities with a single reportable segment are subject to both new and existing segment reporting requirements and that an entity is permitted to disclose multiple measures of segment profit or loss, provided that certain criteria are met. ASU 2023-07 is effective for the Company for fiscal years beginning after December 15, 2023 and interim periods within fiscal years beginning after December 15, 2024, with early adoption permitted. The Company will update its segment related disclosures upon adoption.</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 December 2023, the FASB issued Accounting Standards Update 2023-09, “Income Taxes (Topic 740), Improvements to Income Tax Disclosures" ("ASU 2023-09"). ASU 2023-09 requires public entities to disclose in their rate reconciliation table additional categories of information about federal, state and foreign income taxes and to provide more details about the reconciling items in some categories if items meet a quantitative threshold. ASU 2023-09 also requires all entities to disclose income taxes paid, net of refunds, disaggregated by federal, state and foreign taxes for annual periods and to disaggregate the information by jurisdiction based on a quantitative threshold, among other things. ASU 2023-09 is effective for the Company for fiscal years beginning after December 15, 2024 with early adoption permitted. The Company will update its income tax disclosures upon adoption.</w:t>
      </w:r>
    </w:p>
    <w:p>
      <w:pPr>
        <w:spacing w:after="0" w:line="31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Other accounting standards that have been issued or proposed by the FASB or other standards-setting bodies are not expected to have a material impact on the Company's financial position, results of operations or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Reclassifications:</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Certain reclassifications have been made to amounts reported in prior periods to conform to the current period presentation. The reclassifications had no material effect on net income or total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91" w:name="page92"/>
    <w:bookmarkEnd w:id="91"/>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Cash and Cash Equivalents</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Cash and cash equivalents include cash and amounts due from banks, interest-bearing deposits and federal funds sold. The Bank is required by regulations to maintain an average cash reserve balance based on a percentage of deposits; however, on March 15, 2020, the Federal Reserve announced that reserve requirement ratios would be reduced to zero percent effective March 26, 2020, due to economic conditions, which eliminated the reserve requirement for all depository institutions. The reserve requirement is still at zero percent as of December 31, 2023.</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Investment Securities</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summarizes the amortized cost, fair value and allowance for credit losses of securities available-for-sale at December 31, 2023 and the corresponding amounts of gross unrealized gains and losses recognized in accumulated other comprehensive income (loss):</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Amortized</w:t>
            </w:r>
          </w:p>
        </w:tc>
        <w:tc>
          <w:tcPr>
            <w:tcW w:w="240" w:type="dxa"/>
            <w:vAlign w:val="bottom"/>
          </w:tcPr>
          <w:p>
            <w:pPr>
              <w:spacing w:after="0"/>
              <w:rPr>
                <w:sz w:val="10"/>
                <w:szCs w:val="1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Gross Unrealized</w:t>
            </w:r>
          </w:p>
        </w:tc>
        <w:tc>
          <w:tcPr>
            <w:tcW w:w="220" w:type="dxa"/>
            <w:vAlign w:val="bottom"/>
          </w:tcPr>
          <w:p>
            <w:pPr>
              <w:spacing w:after="0"/>
              <w:rPr>
                <w:sz w:val="10"/>
                <w:szCs w:val="1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Gross Unrealized</w:t>
            </w:r>
          </w:p>
        </w:tc>
        <w:tc>
          <w:tcPr>
            <w:tcW w:w="100" w:type="dxa"/>
            <w:vAlign w:val="bottom"/>
          </w:tcPr>
          <w:p>
            <w:pPr>
              <w:spacing w:after="0"/>
              <w:rPr>
                <w:sz w:val="10"/>
                <w:szCs w:val="10"/>
                <w:color w:val="auto"/>
              </w:rPr>
            </w:pPr>
          </w:p>
        </w:tc>
        <w:tc>
          <w:tcPr>
            <w:tcW w:w="1360" w:type="dxa"/>
            <w:vAlign w:val="bottom"/>
            <w:gridSpan w:val="2"/>
          </w:tcPr>
          <w:p>
            <w:pPr>
              <w:ind w:left="20"/>
              <w:spacing w:after="0"/>
              <w:rPr>
                <w:sz w:val="20"/>
                <w:szCs w:val="20"/>
                <w:color w:val="auto"/>
              </w:rPr>
            </w:pPr>
            <w:r>
              <w:rPr>
                <w:rFonts w:ascii="Arial" w:cs="Arial" w:eastAsia="Arial" w:hAnsi="Arial"/>
                <w:sz w:val="11"/>
                <w:szCs w:val="11"/>
                <w:b w:val="1"/>
                <w:bCs w:val="1"/>
                <w:color w:val="auto"/>
              </w:rPr>
              <w:t>Allowance for Credit</w:t>
            </w:r>
          </w:p>
        </w:tc>
        <w:tc>
          <w:tcPr>
            <w:tcW w:w="320" w:type="dxa"/>
            <w:vAlign w:val="bottom"/>
          </w:tcPr>
          <w:p>
            <w:pPr>
              <w:spacing w:after="0"/>
              <w:rPr>
                <w:sz w:val="10"/>
                <w:szCs w:val="10"/>
                <w:color w:val="auto"/>
              </w:rPr>
            </w:pPr>
          </w:p>
        </w:tc>
        <w:tc>
          <w:tcPr>
            <w:tcW w:w="1100" w:type="dxa"/>
            <w:vAlign w:val="bottom"/>
          </w:tcPr>
          <w:p>
            <w:pPr>
              <w:jc w:val="right"/>
              <w:ind w:right="558"/>
              <w:spacing w:after="0"/>
              <w:rPr>
                <w:sz w:val="20"/>
                <w:szCs w:val="20"/>
                <w:color w:val="auto"/>
              </w:rPr>
            </w:pPr>
            <w:r>
              <w:rPr>
                <w:rFonts w:ascii="Arial" w:cs="Arial" w:eastAsia="Arial" w:hAnsi="Arial"/>
                <w:sz w:val="11"/>
                <w:szCs w:val="11"/>
                <w:b w:val="1"/>
                <w:bCs w:val="1"/>
                <w:color w:val="auto"/>
              </w:rPr>
              <w:t>Fair</w:t>
            </w:r>
          </w:p>
        </w:tc>
      </w:tr>
      <w:tr>
        <w:trPr>
          <w:trHeight w:val="144"/>
        </w:trPr>
        <w:tc>
          <w:tcPr>
            <w:tcW w:w="20" w:type="dxa"/>
            <w:vAlign w:val="bottom"/>
          </w:tcPr>
          <w:p>
            <w:pPr>
              <w:spacing w:after="0"/>
              <w:rPr>
                <w:sz w:val="12"/>
                <w:szCs w:val="12"/>
                <w:color w:val="auto"/>
              </w:rPr>
            </w:pPr>
          </w:p>
        </w:tc>
        <w:tc>
          <w:tcPr>
            <w:tcW w:w="3000" w:type="dxa"/>
            <w:vAlign w:val="bottom"/>
            <w:gridSpan w:val="2"/>
          </w:tcPr>
          <w:p>
            <w:pPr>
              <w:spacing w:after="0"/>
              <w:rPr>
                <w:sz w:val="20"/>
                <w:szCs w:val="20"/>
                <w:color w:val="auto"/>
              </w:rPr>
            </w:pPr>
            <w:r>
              <w:rPr>
                <w:rFonts w:ascii="Arial" w:cs="Arial" w:eastAsia="Arial" w:hAnsi="Arial"/>
                <w:sz w:val="8"/>
                <w:szCs w:val="8"/>
                <w:i w:val="1"/>
                <w:iCs w:val="1"/>
                <w:color w:val="auto"/>
              </w:rPr>
              <w:t>(in thousands)</w:t>
            </w:r>
          </w:p>
        </w:tc>
        <w:tc>
          <w:tcPr>
            <w:tcW w:w="24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7"/>
              </w:rPr>
              <w:t>Cost</w:t>
            </w:r>
          </w:p>
        </w:tc>
        <w:tc>
          <w:tcPr>
            <w:tcW w:w="240" w:type="dxa"/>
            <w:vAlign w:val="bottom"/>
          </w:tcPr>
          <w:p>
            <w:pPr>
              <w:spacing w:after="0"/>
              <w:rPr>
                <w:sz w:val="12"/>
                <w:szCs w:val="12"/>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7"/>
              </w:rPr>
              <w:t>Gains</w:t>
            </w:r>
          </w:p>
        </w:tc>
        <w:tc>
          <w:tcPr>
            <w:tcW w:w="220" w:type="dxa"/>
            <w:vAlign w:val="bottom"/>
          </w:tcPr>
          <w:p>
            <w:pPr>
              <w:spacing w:after="0"/>
              <w:rPr>
                <w:sz w:val="12"/>
                <w:szCs w:val="12"/>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Losses</w:t>
            </w:r>
          </w:p>
        </w:tc>
        <w:tc>
          <w:tcPr>
            <w:tcW w:w="100" w:type="dxa"/>
            <w:vAlign w:val="bottom"/>
          </w:tcPr>
          <w:p>
            <w:pPr>
              <w:spacing w:after="0"/>
              <w:rPr>
                <w:sz w:val="12"/>
                <w:szCs w:val="12"/>
                <w:color w:val="auto"/>
              </w:rPr>
            </w:pPr>
          </w:p>
        </w:tc>
        <w:tc>
          <w:tcPr>
            <w:tcW w:w="1360" w:type="dxa"/>
            <w:vAlign w:val="bottom"/>
            <w:gridSpan w:val="2"/>
          </w:tcPr>
          <w:p>
            <w:pPr>
              <w:ind w:left="380"/>
              <w:spacing w:after="0"/>
              <w:rPr>
                <w:sz w:val="20"/>
                <w:szCs w:val="20"/>
                <w:color w:val="auto"/>
              </w:rPr>
            </w:pPr>
            <w:r>
              <w:rPr>
                <w:rFonts w:ascii="Arial" w:cs="Arial" w:eastAsia="Arial" w:hAnsi="Arial"/>
                <w:sz w:val="11"/>
                <w:szCs w:val="11"/>
                <w:b w:val="1"/>
                <w:bCs w:val="1"/>
                <w:color w:val="auto"/>
              </w:rPr>
              <w:t>Losses</w:t>
            </w:r>
          </w:p>
        </w:tc>
        <w:tc>
          <w:tcPr>
            <w:tcW w:w="320" w:type="dxa"/>
            <w:vAlign w:val="bottom"/>
          </w:tcPr>
          <w:p>
            <w:pPr>
              <w:spacing w:after="0"/>
              <w:rPr>
                <w:sz w:val="12"/>
                <w:szCs w:val="12"/>
                <w:color w:val="auto"/>
              </w:rPr>
            </w:pPr>
          </w:p>
        </w:tc>
        <w:tc>
          <w:tcPr>
            <w:tcW w:w="1100" w:type="dxa"/>
            <w:vAlign w:val="bottom"/>
          </w:tcPr>
          <w:p>
            <w:pPr>
              <w:jc w:val="right"/>
              <w:ind w:right="518"/>
              <w:spacing w:after="0"/>
              <w:rPr>
                <w:sz w:val="20"/>
                <w:szCs w:val="20"/>
                <w:color w:val="auto"/>
              </w:rPr>
            </w:pPr>
            <w:r>
              <w:rPr>
                <w:rFonts w:ascii="Arial" w:cs="Arial" w:eastAsia="Arial" w:hAnsi="Arial"/>
                <w:sz w:val="11"/>
                <w:szCs w:val="11"/>
                <w:b w:val="1"/>
                <w:bCs w:val="1"/>
                <w:color w:val="auto"/>
              </w:rPr>
              <w:t>Value</w:t>
            </w:r>
          </w:p>
        </w:tc>
      </w:tr>
      <w:tr>
        <w:trPr>
          <w:trHeight w:val="124"/>
        </w:trPr>
        <w:tc>
          <w:tcPr>
            <w:tcW w:w="20" w:type="dxa"/>
            <w:vAlign w:val="bottom"/>
          </w:tcPr>
          <w:p>
            <w:pPr>
              <w:spacing w:after="0"/>
              <w:rPr>
                <w:sz w:val="10"/>
                <w:szCs w:val="10"/>
                <w:color w:val="auto"/>
              </w:rPr>
            </w:pPr>
          </w:p>
        </w:tc>
        <w:tc>
          <w:tcPr>
            <w:tcW w:w="1140" w:type="dxa"/>
            <w:vAlign w:val="bottom"/>
            <w:tcBorders>
              <w:bottom w:val="single" w:sz="8" w:color="auto"/>
            </w:tcBorders>
          </w:tcPr>
          <w:p>
            <w:pPr>
              <w:spacing w:after="0" w:line="118" w:lineRule="exact"/>
              <w:rPr>
                <w:sz w:val="20"/>
                <w:szCs w:val="20"/>
                <w:color w:val="auto"/>
              </w:rPr>
            </w:pPr>
            <w:r>
              <w:rPr>
                <w:rFonts w:ascii="Arial" w:cs="Arial" w:eastAsia="Arial" w:hAnsi="Arial"/>
                <w:sz w:val="13"/>
                <w:szCs w:val="13"/>
                <w:b w:val="1"/>
                <w:bCs w:val="1"/>
                <w:color w:val="auto"/>
                <w:w w:val="95"/>
              </w:rPr>
              <w:t>December 31, 2023</w:t>
            </w:r>
          </w:p>
        </w:tc>
        <w:tc>
          <w:tcPr>
            <w:tcW w:w="18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r>
      <w:tr>
        <w:trPr>
          <w:trHeight w:val="176"/>
        </w:trPr>
        <w:tc>
          <w:tcPr>
            <w:tcW w:w="20" w:type="dxa"/>
            <w:vAlign w:val="bottom"/>
            <w:shd w:val="clear" w:color="auto" w:fill="CCEEFF"/>
          </w:tcPr>
          <w:p>
            <w:pPr>
              <w:spacing w:after="0"/>
              <w:rPr>
                <w:sz w:val="15"/>
                <w:szCs w:val="15"/>
                <w:color w:val="auto"/>
              </w:rPr>
            </w:pPr>
          </w:p>
        </w:tc>
        <w:tc>
          <w:tcPr>
            <w:tcW w:w="30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U.S. Treasuries</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161,420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(12,192)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149,228</w:t>
            </w:r>
          </w:p>
        </w:tc>
      </w:tr>
      <w:tr>
        <w:trPr>
          <w:trHeight w:val="170"/>
        </w:trPr>
        <w:tc>
          <w:tcPr>
            <w:tcW w:w="20" w:type="dxa"/>
            <w:vAlign w:val="bottom"/>
          </w:tcPr>
          <w:p>
            <w:pPr>
              <w:spacing w:after="0"/>
              <w:rPr>
                <w:sz w:val="14"/>
                <w:szCs w:val="14"/>
                <w:color w:val="auto"/>
              </w:rPr>
            </w:pPr>
          </w:p>
        </w:tc>
        <w:tc>
          <w:tcPr>
            <w:tcW w:w="3000" w:type="dxa"/>
            <w:vAlign w:val="bottom"/>
            <w:gridSpan w:val="2"/>
          </w:tcPr>
          <w:p>
            <w:pPr>
              <w:ind w:left="80"/>
              <w:spacing w:after="0"/>
              <w:rPr>
                <w:sz w:val="20"/>
                <w:szCs w:val="20"/>
                <w:color w:val="auto"/>
              </w:rPr>
            </w:pPr>
            <w:r>
              <w:rPr>
                <w:rFonts w:ascii="Arial" w:cs="Arial" w:eastAsia="Arial" w:hAnsi="Arial"/>
                <w:sz w:val="13"/>
                <w:szCs w:val="13"/>
                <w:color w:val="auto"/>
              </w:rPr>
              <w:t>Municipal</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11,699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18"/>
              <w:spacing w:after="0"/>
              <w:rPr>
                <w:sz w:val="20"/>
                <w:szCs w:val="20"/>
                <w:color w:val="auto"/>
              </w:rPr>
            </w:pPr>
            <w:r>
              <w:rPr>
                <w:rFonts w:ascii="Arial" w:cs="Arial" w:eastAsia="Arial" w:hAnsi="Arial"/>
                <w:sz w:val="13"/>
                <w:szCs w:val="13"/>
                <w:b w:val="1"/>
                <w:bCs w:val="1"/>
                <w:color w:val="auto"/>
              </w:rPr>
              <w:t>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(2,331)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9,372</w:t>
            </w:r>
          </w:p>
        </w:tc>
      </w:tr>
      <w:tr>
        <w:trPr>
          <w:trHeight w:val="170"/>
        </w:trPr>
        <w:tc>
          <w:tcPr>
            <w:tcW w:w="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Corporate</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(587)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4,413</w:t>
            </w:r>
          </w:p>
        </w:tc>
      </w:tr>
      <w:tr>
        <w:trPr>
          <w:trHeight w:val="170"/>
        </w:trPr>
        <w:tc>
          <w:tcPr>
            <w:tcW w:w="20" w:type="dxa"/>
            <w:vAlign w:val="bottom"/>
          </w:tcPr>
          <w:p>
            <w:pPr>
              <w:spacing w:after="0"/>
              <w:rPr>
                <w:sz w:val="14"/>
                <w:szCs w:val="14"/>
                <w:color w:val="auto"/>
              </w:rPr>
            </w:pPr>
          </w:p>
        </w:tc>
        <w:tc>
          <w:tcPr>
            <w:tcW w:w="3000" w:type="dxa"/>
            <w:vAlign w:val="bottom"/>
            <w:gridSpan w:val="2"/>
          </w:tcPr>
          <w:p>
            <w:pPr>
              <w:ind w:left="80"/>
              <w:spacing w:after="0"/>
              <w:rPr>
                <w:sz w:val="20"/>
                <w:szCs w:val="20"/>
                <w:color w:val="auto"/>
              </w:rPr>
            </w:pPr>
            <w:r>
              <w:rPr>
                <w:rFonts w:ascii="Arial" w:cs="Arial" w:eastAsia="Arial" w:hAnsi="Arial"/>
                <w:sz w:val="13"/>
                <w:szCs w:val="13"/>
                <w:color w:val="auto"/>
              </w:rPr>
              <w:t>Asset-backed securities</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7,069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18"/>
              <w:spacing w:after="0"/>
              <w:rPr>
                <w:sz w:val="20"/>
                <w:szCs w:val="20"/>
                <w:color w:val="auto"/>
              </w:rPr>
            </w:pPr>
            <w:r>
              <w:rPr>
                <w:rFonts w:ascii="Arial" w:cs="Arial" w:eastAsia="Arial" w:hAnsi="Arial"/>
                <w:sz w:val="13"/>
                <w:szCs w:val="13"/>
                <w:b w:val="1"/>
                <w:bCs w:val="1"/>
                <w:color w:val="auto"/>
              </w:rPr>
              <w:t>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7,045</w:t>
            </w:r>
          </w:p>
        </w:tc>
      </w:tr>
      <w:tr>
        <w:trPr>
          <w:trHeight w:val="170"/>
        </w:trPr>
        <w:tc>
          <w:tcPr>
            <w:tcW w:w="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Mortgage-backed securities</w:t>
            </w: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40,491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(2,220)</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38,271</w:t>
            </w:r>
          </w:p>
        </w:tc>
      </w:tr>
      <w:tr>
        <w:trPr>
          <w:trHeight w:val="160"/>
        </w:trPr>
        <w:tc>
          <w:tcPr>
            <w:tcW w:w="20" w:type="dxa"/>
            <w:vAlign w:val="bottom"/>
          </w:tcPr>
          <w:p>
            <w:pPr>
              <w:spacing w:after="0"/>
              <w:rPr>
                <w:sz w:val="13"/>
                <w:szCs w:val="13"/>
                <w:color w:val="auto"/>
              </w:rPr>
            </w:pPr>
          </w:p>
        </w:tc>
        <w:tc>
          <w:tcPr>
            <w:tcW w:w="3000" w:type="dxa"/>
            <w:vAlign w:val="bottom"/>
            <w:gridSpan w:val="2"/>
          </w:tcPr>
          <w:p>
            <w:pPr>
              <w:ind w:left="180"/>
              <w:spacing w:after="0"/>
              <w:rPr>
                <w:sz w:val="20"/>
                <w:szCs w:val="20"/>
                <w:color w:val="auto"/>
              </w:rPr>
            </w:pPr>
            <w:r>
              <w:rPr>
                <w:rFonts w:ascii="Arial" w:cs="Arial" w:eastAsia="Arial" w:hAnsi="Arial"/>
                <w:sz w:val="13"/>
                <w:szCs w:val="13"/>
                <w:color w:val="auto"/>
              </w:rPr>
              <w:t>Total</w:t>
            </w:r>
          </w:p>
        </w:tc>
        <w:tc>
          <w:tcPr>
            <w:tcW w:w="240" w:type="dxa"/>
            <w:vAlign w:val="bottom"/>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225,679</w:t>
            </w:r>
          </w:p>
        </w:tc>
        <w:tc>
          <w:tcPr>
            <w:tcW w:w="10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Pr>
          <w:p>
            <w:pPr>
              <w:jc w:val="right"/>
              <w:ind w:right="18"/>
              <w:spacing w:after="0"/>
              <w:rPr>
                <w:sz w:val="20"/>
                <w:szCs w:val="20"/>
                <w:color w:val="auto"/>
              </w:rPr>
            </w:pPr>
            <w:r>
              <w:rPr>
                <w:rFonts w:ascii="Arial" w:cs="Arial" w:eastAsia="Arial" w:hAnsi="Arial"/>
                <w:sz w:val="13"/>
                <w:szCs w:val="13"/>
                <w:b w:val="1"/>
                <w:bCs w:val="1"/>
                <w:color w:val="auto"/>
              </w:rPr>
              <w:t>17</w:t>
            </w:r>
          </w:p>
        </w:tc>
        <w:tc>
          <w:tcPr>
            <w:tcW w:w="100" w:type="dxa"/>
            <w:vAlign w:val="bottom"/>
          </w:tcPr>
          <w:p>
            <w:pPr>
              <w:spacing w:after="0"/>
              <w:rPr>
                <w:sz w:val="13"/>
                <w:szCs w:val="13"/>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(17,367)</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360" w:type="dxa"/>
            <w:vAlign w:val="bottom"/>
            <w:gridSpan w:val="2"/>
          </w:tcPr>
          <w:p>
            <w:pPr>
              <w:ind w:left="1060"/>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208,329</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There was no ACL required on available-for-sale debt securities in an unrealized loss position at December 31, 2023.</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following table summarizes the amortized cost and fair value of securities available-for-sale at December 31, 2022 and the corresponding amounts of gross unrealized gains and losses recognized in accumulated other comprehensive income (loss):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Amortized</w:t>
            </w:r>
          </w:p>
        </w:tc>
        <w:tc>
          <w:tcPr>
            <w:tcW w:w="200" w:type="dxa"/>
            <w:vAlign w:val="bottom"/>
          </w:tcPr>
          <w:p>
            <w:pPr>
              <w:spacing w:after="0"/>
              <w:rPr>
                <w:sz w:val="10"/>
                <w:szCs w:val="10"/>
                <w:color w:val="auto"/>
              </w:rPr>
            </w:pPr>
          </w:p>
        </w:tc>
        <w:tc>
          <w:tcPr>
            <w:tcW w:w="1480" w:type="dxa"/>
            <w:vAlign w:val="bottom"/>
            <w:gridSpan w:val="2"/>
          </w:tcPr>
          <w:p>
            <w:pPr>
              <w:ind w:left="120"/>
              <w:spacing w:after="0"/>
              <w:rPr>
                <w:sz w:val="20"/>
                <w:szCs w:val="20"/>
                <w:color w:val="auto"/>
              </w:rPr>
            </w:pPr>
            <w:r>
              <w:rPr>
                <w:rFonts w:ascii="Arial" w:cs="Arial" w:eastAsia="Arial" w:hAnsi="Arial"/>
                <w:sz w:val="11"/>
                <w:szCs w:val="11"/>
                <w:b w:val="1"/>
                <w:bCs w:val="1"/>
                <w:color w:val="auto"/>
              </w:rPr>
              <w:t>Gross Unrealized</w:t>
            </w:r>
          </w:p>
        </w:tc>
        <w:tc>
          <w:tcPr>
            <w:tcW w:w="200" w:type="dxa"/>
            <w:vAlign w:val="bottom"/>
          </w:tcPr>
          <w:p>
            <w:pPr>
              <w:spacing w:after="0"/>
              <w:rPr>
                <w:sz w:val="10"/>
                <w:szCs w:val="1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Gross Unrealized</w:t>
            </w:r>
          </w:p>
        </w:tc>
        <w:tc>
          <w:tcPr>
            <w:tcW w:w="360" w:type="dxa"/>
            <w:vAlign w:val="bottom"/>
          </w:tcPr>
          <w:p>
            <w:pPr>
              <w:spacing w:after="0"/>
              <w:rPr>
                <w:sz w:val="10"/>
                <w:szCs w:val="10"/>
                <w:color w:val="auto"/>
              </w:rPr>
            </w:pPr>
          </w:p>
        </w:tc>
        <w:tc>
          <w:tcPr>
            <w:tcW w:w="1200" w:type="dxa"/>
            <w:vAlign w:val="bottom"/>
          </w:tcPr>
          <w:p>
            <w:pPr>
              <w:jc w:val="right"/>
              <w:ind w:right="618"/>
              <w:spacing w:after="0"/>
              <w:rPr>
                <w:sz w:val="20"/>
                <w:szCs w:val="20"/>
                <w:color w:val="auto"/>
              </w:rPr>
            </w:pPr>
            <w:r>
              <w:rPr>
                <w:rFonts w:ascii="Arial" w:cs="Arial" w:eastAsia="Arial" w:hAnsi="Arial"/>
                <w:sz w:val="11"/>
                <w:szCs w:val="11"/>
                <w:b w:val="1"/>
                <w:bCs w:val="1"/>
                <w:color w:val="auto"/>
              </w:rPr>
              <w:t>Fair</w:t>
            </w:r>
          </w:p>
        </w:tc>
      </w:tr>
      <w:tr>
        <w:trPr>
          <w:trHeight w:val="149"/>
        </w:trPr>
        <w:tc>
          <w:tcPr>
            <w:tcW w:w="20" w:type="dxa"/>
            <w:vAlign w:val="bottom"/>
          </w:tcPr>
          <w:p>
            <w:pPr>
              <w:spacing w:after="0"/>
              <w:rPr>
                <w:sz w:val="12"/>
                <w:szCs w:val="12"/>
                <w:color w:val="auto"/>
              </w:rPr>
            </w:pPr>
          </w:p>
        </w:tc>
        <w:tc>
          <w:tcPr>
            <w:tcW w:w="4660" w:type="dxa"/>
            <w:vAlign w:val="bottom"/>
            <w:gridSpan w:val="2"/>
          </w:tcPr>
          <w:p>
            <w:pPr>
              <w:spacing w:after="0"/>
              <w:rPr>
                <w:sz w:val="20"/>
                <w:szCs w:val="20"/>
                <w:color w:val="auto"/>
              </w:rPr>
            </w:pPr>
            <w:r>
              <w:rPr>
                <w:rFonts w:ascii="Arial" w:cs="Arial" w:eastAsia="Arial" w:hAnsi="Arial"/>
                <w:sz w:val="8"/>
                <w:szCs w:val="8"/>
                <w:i w:val="1"/>
                <w:iCs w:val="1"/>
                <w:color w:val="auto"/>
              </w:rPr>
              <w:t>(in thousands)</w:t>
            </w:r>
          </w:p>
        </w:tc>
        <w:tc>
          <w:tcPr>
            <w:tcW w:w="300" w:type="dxa"/>
            <w:vAlign w:val="bottom"/>
          </w:tcPr>
          <w:p>
            <w:pPr>
              <w:spacing w:after="0"/>
              <w:rPr>
                <w:sz w:val="12"/>
                <w:szCs w:val="12"/>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2"/>
                <w:szCs w:val="12"/>
                <w:color w:val="auto"/>
              </w:rPr>
            </w:pPr>
          </w:p>
        </w:tc>
        <w:tc>
          <w:tcPr>
            <w:tcW w:w="1480" w:type="dxa"/>
            <w:vAlign w:val="bottom"/>
            <w:gridSpan w:val="2"/>
          </w:tcPr>
          <w:p>
            <w:pPr>
              <w:ind w:left="420"/>
              <w:spacing w:after="0"/>
              <w:rPr>
                <w:sz w:val="20"/>
                <w:szCs w:val="20"/>
                <w:color w:val="auto"/>
              </w:rPr>
            </w:pPr>
            <w:r>
              <w:rPr>
                <w:rFonts w:ascii="Arial" w:cs="Arial" w:eastAsia="Arial" w:hAnsi="Arial"/>
                <w:sz w:val="11"/>
                <w:szCs w:val="11"/>
                <w:b w:val="1"/>
                <w:bCs w:val="1"/>
                <w:color w:val="auto"/>
              </w:rPr>
              <w:t>Gains</w:t>
            </w:r>
          </w:p>
        </w:tc>
        <w:tc>
          <w:tcPr>
            <w:tcW w:w="200" w:type="dxa"/>
            <w:vAlign w:val="bottom"/>
          </w:tcPr>
          <w:p>
            <w:pPr>
              <w:spacing w:after="0"/>
              <w:rPr>
                <w:sz w:val="12"/>
                <w:szCs w:val="12"/>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Losses</w:t>
            </w:r>
          </w:p>
        </w:tc>
        <w:tc>
          <w:tcPr>
            <w:tcW w:w="360" w:type="dxa"/>
            <w:vAlign w:val="bottom"/>
          </w:tcPr>
          <w:p>
            <w:pPr>
              <w:spacing w:after="0"/>
              <w:rPr>
                <w:sz w:val="12"/>
                <w:szCs w:val="12"/>
                <w:color w:val="auto"/>
              </w:rPr>
            </w:pPr>
          </w:p>
        </w:tc>
        <w:tc>
          <w:tcPr>
            <w:tcW w:w="1200" w:type="dxa"/>
            <w:vAlign w:val="bottom"/>
          </w:tcPr>
          <w:p>
            <w:pPr>
              <w:jc w:val="right"/>
              <w:ind w:right="578"/>
              <w:spacing w:after="0"/>
              <w:rPr>
                <w:sz w:val="20"/>
                <w:szCs w:val="20"/>
                <w:color w:val="auto"/>
              </w:rPr>
            </w:pPr>
            <w:r>
              <w:rPr>
                <w:rFonts w:ascii="Arial" w:cs="Arial" w:eastAsia="Arial" w:hAnsi="Arial"/>
                <w:sz w:val="11"/>
                <w:szCs w:val="11"/>
                <w:b w:val="1"/>
                <w:bCs w:val="1"/>
                <w:color w:val="auto"/>
              </w:rPr>
              <w:t>Value</w:t>
            </w:r>
          </w:p>
        </w:tc>
      </w:tr>
      <w:tr>
        <w:trPr>
          <w:trHeight w:val="130"/>
        </w:trPr>
        <w:tc>
          <w:tcPr>
            <w:tcW w:w="20" w:type="dxa"/>
            <w:vAlign w:val="bottom"/>
            <w:tcBorders>
              <w:top w:val="single" w:sz="8" w:color="CCEEFF"/>
            </w:tcBorders>
            <w:shd w:val="clear" w:color="auto" w:fill="CCEEFF"/>
          </w:tcPr>
          <w:p>
            <w:pPr>
              <w:spacing w:after="0"/>
              <w:rPr>
                <w:sz w:val="11"/>
                <w:szCs w:val="11"/>
                <w:color w:val="auto"/>
              </w:rPr>
            </w:pPr>
          </w:p>
        </w:tc>
        <w:tc>
          <w:tcPr>
            <w:tcW w:w="4660" w:type="dxa"/>
            <w:vAlign w:val="bottom"/>
            <w:tcBorders>
              <w:top w:val="single" w:sz="8" w:color="CCEEFF"/>
            </w:tcBorders>
            <w:gridSpan w:val="2"/>
            <w:shd w:val="clear" w:color="auto" w:fill="CCEEFF"/>
          </w:tcPr>
          <w:p>
            <w:pPr>
              <w:spacing w:after="0" w:line="118" w:lineRule="exact"/>
              <w:rPr>
                <w:sz w:val="20"/>
                <w:szCs w:val="20"/>
                <w:color w:val="auto"/>
              </w:rPr>
            </w:pPr>
            <w:r>
              <w:rPr>
                <w:rFonts w:ascii="Arial" w:cs="Arial" w:eastAsia="Arial" w:hAnsi="Arial"/>
                <w:sz w:val="13"/>
                <w:szCs w:val="13"/>
                <w:b w:val="1"/>
                <w:bCs w:val="1"/>
                <w:color w:val="auto"/>
              </w:rPr>
              <w:t>December 31, 2022</w:t>
            </w:r>
          </w:p>
        </w:tc>
        <w:tc>
          <w:tcPr>
            <w:tcW w:w="30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rPr>
              <w:t>U.S. Treasuries</w:t>
            </w:r>
          </w:p>
        </w:tc>
        <w:tc>
          <w:tcPr>
            <w:tcW w:w="35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jc w:val="right"/>
              <w:ind w:right="156"/>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215,486</w:t>
            </w: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jc w:val="right"/>
              <w:ind w:right="56"/>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CCEEFF"/>
            </w:tcBorders>
            <w:gridSpan w:val="2"/>
          </w:tcPr>
          <w:p>
            <w:pPr>
              <w:ind w:left="1180"/>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(16,037)</w:t>
            </w:r>
          </w:p>
        </w:tc>
        <w:tc>
          <w:tcPr>
            <w:tcW w:w="12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199,449</w:t>
            </w:r>
          </w:p>
        </w:tc>
      </w:tr>
      <w:tr>
        <w:trPr>
          <w:trHeight w:val="171"/>
        </w:trPr>
        <w:tc>
          <w:tcPr>
            <w:tcW w:w="20" w:type="dxa"/>
            <w:vAlign w:val="bottom"/>
            <w:shd w:val="clear" w:color="auto" w:fill="CCEEFF"/>
          </w:tcPr>
          <w:p>
            <w:pPr>
              <w:spacing w:after="0"/>
              <w:rPr>
                <w:sz w:val="14"/>
                <w:szCs w:val="14"/>
                <w:color w:val="auto"/>
              </w:rPr>
            </w:pPr>
          </w:p>
        </w:tc>
        <w:tc>
          <w:tcPr>
            <w:tcW w:w="46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Municipal</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8,012</w:t>
            </w:r>
          </w:p>
        </w:tc>
      </w:tr>
      <w:tr>
        <w:trPr>
          <w:trHeight w:val="169"/>
        </w:trPr>
        <w:tc>
          <w:tcPr>
            <w:tcW w:w="20" w:type="dxa"/>
            <w:vAlign w:val="bottom"/>
          </w:tcPr>
          <w:p>
            <w:pPr>
              <w:spacing w:after="0"/>
              <w:rPr>
                <w:sz w:val="14"/>
                <w:szCs w:val="14"/>
                <w:color w:val="auto"/>
              </w:rPr>
            </w:pPr>
          </w:p>
        </w:tc>
        <w:tc>
          <w:tcPr>
            <w:tcW w:w="4660" w:type="dxa"/>
            <w:vAlign w:val="bottom"/>
            <w:gridSpan w:val="2"/>
          </w:tcPr>
          <w:p>
            <w:pPr>
              <w:ind w:left="100"/>
              <w:spacing w:after="0"/>
              <w:rPr>
                <w:sz w:val="20"/>
                <w:szCs w:val="20"/>
                <w:color w:val="auto"/>
              </w:rPr>
            </w:pPr>
            <w:r>
              <w:rPr>
                <w:rFonts w:ascii="Arial" w:cs="Arial" w:eastAsia="Arial" w:hAnsi="Arial"/>
                <w:sz w:val="13"/>
                <w:szCs w:val="13"/>
                <w:color w:val="auto"/>
              </w:rPr>
              <w:t>Corporate</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(400)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4,600</w:t>
            </w:r>
          </w:p>
        </w:tc>
      </w:tr>
      <w:tr>
        <w:trPr>
          <w:trHeight w:val="171"/>
        </w:trPr>
        <w:tc>
          <w:tcPr>
            <w:tcW w:w="20" w:type="dxa"/>
            <w:vAlign w:val="bottom"/>
            <w:shd w:val="clear" w:color="auto" w:fill="CCEEFF"/>
          </w:tcPr>
          <w:p>
            <w:pPr>
              <w:spacing w:after="0"/>
              <w:rPr>
                <w:sz w:val="14"/>
                <w:szCs w:val="14"/>
                <w:color w:val="auto"/>
              </w:rPr>
            </w:pPr>
          </w:p>
        </w:tc>
        <w:tc>
          <w:tcPr>
            <w:tcW w:w="46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Asset-backed securities</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7,970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7,711</w:t>
            </w:r>
          </w:p>
        </w:tc>
      </w:tr>
      <w:tr>
        <w:trPr>
          <w:trHeight w:val="169"/>
        </w:trPr>
        <w:tc>
          <w:tcPr>
            <w:tcW w:w="20" w:type="dxa"/>
            <w:vAlign w:val="bottom"/>
            <w:tcBorders>
              <w:bottom w:val="single" w:sz="8" w:color="CCEEFF"/>
            </w:tcBorders>
          </w:tcPr>
          <w:p>
            <w:pPr>
              <w:spacing w:after="0"/>
              <w:rPr>
                <w:sz w:val="14"/>
                <w:szCs w:val="14"/>
                <w:color w:val="auto"/>
              </w:rPr>
            </w:pPr>
          </w:p>
        </w:tc>
        <w:tc>
          <w:tcPr>
            <w:tcW w:w="466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Mortgage-backed securities</w:t>
            </w: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35,626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11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(2,917)</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32,709</w:t>
            </w:r>
          </w:p>
        </w:tc>
      </w:tr>
      <w:tr>
        <w:trPr>
          <w:trHeight w:val="182"/>
        </w:trPr>
        <w:tc>
          <w:tcPr>
            <w:tcW w:w="2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274,897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(22,416)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252,481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There were no securities sold during the year ended December 31, 2023 or December 31, 2022.</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92" w:name="page93"/>
    <w:bookmarkEnd w:id="92"/>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Investment Securities (continued)</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amortized cost and fair value of debt securities are shown by contractual maturity. Expected maturities may differ from contractual maturities if borrowers have the right to call or prepay obligations with or without call or prepayment penalties. Securities not due at a single maturity date are shown separately.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5"/>
          </w:tcPr>
          <w:p>
            <w:pPr>
              <w:ind w:left="120"/>
              <w:spacing w:after="0"/>
              <w:rPr>
                <w:sz w:val="20"/>
                <w:szCs w:val="20"/>
                <w:color w:val="auto"/>
              </w:rPr>
            </w:pPr>
            <w:r>
              <w:rPr>
                <w:rFonts w:ascii="Arial" w:cs="Arial" w:eastAsia="Arial" w:hAnsi="Arial"/>
                <w:sz w:val="11"/>
                <w:szCs w:val="11"/>
                <w:b w:val="1"/>
                <w:bCs w:val="1"/>
                <w:color w:val="auto"/>
              </w:rPr>
              <w:t>For the Years Ended December 31,</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0"/>
        </w:trPr>
        <w:tc>
          <w:tcPr>
            <w:tcW w:w="59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1"/>
                <w:szCs w:val="11"/>
                <w:b w:val="1"/>
                <w:bCs w:val="1"/>
                <w:color w:val="auto"/>
              </w:rPr>
              <w:t>2023</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1"/>
                <w:szCs w:val="11"/>
                <w:b w:val="1"/>
                <w:bCs w:val="1"/>
                <w:color w:val="auto"/>
              </w:rPr>
              <w:t>2022</w:t>
            </w:r>
          </w:p>
        </w:tc>
        <w:tc>
          <w:tcPr>
            <w:tcW w:w="920" w:type="dxa"/>
            <w:vAlign w:val="bottom"/>
            <w:tcBorders>
              <w:bottom w:val="single" w:sz="8" w:color="auto"/>
            </w:tcBorders>
          </w:tcPr>
          <w:p>
            <w:pPr>
              <w:spacing w:after="0"/>
              <w:rPr>
                <w:sz w:val="13"/>
                <w:szCs w:val="13"/>
                <w:color w:val="auto"/>
              </w:rPr>
            </w:pPr>
          </w:p>
        </w:tc>
      </w:tr>
      <w:tr>
        <w:trPr>
          <w:trHeight w:val="112"/>
        </w:trPr>
        <w:tc>
          <w:tcPr>
            <w:tcW w:w="5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tcPr>
          <w:p>
            <w:pPr>
              <w:jc w:val="center"/>
              <w:ind w:right="320"/>
              <w:spacing w:after="0" w:line="112" w:lineRule="exact"/>
              <w:rPr>
                <w:sz w:val="20"/>
                <w:szCs w:val="20"/>
                <w:color w:val="auto"/>
              </w:rPr>
            </w:pPr>
            <w:r>
              <w:rPr>
                <w:rFonts w:ascii="Arial" w:cs="Arial" w:eastAsia="Arial" w:hAnsi="Arial"/>
                <w:sz w:val="11"/>
                <w:szCs w:val="11"/>
                <w:b w:val="1"/>
                <w:bCs w:val="1"/>
                <w:color w:val="auto"/>
              </w:rPr>
              <w:t>Amortized</w:t>
            </w:r>
          </w:p>
        </w:tc>
        <w:tc>
          <w:tcPr>
            <w:tcW w:w="180" w:type="dxa"/>
            <w:vAlign w:val="bottom"/>
          </w:tcPr>
          <w:p>
            <w:pPr>
              <w:spacing w:after="0"/>
              <w:rPr>
                <w:sz w:val="9"/>
                <w:szCs w:val="9"/>
                <w:color w:val="auto"/>
              </w:rPr>
            </w:pPr>
          </w:p>
        </w:tc>
        <w:tc>
          <w:tcPr>
            <w:tcW w:w="1100" w:type="dxa"/>
            <w:vAlign w:val="bottom"/>
            <w:gridSpan w:val="2"/>
          </w:tcPr>
          <w:p>
            <w:pPr>
              <w:jc w:val="center"/>
              <w:ind w:right="300"/>
              <w:spacing w:after="0" w:line="112" w:lineRule="exact"/>
              <w:rPr>
                <w:sz w:val="20"/>
                <w:szCs w:val="20"/>
                <w:color w:val="auto"/>
              </w:rPr>
            </w:pPr>
            <w:r>
              <w:rPr>
                <w:rFonts w:ascii="Arial" w:cs="Arial" w:eastAsia="Arial" w:hAnsi="Arial"/>
                <w:sz w:val="11"/>
                <w:szCs w:val="11"/>
                <w:b w:val="1"/>
                <w:bCs w:val="1"/>
                <w:color w:val="auto"/>
                <w:w w:val="98"/>
              </w:rPr>
              <w:t>Fair</w:t>
            </w:r>
          </w:p>
        </w:tc>
        <w:tc>
          <w:tcPr>
            <w:tcW w:w="220" w:type="dxa"/>
            <w:vAlign w:val="bottom"/>
          </w:tcPr>
          <w:p>
            <w:pPr>
              <w:spacing w:after="0"/>
              <w:rPr>
                <w:sz w:val="9"/>
                <w:szCs w:val="9"/>
                <w:color w:val="auto"/>
              </w:rPr>
            </w:pPr>
          </w:p>
        </w:tc>
        <w:tc>
          <w:tcPr>
            <w:tcW w:w="1080" w:type="dxa"/>
            <w:vAlign w:val="bottom"/>
            <w:gridSpan w:val="2"/>
          </w:tcPr>
          <w:p>
            <w:pPr>
              <w:jc w:val="center"/>
              <w:ind w:right="320"/>
              <w:spacing w:after="0" w:line="112" w:lineRule="exact"/>
              <w:rPr>
                <w:sz w:val="20"/>
                <w:szCs w:val="20"/>
                <w:color w:val="auto"/>
              </w:rPr>
            </w:pPr>
            <w:r>
              <w:rPr>
                <w:rFonts w:ascii="Arial" w:cs="Arial" w:eastAsia="Arial" w:hAnsi="Arial"/>
                <w:sz w:val="11"/>
                <w:szCs w:val="11"/>
                <w:color w:val="auto"/>
              </w:rPr>
              <w:t>Amortized</w:t>
            </w:r>
          </w:p>
        </w:tc>
        <w:tc>
          <w:tcPr>
            <w:tcW w:w="260" w:type="dxa"/>
            <w:vAlign w:val="bottom"/>
          </w:tcPr>
          <w:p>
            <w:pPr>
              <w:spacing w:after="0"/>
              <w:rPr>
                <w:sz w:val="9"/>
                <w:szCs w:val="9"/>
                <w:color w:val="auto"/>
              </w:rPr>
            </w:pPr>
          </w:p>
        </w:tc>
        <w:tc>
          <w:tcPr>
            <w:tcW w:w="920" w:type="dxa"/>
            <w:vAlign w:val="bottom"/>
          </w:tcPr>
          <w:p>
            <w:pPr>
              <w:jc w:val="right"/>
              <w:ind w:right="418"/>
              <w:spacing w:after="0" w:line="112" w:lineRule="exact"/>
              <w:rPr>
                <w:sz w:val="20"/>
                <w:szCs w:val="20"/>
                <w:color w:val="auto"/>
              </w:rPr>
            </w:pPr>
            <w:r>
              <w:rPr>
                <w:rFonts w:ascii="Arial" w:cs="Arial" w:eastAsia="Arial" w:hAnsi="Arial"/>
                <w:sz w:val="11"/>
                <w:szCs w:val="11"/>
                <w:color w:val="auto"/>
              </w:rPr>
              <w:t>Fair</w:t>
            </w:r>
          </w:p>
        </w:tc>
      </w:tr>
      <w:tr>
        <w:trPr>
          <w:trHeight w:val="144"/>
        </w:trPr>
        <w:tc>
          <w:tcPr>
            <w:tcW w:w="596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20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Cost</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Value</w:t>
            </w:r>
          </w:p>
        </w:tc>
        <w:tc>
          <w:tcPr>
            <w:tcW w:w="22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1"/>
                <w:szCs w:val="11"/>
                <w:color w:val="auto"/>
              </w:rPr>
              <w:t>Cost</w:t>
            </w:r>
          </w:p>
        </w:tc>
        <w:tc>
          <w:tcPr>
            <w:tcW w:w="260" w:type="dxa"/>
            <w:vAlign w:val="bottom"/>
          </w:tcPr>
          <w:p>
            <w:pPr>
              <w:spacing w:after="0"/>
              <w:rPr>
                <w:sz w:val="12"/>
                <w:szCs w:val="12"/>
                <w:color w:val="auto"/>
              </w:rPr>
            </w:pPr>
          </w:p>
        </w:tc>
        <w:tc>
          <w:tcPr>
            <w:tcW w:w="920" w:type="dxa"/>
            <w:vAlign w:val="bottom"/>
          </w:tcPr>
          <w:p>
            <w:pPr>
              <w:jc w:val="right"/>
              <w:ind w:right="378"/>
              <w:spacing w:after="0"/>
              <w:rPr>
                <w:sz w:val="20"/>
                <w:szCs w:val="20"/>
                <w:color w:val="auto"/>
              </w:rPr>
            </w:pPr>
            <w:r>
              <w:rPr>
                <w:rFonts w:ascii="Arial" w:cs="Arial" w:eastAsia="Arial" w:hAnsi="Arial"/>
                <w:sz w:val="11"/>
                <w:szCs w:val="11"/>
                <w:color w:val="auto"/>
              </w:rPr>
              <w:t>Value</w:t>
            </w:r>
          </w:p>
        </w:tc>
      </w:tr>
      <w:tr>
        <w:trPr>
          <w:trHeight w:val="160"/>
        </w:trPr>
        <w:tc>
          <w:tcPr>
            <w:tcW w:w="5960" w:type="dxa"/>
            <w:vAlign w:val="bottom"/>
          </w:tcPr>
          <w:p>
            <w:pPr>
              <w:ind w:left="20"/>
              <w:spacing w:after="0"/>
              <w:rPr>
                <w:sz w:val="20"/>
                <w:szCs w:val="20"/>
                <w:color w:val="auto"/>
              </w:rPr>
            </w:pPr>
            <w:r>
              <w:rPr>
                <w:rFonts w:ascii="Arial" w:cs="Arial" w:eastAsia="Arial" w:hAnsi="Arial"/>
                <w:sz w:val="13"/>
                <w:szCs w:val="13"/>
                <w:color w:val="auto"/>
              </w:rPr>
              <w:t>Within one year</w:t>
            </w:r>
          </w:p>
        </w:tc>
        <w:tc>
          <w:tcPr>
            <w:tcW w:w="2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39,918</w:t>
            </w: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39,294</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53,739</w:t>
            </w:r>
          </w:p>
        </w:tc>
        <w:tc>
          <w:tcPr>
            <w:tcW w:w="100" w:type="dxa"/>
            <w:vAlign w:val="bottom"/>
          </w:tcPr>
          <w:p>
            <w:pPr>
              <w:spacing w:after="0"/>
              <w:rPr>
                <w:sz w:val="13"/>
                <w:szCs w:val="13"/>
                <w:color w:val="auto"/>
              </w:rPr>
            </w:pPr>
          </w:p>
        </w:tc>
        <w:tc>
          <w:tcPr>
            <w:tcW w:w="260" w:type="dxa"/>
            <w:vAlign w:val="bottom"/>
            <w:tcBorders>
              <w:top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53,204</w:t>
            </w:r>
          </w:p>
        </w:tc>
      </w:tr>
      <w:tr>
        <w:trPr>
          <w:trHeight w:val="170"/>
        </w:trPr>
        <w:tc>
          <w:tcPr>
            <w:tcW w:w="5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One to five years</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101,688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93,218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82,538</w:t>
            </w:r>
          </w:p>
        </w:tc>
      </w:tr>
      <w:tr>
        <w:trPr>
          <w:trHeight w:val="170"/>
        </w:trPr>
        <w:tc>
          <w:tcPr>
            <w:tcW w:w="5960" w:type="dxa"/>
            <w:vAlign w:val="bottom"/>
          </w:tcPr>
          <w:p>
            <w:pPr>
              <w:ind w:left="20"/>
              <w:spacing w:after="0"/>
              <w:rPr>
                <w:sz w:val="20"/>
                <w:szCs w:val="20"/>
                <w:color w:val="auto"/>
              </w:rPr>
            </w:pPr>
            <w:r>
              <w:rPr>
                <w:rFonts w:ascii="Arial" w:cs="Arial" w:eastAsia="Arial" w:hAnsi="Arial"/>
                <w:sz w:val="13"/>
                <w:szCs w:val="13"/>
                <w:color w:val="auto"/>
              </w:rPr>
              <w:t>Five to ten years</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26,215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22,511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79,090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68,805</w:t>
            </w:r>
          </w:p>
        </w:tc>
      </w:tr>
      <w:tr>
        <w:trPr>
          <w:trHeight w:val="170"/>
        </w:trPr>
        <w:tc>
          <w:tcPr>
            <w:tcW w:w="5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Beyond ten years</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10,298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7,990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7,514</w:t>
            </w:r>
          </w:p>
        </w:tc>
      </w:tr>
      <w:tr>
        <w:trPr>
          <w:trHeight w:val="170"/>
        </w:trPr>
        <w:tc>
          <w:tcPr>
            <w:tcW w:w="5960" w:type="dxa"/>
            <w:vAlign w:val="bottom"/>
          </w:tcPr>
          <w:p>
            <w:pPr>
              <w:ind w:left="20"/>
              <w:spacing w:after="0" w:line="170" w:lineRule="exact"/>
              <w:rPr>
                <w:sz w:val="20"/>
                <w:szCs w:val="20"/>
                <w:color w:val="auto"/>
              </w:rPr>
            </w:pPr>
            <w:r>
              <w:rPr>
                <w:rFonts w:ascii="Arial" w:cs="Arial" w:eastAsia="Arial" w:hAnsi="Arial"/>
                <w:sz w:val="13"/>
                <w:szCs w:val="13"/>
                <w:color w:val="auto"/>
              </w:rPr>
              <w:t>Asset-backed securities</w:t>
            </w:r>
            <w:r>
              <w:rPr>
                <w:rFonts w:ascii="Arial" w:cs="Arial" w:eastAsia="Arial" w:hAnsi="Arial"/>
                <w:sz w:val="16"/>
                <w:szCs w:val="16"/>
                <w:color w:val="auto"/>
                <w:vertAlign w:val="superscript"/>
              </w:rPr>
              <w:t>(1)</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7,069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7,045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7,970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7,711</w:t>
            </w:r>
          </w:p>
        </w:tc>
      </w:tr>
      <w:tr>
        <w:trPr>
          <w:trHeight w:val="170"/>
        </w:trPr>
        <w:tc>
          <w:tcPr>
            <w:tcW w:w="596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Mortgage-backed securities</w:t>
            </w:r>
            <w:r>
              <w:rPr>
                <w:rFonts w:ascii="Arial" w:cs="Arial" w:eastAsia="Arial" w:hAnsi="Arial"/>
                <w:sz w:val="16"/>
                <w:szCs w:val="16"/>
                <w:color w:val="auto"/>
                <w:vertAlign w:val="superscript"/>
              </w:rPr>
              <w:t>(1)</w:t>
            </w: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40,491</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38,271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35,626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32,709</w:t>
            </w:r>
          </w:p>
        </w:tc>
      </w:tr>
      <w:tr>
        <w:trPr>
          <w:trHeight w:val="136"/>
        </w:trPr>
        <w:tc>
          <w:tcPr>
            <w:tcW w:w="5960" w:type="dxa"/>
            <w:vAlign w:val="bottom"/>
          </w:tcPr>
          <w:p>
            <w:pPr>
              <w:spacing w:after="0"/>
              <w:rPr>
                <w:sz w:val="11"/>
                <w:szCs w:val="11"/>
                <w:color w:val="auto"/>
              </w:rPr>
            </w:pPr>
          </w:p>
        </w:tc>
        <w:tc>
          <w:tcPr>
            <w:tcW w:w="200" w:type="dxa"/>
            <w:vAlign w:val="bottom"/>
          </w:tcPr>
          <w:p>
            <w:pPr>
              <w:jc w:val="right"/>
              <w:ind w:right="56"/>
              <w:spacing w:after="0" w:line="136" w:lineRule="exact"/>
              <w:rPr>
                <w:sz w:val="20"/>
                <w:szCs w:val="20"/>
                <w:color w:val="auto"/>
              </w:rPr>
            </w:pPr>
            <w:r>
              <w:rPr>
                <w:rFonts w:ascii="Arial" w:cs="Arial" w:eastAsia="Arial" w:hAnsi="Arial"/>
                <w:sz w:val="13"/>
                <w:szCs w:val="13"/>
                <w:b w:val="1"/>
                <w:bCs w:val="1"/>
                <w:color w:val="auto"/>
                <w:w w:val="82"/>
              </w:rPr>
              <w:t>$</w:t>
            </w:r>
          </w:p>
        </w:tc>
        <w:tc>
          <w:tcPr>
            <w:tcW w:w="98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225,679</w:t>
            </w:r>
          </w:p>
        </w:tc>
        <w:tc>
          <w:tcPr>
            <w:tcW w:w="120" w:type="dxa"/>
            <w:vAlign w:val="bottom"/>
          </w:tcPr>
          <w:p>
            <w:pPr>
              <w:spacing w:after="0"/>
              <w:rPr>
                <w:sz w:val="11"/>
                <w:szCs w:val="11"/>
                <w:color w:val="auto"/>
              </w:rPr>
            </w:pPr>
          </w:p>
        </w:tc>
        <w:tc>
          <w:tcPr>
            <w:tcW w:w="180" w:type="dxa"/>
            <w:vAlign w:val="bottom"/>
          </w:tcPr>
          <w:p>
            <w:pPr>
              <w:jc w:val="right"/>
              <w:ind w:right="36"/>
              <w:spacing w:after="0" w:line="136" w:lineRule="exact"/>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208,329</w:t>
            </w:r>
          </w:p>
        </w:tc>
        <w:tc>
          <w:tcPr>
            <w:tcW w:w="100" w:type="dxa"/>
            <w:vAlign w:val="bottom"/>
          </w:tcPr>
          <w:p>
            <w:pPr>
              <w:spacing w:after="0"/>
              <w:rPr>
                <w:sz w:val="11"/>
                <w:szCs w:val="11"/>
                <w:color w:val="auto"/>
              </w:rPr>
            </w:pPr>
          </w:p>
        </w:tc>
        <w:tc>
          <w:tcPr>
            <w:tcW w:w="220" w:type="dxa"/>
            <w:vAlign w:val="bottom"/>
          </w:tcPr>
          <w:p>
            <w:pPr>
              <w:jc w:val="right"/>
              <w:ind w:right="56"/>
              <w:spacing w:after="0" w:line="136"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36" w:lineRule="exact"/>
              <w:rPr>
                <w:sz w:val="20"/>
                <w:szCs w:val="20"/>
                <w:color w:val="auto"/>
              </w:rPr>
            </w:pPr>
            <w:r>
              <w:rPr>
                <w:rFonts w:ascii="Arial" w:cs="Arial" w:eastAsia="Arial" w:hAnsi="Arial"/>
                <w:sz w:val="13"/>
                <w:szCs w:val="13"/>
                <w:color w:val="auto"/>
              </w:rPr>
              <w:t>274,897</w:t>
            </w:r>
          </w:p>
        </w:tc>
        <w:tc>
          <w:tcPr>
            <w:tcW w:w="100" w:type="dxa"/>
            <w:vAlign w:val="bottom"/>
          </w:tcPr>
          <w:p>
            <w:pPr>
              <w:spacing w:after="0"/>
              <w:rPr>
                <w:sz w:val="11"/>
                <w:szCs w:val="11"/>
                <w:color w:val="auto"/>
              </w:rPr>
            </w:pPr>
          </w:p>
        </w:tc>
        <w:tc>
          <w:tcPr>
            <w:tcW w:w="260" w:type="dxa"/>
            <w:vAlign w:val="bottom"/>
          </w:tcPr>
          <w:p>
            <w:pPr>
              <w:jc w:val="right"/>
              <w:ind w:right="116"/>
              <w:spacing w:after="0" w:line="136" w:lineRule="exact"/>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line="136" w:lineRule="exact"/>
              <w:rPr>
                <w:sz w:val="20"/>
                <w:szCs w:val="20"/>
                <w:color w:val="auto"/>
              </w:rPr>
            </w:pPr>
            <w:r>
              <w:rPr>
                <w:rFonts w:ascii="Arial" w:cs="Arial" w:eastAsia="Arial" w:hAnsi="Arial"/>
                <w:sz w:val="13"/>
                <w:szCs w:val="13"/>
                <w:color w:val="auto"/>
              </w:rPr>
              <w:t>252,481</w:t>
            </w:r>
          </w:p>
        </w:tc>
      </w:tr>
    </w:tbl>
    <w:p>
      <w:pPr>
        <w:ind w:left="11020"/>
        <w:spacing w:after="0"/>
        <w:rPr>
          <w:sz w:val="20"/>
          <w:szCs w:val="20"/>
          <w:color w:val="auto"/>
        </w:rPr>
      </w:pPr>
      <w:r>
        <w:rPr>
          <w:rFonts w:ascii="Arial" w:cs="Arial" w:eastAsia="Arial" w:hAnsi="Arial"/>
          <w:sz w:val="7"/>
          <w:szCs w:val="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-34925</wp:posOffset>
            </wp:positionV>
            <wp:extent cx="3220085" cy="266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20085" cy="26670"/>
                    </a:xfrm>
                    <a:prstGeom prst="rect">
                      <a:avLst/>
                    </a:prstGeom>
                    <a:noFill/>
                  </pic:spPr>
                </pic:pic>
              </a:graphicData>
            </a:graphic>
          </wp:anchor>
        </w:drawing>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1"/>
          <w:szCs w:val="11"/>
          <w:color w:val="auto"/>
        </w:rPr>
        <w:t>Asset-backed and Mortgage-backed securities are due in monthly installments.</w:t>
      </w:r>
    </w:p>
    <w:p>
      <w:pPr>
        <w:spacing w:after="0" w:line="183"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There were no securities pledged at December 31, 2023 and 2022 to secure public deposits and repurchase agreements. Pledged securities at the Federal Reserve's Bank Term Funding Program (“BTFP”) totaled $170.7 million at par value at December 31, 2023 and $0 at December 31, 2022.</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At December 31, 2023 and 2022, there were no holdings of securities of any one issuer, other than the U.S. Government and its agencies, in an amount greater than 10% of shareholders’ equity.</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following table summarizes debt securities available-for-sale in an unrealized loss position for which an allowance for credit losses has not been recorded at December 31, 2023 and 2022, aggregated by major security type and length of time in a continuous unrealized loss position:</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jc w:val="center"/>
              <w:ind w:right="183"/>
              <w:spacing w:after="0"/>
              <w:rPr>
                <w:sz w:val="20"/>
                <w:szCs w:val="20"/>
                <w:color w:val="auto"/>
              </w:rPr>
            </w:pPr>
            <w:r>
              <w:rPr>
                <w:rFonts w:ascii="Arial" w:cs="Arial" w:eastAsia="Arial" w:hAnsi="Arial"/>
                <w:sz w:val="11"/>
                <w:szCs w:val="11"/>
                <w:b w:val="1"/>
                <w:bCs w:val="1"/>
                <w:color w:val="auto"/>
              </w:rPr>
              <w:t>Less than 12 months</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jc w:val="center"/>
              <w:ind w:right="163"/>
              <w:spacing w:after="0"/>
              <w:rPr>
                <w:sz w:val="20"/>
                <w:szCs w:val="20"/>
                <w:color w:val="auto"/>
              </w:rPr>
            </w:pPr>
            <w:r>
              <w:rPr>
                <w:rFonts w:ascii="Arial" w:cs="Arial" w:eastAsia="Arial" w:hAnsi="Arial"/>
                <w:sz w:val="11"/>
                <w:szCs w:val="11"/>
                <w:b w:val="1"/>
                <w:bCs w:val="1"/>
                <w:color w:val="auto"/>
              </w:rPr>
              <w:t>12 months or longer</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8"/>
              </w:rPr>
              <w:t>Total</w:t>
            </w:r>
          </w:p>
        </w:tc>
        <w:tc>
          <w:tcPr>
            <w:tcW w:w="980" w:type="dxa"/>
            <w:vAlign w:val="bottom"/>
            <w:tcBorders>
              <w:bottom w:val="single" w:sz="8" w:color="auto"/>
            </w:tcBorders>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Fair</w:t>
            </w:r>
          </w:p>
        </w:tc>
        <w:tc>
          <w:tcPr>
            <w:tcW w:w="200" w:type="dxa"/>
            <w:vAlign w:val="bottom"/>
          </w:tcPr>
          <w:p>
            <w:pPr>
              <w:spacing w:after="0"/>
              <w:rPr>
                <w:sz w:val="11"/>
                <w:szCs w:val="11"/>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Unrealized</w:t>
            </w:r>
          </w:p>
        </w:tc>
        <w:tc>
          <w:tcPr>
            <w:tcW w:w="220" w:type="dxa"/>
            <w:vAlign w:val="bottom"/>
          </w:tcPr>
          <w:p>
            <w:pPr>
              <w:spacing w:after="0"/>
              <w:rPr>
                <w:sz w:val="11"/>
                <w:szCs w:val="11"/>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Fair</w:t>
            </w:r>
          </w:p>
        </w:tc>
        <w:tc>
          <w:tcPr>
            <w:tcW w:w="220" w:type="dxa"/>
            <w:vAlign w:val="bottom"/>
          </w:tcPr>
          <w:p>
            <w:pPr>
              <w:spacing w:after="0"/>
              <w:rPr>
                <w:sz w:val="11"/>
                <w:szCs w:val="11"/>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Unrealized</w:t>
            </w:r>
          </w:p>
        </w:tc>
        <w:tc>
          <w:tcPr>
            <w:tcW w:w="220" w:type="dxa"/>
            <w:vAlign w:val="bottom"/>
          </w:tcPr>
          <w:p>
            <w:pPr>
              <w:spacing w:after="0"/>
              <w:rPr>
                <w:sz w:val="11"/>
                <w:szCs w:val="11"/>
                <w:color w:val="auto"/>
              </w:rPr>
            </w:pPr>
          </w:p>
        </w:tc>
        <w:tc>
          <w:tcPr>
            <w:tcW w:w="840" w:type="dxa"/>
            <w:vAlign w:val="bottom"/>
          </w:tcPr>
          <w:p>
            <w:pPr>
              <w:jc w:val="right"/>
              <w:ind w:right="383"/>
              <w:spacing w:after="0"/>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ind w:right="283"/>
              <w:spacing w:after="0"/>
              <w:rPr>
                <w:sz w:val="20"/>
                <w:szCs w:val="20"/>
                <w:color w:val="auto"/>
              </w:rPr>
            </w:pPr>
            <w:r>
              <w:rPr>
                <w:rFonts w:ascii="Arial" w:cs="Arial" w:eastAsia="Arial" w:hAnsi="Arial"/>
                <w:sz w:val="11"/>
                <w:szCs w:val="11"/>
                <w:b w:val="1"/>
                <w:bCs w:val="1"/>
                <w:color w:val="auto"/>
              </w:rPr>
              <w:t>Unrealized</w:t>
            </w:r>
          </w:p>
        </w:tc>
      </w:tr>
      <w:tr>
        <w:trPr>
          <w:trHeight w:val="144"/>
        </w:trPr>
        <w:tc>
          <w:tcPr>
            <w:tcW w:w="20" w:type="dxa"/>
            <w:vAlign w:val="bottom"/>
          </w:tcPr>
          <w:p>
            <w:pPr>
              <w:spacing w:after="0"/>
              <w:rPr>
                <w:sz w:val="12"/>
                <w:szCs w:val="12"/>
                <w:color w:val="auto"/>
              </w:rPr>
            </w:pPr>
          </w:p>
        </w:tc>
        <w:tc>
          <w:tcPr>
            <w:tcW w:w="3780" w:type="dxa"/>
            <w:vAlign w:val="bottom"/>
            <w:gridSpan w:val="2"/>
          </w:tcPr>
          <w:p>
            <w:pPr>
              <w:spacing w:after="0"/>
              <w:rPr>
                <w:sz w:val="20"/>
                <w:szCs w:val="20"/>
                <w:color w:val="auto"/>
              </w:rPr>
            </w:pPr>
            <w:r>
              <w:rPr>
                <w:rFonts w:ascii="Arial" w:cs="Arial" w:eastAsia="Arial" w:hAnsi="Arial"/>
                <w:sz w:val="8"/>
                <w:szCs w:val="8"/>
                <w:i w:val="1"/>
                <w:iCs w:val="1"/>
                <w:color w:val="auto"/>
              </w:rPr>
              <w:t>(in thousands)</w:t>
            </w:r>
          </w:p>
        </w:tc>
        <w:tc>
          <w:tcPr>
            <w:tcW w:w="24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Value</w:t>
            </w:r>
          </w:p>
        </w:tc>
        <w:tc>
          <w:tcPr>
            <w:tcW w:w="20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Losses</w:t>
            </w:r>
          </w:p>
        </w:tc>
        <w:tc>
          <w:tcPr>
            <w:tcW w:w="220" w:type="dxa"/>
            <w:vAlign w:val="bottom"/>
          </w:tcPr>
          <w:p>
            <w:pPr>
              <w:spacing w:after="0"/>
              <w:rPr>
                <w:sz w:val="12"/>
                <w:szCs w:val="12"/>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Value</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Losses</w:t>
            </w:r>
          </w:p>
        </w:tc>
        <w:tc>
          <w:tcPr>
            <w:tcW w:w="220" w:type="dxa"/>
            <w:vAlign w:val="bottom"/>
          </w:tcPr>
          <w:p>
            <w:pPr>
              <w:spacing w:after="0"/>
              <w:rPr>
                <w:sz w:val="12"/>
                <w:szCs w:val="12"/>
                <w:color w:val="auto"/>
              </w:rPr>
            </w:pPr>
          </w:p>
        </w:tc>
        <w:tc>
          <w:tcPr>
            <w:tcW w:w="840" w:type="dxa"/>
            <w:vAlign w:val="bottom"/>
          </w:tcPr>
          <w:p>
            <w:pPr>
              <w:jc w:val="right"/>
              <w:ind w:right="323"/>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363"/>
              <w:spacing w:after="0"/>
              <w:rPr>
                <w:sz w:val="20"/>
                <w:szCs w:val="20"/>
                <w:color w:val="auto"/>
              </w:rPr>
            </w:pPr>
            <w:r>
              <w:rPr>
                <w:rFonts w:ascii="Arial" w:cs="Arial" w:eastAsia="Arial" w:hAnsi="Arial"/>
                <w:sz w:val="11"/>
                <w:szCs w:val="11"/>
                <w:b w:val="1"/>
                <w:bCs w:val="1"/>
                <w:color w:val="auto"/>
              </w:rPr>
              <w:t>Losses</w:t>
            </w:r>
          </w:p>
        </w:tc>
      </w:tr>
      <w:tr>
        <w:trPr>
          <w:trHeight w:val="124"/>
        </w:trPr>
        <w:tc>
          <w:tcPr>
            <w:tcW w:w="20" w:type="dxa"/>
            <w:vAlign w:val="bottom"/>
          </w:tcPr>
          <w:p>
            <w:pPr>
              <w:spacing w:after="0"/>
              <w:rPr>
                <w:sz w:val="10"/>
                <w:szCs w:val="10"/>
                <w:color w:val="auto"/>
              </w:rPr>
            </w:pPr>
          </w:p>
        </w:tc>
        <w:tc>
          <w:tcPr>
            <w:tcW w:w="378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rPr>
              <w:t>December 31, 2023</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r>
      <w:tr>
        <w:trPr>
          <w:trHeight w:val="165"/>
        </w:trPr>
        <w:tc>
          <w:tcPr>
            <w:tcW w:w="2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color w:val="auto"/>
              </w:rPr>
              <w:t>U.S. Treasuries</w:t>
            </w:r>
          </w:p>
        </w:tc>
        <w:tc>
          <w:tcPr>
            <w:tcW w:w="26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jc w:val="center"/>
              <w:ind w:right="83"/>
              <w:spacing w:after="0"/>
              <w:rPr>
                <w:sz w:val="20"/>
                <w:szCs w:val="20"/>
                <w:color w:val="auto"/>
              </w:rPr>
            </w:pPr>
            <w:r>
              <w:rPr>
                <w:rFonts w:ascii="Arial" w:cs="Arial" w:eastAsia="Arial" w:hAnsi="Arial"/>
                <w:sz w:val="11"/>
                <w:szCs w:val="11"/>
                <w:b w:val="1"/>
                <w:bCs w:val="1"/>
                <w:color w:val="auto"/>
                <w:w w:val="97"/>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149,228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center"/>
              <w:ind w:right="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(12,192)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149,228</w:t>
            </w:r>
          </w:p>
        </w:tc>
        <w:tc>
          <w:tcPr>
            <w:tcW w:w="36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b w:val="1"/>
                <w:bCs w:val="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(12,192)</w:t>
            </w:r>
          </w:p>
        </w:tc>
      </w:tr>
      <w:tr>
        <w:trPr>
          <w:trHeight w:val="159"/>
        </w:trPr>
        <w:tc>
          <w:tcPr>
            <w:tcW w:w="2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1"/>
                <w:szCs w:val="11"/>
                <w:color w:val="auto"/>
              </w:rPr>
              <w:t>Municipal</w:t>
            </w:r>
          </w:p>
        </w:tc>
        <w:tc>
          <w:tcPr>
            <w:tcW w:w="24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b w:val="1"/>
                <w:bCs w:val="1"/>
                <w:color w:val="auto"/>
              </w:rPr>
              <w:t>8,473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(2,331)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b w:val="1"/>
                <w:bCs w:val="1"/>
                <w:color w:val="auto"/>
              </w:rPr>
              <w:t>8,473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(2,331)</w:t>
            </w:r>
          </w:p>
        </w:tc>
      </w:tr>
      <w:tr>
        <w:trPr>
          <w:trHeight w:val="159"/>
        </w:trPr>
        <w:tc>
          <w:tcPr>
            <w:tcW w:w="20" w:type="dxa"/>
            <w:vAlign w:val="bottom"/>
            <w:shd w:val="clear" w:color="auto" w:fill="CCEEFF"/>
          </w:tcPr>
          <w:p>
            <w:pPr>
              <w:spacing w:after="0"/>
              <w:rPr>
                <w:sz w:val="13"/>
                <w:szCs w:val="13"/>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Corporate</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4,413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(587)</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4,413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(587)</w:t>
            </w:r>
          </w:p>
        </w:tc>
      </w:tr>
      <w:tr>
        <w:trPr>
          <w:trHeight w:val="159"/>
        </w:trPr>
        <w:tc>
          <w:tcPr>
            <w:tcW w:w="2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1"/>
                <w:szCs w:val="11"/>
                <w:color w:val="auto"/>
              </w:rPr>
              <w:t>Asset-backed securities</w:t>
            </w:r>
          </w:p>
        </w:tc>
        <w:tc>
          <w:tcPr>
            <w:tcW w:w="24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b w:val="1"/>
                <w:bCs w:val="1"/>
                <w:color w:val="auto"/>
              </w:rPr>
              <w:t>5,154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(37)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b w:val="1"/>
                <w:bCs w:val="1"/>
                <w:color w:val="auto"/>
              </w:rPr>
              <w:t>5,154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(37)</w:t>
            </w:r>
          </w:p>
        </w:tc>
      </w:tr>
      <w:tr>
        <w:trPr>
          <w:trHeight w:val="159"/>
        </w:trPr>
        <w:tc>
          <w:tcPr>
            <w:tcW w:w="20" w:type="dxa"/>
            <w:vAlign w:val="bottom"/>
            <w:shd w:val="clear" w:color="auto" w:fill="CCEEFF"/>
          </w:tcPr>
          <w:p>
            <w:pPr>
              <w:spacing w:after="0"/>
              <w:rPr>
                <w:sz w:val="13"/>
                <w:szCs w:val="13"/>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Mortgage-backed securities</w:t>
            </w: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6,057</w:t>
            </w:r>
          </w:p>
        </w:tc>
        <w:tc>
          <w:tcPr>
            <w:tcW w:w="1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32,214</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(2,212)</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38,271</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(2,220)</w:t>
            </w:r>
          </w:p>
        </w:tc>
      </w:tr>
      <w:tr>
        <w:trPr>
          <w:trHeight w:val="150"/>
        </w:trPr>
        <w:tc>
          <w:tcPr>
            <w:tcW w:w="20" w:type="dxa"/>
            <w:vAlign w:val="bottom"/>
          </w:tcPr>
          <w:p>
            <w:pPr>
              <w:spacing w:after="0"/>
              <w:rPr>
                <w:sz w:val="13"/>
                <w:szCs w:val="13"/>
                <w:color w:val="auto"/>
              </w:rPr>
            </w:pPr>
          </w:p>
        </w:tc>
        <w:tc>
          <w:tcPr>
            <w:tcW w:w="3780" w:type="dxa"/>
            <w:vAlign w:val="bottom"/>
            <w:gridSpan w:val="2"/>
          </w:tcPr>
          <w:p>
            <w:pPr>
              <w:ind w:left="180"/>
              <w:spacing w:after="0"/>
              <w:rPr>
                <w:sz w:val="20"/>
                <w:szCs w:val="20"/>
                <w:color w:val="auto"/>
              </w:rPr>
            </w:pPr>
            <w:r>
              <w:rPr>
                <w:rFonts w:ascii="Arial" w:cs="Arial" w:eastAsia="Arial" w:hAnsi="Arial"/>
                <w:sz w:val="13"/>
                <w:szCs w:val="13"/>
                <w:color w:val="auto"/>
              </w:rPr>
              <w:t>Total</w:t>
            </w: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6,057</w:t>
            </w:r>
          </w:p>
        </w:tc>
        <w:tc>
          <w:tcPr>
            <w:tcW w:w="120" w:type="dxa"/>
            <w:vAlign w:val="bottom"/>
          </w:tcPr>
          <w:p>
            <w:pPr>
              <w:spacing w:after="0"/>
              <w:rPr>
                <w:sz w:val="13"/>
                <w:szCs w:val="13"/>
                <w:color w:val="auto"/>
              </w:rPr>
            </w:pPr>
          </w:p>
        </w:tc>
        <w:tc>
          <w:tcPr>
            <w:tcW w:w="200" w:type="dxa"/>
            <w:vAlign w:val="bottom"/>
          </w:tcPr>
          <w:p>
            <w:pPr>
              <w:jc w:val="center"/>
              <w:ind w:right="83"/>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Pr>
          <w:p>
            <w:pPr>
              <w:jc w:val="right"/>
              <w:ind w:right="3"/>
              <w:spacing w:after="0"/>
              <w:rPr>
                <w:sz w:val="20"/>
                <w:szCs w:val="20"/>
                <w:color w:val="auto"/>
              </w:rPr>
            </w:pPr>
            <w:r>
              <w:rPr>
                <w:rFonts w:ascii="Arial" w:cs="Arial" w:eastAsia="Arial" w:hAnsi="Arial"/>
                <w:sz w:val="11"/>
                <w:szCs w:val="11"/>
                <w:b w:val="1"/>
                <w:bCs w:val="1"/>
                <w:color w:val="auto"/>
              </w:rPr>
              <w:t>199,482</w:t>
            </w:r>
          </w:p>
        </w:tc>
        <w:tc>
          <w:tcPr>
            <w:tcW w:w="100" w:type="dxa"/>
            <w:vAlign w:val="bottom"/>
          </w:tcPr>
          <w:p>
            <w:pPr>
              <w:spacing w:after="0"/>
              <w:rPr>
                <w:sz w:val="13"/>
                <w:szCs w:val="13"/>
                <w:color w:val="auto"/>
              </w:rPr>
            </w:pPr>
          </w:p>
        </w:tc>
        <w:tc>
          <w:tcPr>
            <w:tcW w:w="220" w:type="dxa"/>
            <w:vAlign w:val="bottom"/>
          </w:tcPr>
          <w:p>
            <w:pPr>
              <w:jc w:val="center"/>
              <w:ind w:right="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(17,359)</w:t>
            </w:r>
          </w:p>
        </w:tc>
        <w:tc>
          <w:tcPr>
            <w:tcW w:w="12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Pr>
          <w:p>
            <w:pPr>
              <w:jc w:val="right"/>
              <w:ind w:right="3"/>
              <w:spacing w:after="0"/>
              <w:rPr>
                <w:sz w:val="20"/>
                <w:szCs w:val="20"/>
                <w:color w:val="auto"/>
              </w:rPr>
            </w:pPr>
            <w:r>
              <w:rPr>
                <w:rFonts w:ascii="Arial" w:cs="Arial" w:eastAsia="Arial" w:hAnsi="Arial"/>
                <w:sz w:val="11"/>
                <w:szCs w:val="11"/>
                <w:b w:val="1"/>
                <w:bCs w:val="1"/>
                <w:color w:val="auto"/>
              </w:rPr>
              <w:t>205,539</w:t>
            </w:r>
          </w:p>
        </w:tc>
        <w:tc>
          <w:tcPr>
            <w:tcW w:w="3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(17,367)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December 31, 2022</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5"/>
        </w:trPr>
        <w:tc>
          <w:tcPr>
            <w:tcW w:w="2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color w:val="auto"/>
              </w:rPr>
              <w:t>U.S. Treasuries</w:t>
            </w:r>
          </w:p>
        </w:tc>
        <w:tc>
          <w:tcPr>
            <w:tcW w:w="26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82,102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center"/>
              <w:ind w:right="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117,347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center"/>
              <w:ind w:right="6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(14,641)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199,449</w:t>
            </w:r>
          </w:p>
        </w:tc>
        <w:tc>
          <w:tcPr>
            <w:tcW w:w="36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(16,037)</w:t>
            </w:r>
          </w:p>
        </w:tc>
      </w:tr>
      <w:tr>
        <w:trPr>
          <w:trHeight w:val="156"/>
        </w:trPr>
        <w:tc>
          <w:tcPr>
            <w:tcW w:w="2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1"/>
                <w:szCs w:val="11"/>
                <w:color w:val="auto"/>
              </w:rPr>
              <w:t>Municipal</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1,452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(207)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6,560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(2,596)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8,012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(2,803)</w:t>
            </w:r>
          </w:p>
        </w:tc>
      </w:tr>
      <w:tr>
        <w:trPr>
          <w:trHeight w:val="162"/>
        </w:trPr>
        <w:tc>
          <w:tcPr>
            <w:tcW w:w="20" w:type="dxa"/>
            <w:vAlign w:val="bottom"/>
            <w:shd w:val="clear" w:color="auto" w:fill="CCEEFF"/>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Corporate</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w:t>
            </w:r>
          </w:p>
        </w:tc>
      </w:tr>
      <w:tr>
        <w:trPr>
          <w:trHeight w:val="156"/>
        </w:trPr>
        <w:tc>
          <w:tcPr>
            <w:tcW w:w="2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1"/>
                <w:szCs w:val="11"/>
                <w:color w:val="auto"/>
              </w:rPr>
              <w:t>Asset-backed securities</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6,156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(237)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1,555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7,711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(259)</w:t>
            </w:r>
          </w:p>
        </w:tc>
      </w:tr>
      <w:tr>
        <w:trPr>
          <w:trHeight w:val="159"/>
        </w:trPr>
        <w:tc>
          <w:tcPr>
            <w:tcW w:w="20" w:type="dxa"/>
            <w:vAlign w:val="bottom"/>
            <w:shd w:val="clear" w:color="auto" w:fill="CCEEFF"/>
          </w:tcPr>
          <w:p>
            <w:pPr>
              <w:spacing w:after="0"/>
              <w:rPr>
                <w:sz w:val="13"/>
                <w:szCs w:val="13"/>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Mortgage-backed securities</w:t>
            </w: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22,067</w:t>
            </w:r>
          </w:p>
        </w:tc>
        <w:tc>
          <w:tcPr>
            <w:tcW w:w="1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(1,884)</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10,642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(1,033)</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32,709</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(2,917)</w:t>
            </w:r>
          </w:p>
        </w:tc>
      </w:tr>
      <w:tr>
        <w:trPr>
          <w:trHeight w:val="153"/>
        </w:trPr>
        <w:tc>
          <w:tcPr>
            <w:tcW w:w="20" w:type="dxa"/>
            <w:vAlign w:val="bottom"/>
          </w:tcPr>
          <w:p>
            <w:pPr>
              <w:spacing w:after="0"/>
              <w:rPr>
                <w:sz w:val="13"/>
                <w:szCs w:val="13"/>
                <w:color w:val="auto"/>
              </w:rPr>
            </w:pPr>
          </w:p>
        </w:tc>
        <w:tc>
          <w:tcPr>
            <w:tcW w:w="3780" w:type="dxa"/>
            <w:vAlign w:val="bottom"/>
            <w:gridSpan w:val="2"/>
          </w:tcPr>
          <w:p>
            <w:pPr>
              <w:ind w:left="180"/>
              <w:spacing w:after="0"/>
              <w:rPr>
                <w:sz w:val="20"/>
                <w:szCs w:val="20"/>
                <w:color w:val="auto"/>
              </w:rPr>
            </w:pPr>
            <w:r>
              <w:rPr>
                <w:rFonts w:ascii="Arial" w:cs="Arial" w:eastAsia="Arial" w:hAnsi="Arial"/>
                <w:sz w:val="13"/>
                <w:szCs w:val="13"/>
                <w:color w:val="auto"/>
              </w:rPr>
              <w:t>Total</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111,777</w:t>
            </w:r>
          </w:p>
        </w:tc>
        <w:tc>
          <w:tcPr>
            <w:tcW w:w="120" w:type="dxa"/>
            <w:vAlign w:val="bottom"/>
          </w:tcPr>
          <w:p>
            <w:pPr>
              <w:spacing w:after="0"/>
              <w:rPr>
                <w:sz w:val="13"/>
                <w:szCs w:val="13"/>
                <w:color w:val="auto"/>
              </w:rPr>
            </w:pPr>
          </w:p>
        </w:tc>
        <w:tc>
          <w:tcPr>
            <w:tcW w:w="200" w:type="dxa"/>
            <w:vAlign w:val="bottom"/>
          </w:tcPr>
          <w:p>
            <w:pPr>
              <w:jc w:val="center"/>
              <w:ind w:right="8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(3,724)</w:t>
            </w:r>
          </w:p>
        </w:tc>
        <w:tc>
          <w:tcPr>
            <w:tcW w:w="10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140,704</w:t>
            </w:r>
          </w:p>
        </w:tc>
        <w:tc>
          <w:tcPr>
            <w:tcW w:w="100" w:type="dxa"/>
            <w:vAlign w:val="bottom"/>
          </w:tcPr>
          <w:p>
            <w:pPr>
              <w:spacing w:after="0"/>
              <w:rPr>
                <w:sz w:val="13"/>
                <w:szCs w:val="13"/>
                <w:color w:val="auto"/>
              </w:rPr>
            </w:pPr>
          </w:p>
        </w:tc>
        <w:tc>
          <w:tcPr>
            <w:tcW w:w="220" w:type="dxa"/>
            <w:vAlign w:val="bottom"/>
          </w:tcPr>
          <w:p>
            <w:pPr>
              <w:jc w:val="center"/>
              <w:ind w:right="6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(18,692)</w:t>
            </w:r>
          </w:p>
        </w:tc>
        <w:tc>
          <w:tcPr>
            <w:tcW w:w="12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252,481</w:t>
            </w:r>
          </w:p>
        </w:tc>
        <w:tc>
          <w:tcPr>
            <w:tcW w:w="360" w:type="dxa"/>
            <w:vAlign w:val="bottom"/>
            <w:gridSpan w:val="2"/>
          </w:tcPr>
          <w:p>
            <w:pPr>
              <w:jc w:val="center"/>
              <w:ind w:right="60"/>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(22,416)</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93" w:name="page94"/>
    <w:bookmarkEnd w:id="93"/>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Investment Securities (continued)</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At December 31, 2023 management determined the Company does not have the intent to sell, nor is it more likely than not that it will be required to sell, available-for-sale debt securities in an unrealized loss position at December 31, 2023 before it is able to recover the amortized cost basis. Further, management reviewed the Company’s holdings as of December 31, 2023 and concluded there were no credit-related declines in fair value. Additional information related to the types of securities held at December 31, 2023, other than securities issued or guaranteed by U.S. Government entities or agencies, is as follows:</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 xml:space="preserve">Corporate Securities </w:t>
      </w:r>
      <w:r>
        <w:rPr>
          <w:rFonts w:ascii="Arial" w:cs="Arial" w:eastAsia="Arial" w:hAnsi="Arial"/>
          <w:sz w:val="14"/>
          <w:szCs w:val="14"/>
          <w:color w:val="auto"/>
        </w:rPr>
        <w:t>– There have been no payment defaults on any of the Company’s holdings of corporate debt securities. There are 5 securities all of which are subordinated</w:t>
      </w:r>
      <w:r>
        <w:rPr>
          <w:rFonts w:ascii="Arial" w:cs="Arial" w:eastAsia="Arial" w:hAnsi="Arial"/>
          <w:sz w:val="14"/>
          <w:szCs w:val="14"/>
          <w:i w:val="1"/>
          <w:iCs w:val="1"/>
          <w:color w:val="auto"/>
        </w:rPr>
        <w:t xml:space="preserve"> </w:t>
      </w:r>
      <w:r>
        <w:rPr>
          <w:rFonts w:ascii="Arial" w:cs="Arial" w:eastAsia="Arial" w:hAnsi="Arial"/>
          <w:sz w:val="14"/>
          <w:szCs w:val="14"/>
          <w:color w:val="auto"/>
        </w:rPr>
        <w:t>debt of other financial institutions with face amounts ranging from $0.5 million to $2 million.</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 xml:space="preserve">Municipal Securities </w:t>
      </w:r>
      <w:r>
        <w:rPr>
          <w:rFonts w:ascii="Arial" w:cs="Arial" w:eastAsia="Arial" w:hAnsi="Arial"/>
          <w:sz w:val="14"/>
          <w:szCs w:val="14"/>
          <w:color w:val="auto"/>
        </w:rPr>
        <w:t>– All of the Company’s holdings of municipal bonds were investment grade and there have been no payment defaults. Summary ratings information at</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2023, based on the amortized cost basis and reflecting the lowest enhanced or underlying rating by Moody’s, Standard &amp; Poors or Fitch, is as follows: AAA – 82% of the portfolio; AA+ – 8%; AA – 10%.</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Asset-backed Securities </w:t>
      </w:r>
      <w:r>
        <w:rPr>
          <w:rFonts w:ascii="Arial" w:cs="Arial" w:eastAsia="Arial" w:hAnsi="Arial"/>
          <w:sz w:val="14"/>
          <w:szCs w:val="14"/>
          <w:color w:val="auto"/>
        </w:rPr>
        <w:t>– There were 3 investment grade asset-backed securities, and there have been no payment defaults on these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As such, it is deemed the above listed securities are not in an unrealized loss position due to credit-related issues and no further analysis is warranted as of December 31, 2023.</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SBA-PPP Loans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SBA-PPP gross loans receivable totaled $0.7 million and $2.2 million at December 31, 2023 and 2022, respectively and were all rated as pass credits and were not past due, nonaccrual or otherwise impaired. Unearned net fees associated with the SBA-PPP loans amounted to $15.3 thousand and $31.0 thousand at December 31, 2023 and 2022, respectively.</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SBA-PPP loans generated income of $29.5 thousand for the year ended December 31, 2023 and $3.5 million for the year ended December 31, 2022, of which, earned fees, primarily on loans forgiven by the SBA, represented $15.7 thousand and $3.2 million of the income,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94" w:name="page95"/>
    <w:bookmarkEnd w:id="94"/>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Portfolio Loans Receivable and Allowance for Credit Losses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the major categories of total loans outstanding: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rPr>
              <w:t>December 31,</w:t>
            </w:r>
          </w:p>
        </w:tc>
        <w:tc>
          <w:tcPr>
            <w:tcW w:w="1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r>
      <w:tr>
        <w:trPr>
          <w:trHeight w:val="161"/>
        </w:trPr>
        <w:tc>
          <w:tcPr>
            <w:tcW w:w="31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3"/>
                <w:szCs w:val="13"/>
                <w:b w:val="1"/>
                <w:bCs w:val="1"/>
                <w:color w:val="auto"/>
              </w:rPr>
              <w:t>2023</w:t>
            </w:r>
          </w:p>
        </w:tc>
        <w:tc>
          <w:tcPr>
            <w:tcW w:w="1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3"/>
                <w:szCs w:val="13"/>
                <w:b w:val="1"/>
                <w:bCs w:val="1"/>
                <w:color w:val="auto"/>
              </w:rPr>
              <w:t>2022</w:t>
            </w:r>
          </w:p>
        </w:tc>
        <w:tc>
          <w:tcPr>
            <w:tcW w:w="1540" w:type="dxa"/>
            <w:vAlign w:val="bottom"/>
            <w:tcBorders>
              <w:bottom w:val="single" w:sz="8" w:color="auto"/>
            </w:tcBorders>
          </w:tcPr>
          <w:p>
            <w:pPr>
              <w:spacing w:after="0"/>
              <w:rPr>
                <w:sz w:val="13"/>
                <w:szCs w:val="13"/>
                <w:color w:val="auto"/>
              </w:rPr>
            </w:pPr>
          </w:p>
        </w:tc>
      </w:tr>
      <w:tr>
        <w:trPr>
          <w:trHeight w:val="160"/>
        </w:trPr>
        <w:tc>
          <w:tcPr>
            <w:tcW w:w="318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400" w:type="dxa"/>
            <w:vAlign w:val="bottom"/>
          </w:tcPr>
          <w:p>
            <w:pPr>
              <w:spacing w:after="0"/>
              <w:rPr>
                <w:sz w:val="13"/>
                <w:szCs w:val="13"/>
                <w:color w:val="auto"/>
              </w:rPr>
            </w:pPr>
          </w:p>
        </w:tc>
        <w:tc>
          <w:tcPr>
            <w:tcW w:w="2060" w:type="dxa"/>
            <w:vAlign w:val="bottom"/>
            <w:gridSpan w:val="3"/>
          </w:tcPr>
          <w:p>
            <w:pPr>
              <w:jc w:val="right"/>
              <w:ind w:right="1260"/>
              <w:spacing w:after="0"/>
              <w:rPr>
                <w:sz w:val="20"/>
                <w:szCs w:val="20"/>
                <w:color w:val="auto"/>
              </w:rPr>
            </w:pPr>
            <w:r>
              <w:rPr>
                <w:rFonts w:ascii="Arial" w:cs="Arial" w:eastAsia="Arial" w:hAnsi="Arial"/>
                <w:sz w:val="13"/>
                <w:szCs w:val="13"/>
                <w:b w:val="1"/>
                <w:bCs w:val="1"/>
                <w:color w:val="auto"/>
              </w:rPr>
              <w:t>Amount</w:t>
            </w:r>
          </w:p>
        </w:tc>
        <w:tc>
          <w:tcPr>
            <w:tcW w:w="2160" w:type="dxa"/>
            <w:vAlign w:val="bottom"/>
            <w:gridSpan w:val="3"/>
          </w:tcPr>
          <w:p>
            <w:pPr>
              <w:jc w:val="right"/>
              <w:ind w:right="1380"/>
              <w:spacing w:after="0"/>
              <w:rPr>
                <w:sz w:val="20"/>
                <w:szCs w:val="20"/>
                <w:color w:val="auto"/>
              </w:rPr>
            </w:pPr>
            <w:r>
              <w:rPr>
                <w:rFonts w:ascii="Arial" w:cs="Arial" w:eastAsia="Arial" w:hAnsi="Arial"/>
                <w:sz w:val="13"/>
                <w:szCs w:val="13"/>
                <w:b w:val="1"/>
                <w:bCs w:val="1"/>
                <w:color w:val="auto"/>
              </w:rPr>
              <w:t>Percent</w:t>
            </w:r>
          </w:p>
        </w:tc>
        <w:tc>
          <w:tcPr>
            <w:tcW w:w="1940" w:type="dxa"/>
            <w:vAlign w:val="bottom"/>
            <w:gridSpan w:val="3"/>
          </w:tcPr>
          <w:p>
            <w:pPr>
              <w:jc w:val="right"/>
              <w:ind w:right="1260"/>
              <w:spacing w:after="0"/>
              <w:rPr>
                <w:sz w:val="20"/>
                <w:szCs w:val="20"/>
                <w:color w:val="auto"/>
              </w:rPr>
            </w:pPr>
            <w:r>
              <w:rPr>
                <w:rFonts w:ascii="Arial" w:cs="Arial" w:eastAsia="Arial" w:hAnsi="Arial"/>
                <w:sz w:val="13"/>
                <w:szCs w:val="13"/>
                <w:b w:val="1"/>
                <w:bCs w:val="1"/>
                <w:color w:val="auto"/>
              </w:rPr>
              <w:t>Amount</w:t>
            </w:r>
          </w:p>
        </w:tc>
        <w:tc>
          <w:tcPr>
            <w:tcW w:w="1540" w:type="dxa"/>
            <w:vAlign w:val="bottom"/>
          </w:tcPr>
          <w:p>
            <w:pPr>
              <w:jc w:val="right"/>
              <w:ind w:right="696"/>
              <w:spacing w:after="0"/>
              <w:rPr>
                <w:sz w:val="20"/>
                <w:szCs w:val="20"/>
                <w:color w:val="auto"/>
              </w:rPr>
            </w:pPr>
            <w:r>
              <w:rPr>
                <w:rFonts w:ascii="Arial" w:cs="Arial" w:eastAsia="Arial" w:hAnsi="Arial"/>
                <w:sz w:val="13"/>
                <w:szCs w:val="13"/>
                <w:b w:val="1"/>
                <w:bCs w:val="1"/>
                <w:color w:val="auto"/>
              </w:rPr>
              <w:t>Percent</w:t>
            </w:r>
          </w:p>
        </w:tc>
      </w:tr>
      <w:tr>
        <w:trPr>
          <w:trHeight w:val="150"/>
        </w:trPr>
        <w:tc>
          <w:tcPr>
            <w:tcW w:w="31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Real estate:</w:t>
            </w:r>
          </w:p>
        </w:tc>
        <w:tc>
          <w:tcPr>
            <w:tcW w:w="40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r>
      <w:tr>
        <w:trPr>
          <w:trHeight w:val="170"/>
        </w:trPr>
        <w:tc>
          <w:tcPr>
            <w:tcW w:w="3180" w:type="dxa"/>
            <w:vAlign w:val="bottom"/>
          </w:tcPr>
          <w:p>
            <w:pPr>
              <w:ind w:left="120"/>
              <w:spacing w:after="0"/>
              <w:rPr>
                <w:sz w:val="20"/>
                <w:szCs w:val="20"/>
                <w:color w:val="auto"/>
              </w:rPr>
            </w:pPr>
            <w:r>
              <w:rPr>
                <w:rFonts w:ascii="Arial" w:cs="Arial" w:eastAsia="Arial" w:hAnsi="Arial"/>
                <w:sz w:val="13"/>
                <w:szCs w:val="13"/>
                <w:color w:val="auto"/>
              </w:rPr>
              <w:t>Residential</w:t>
            </w:r>
          </w:p>
        </w:tc>
        <w:tc>
          <w:tcPr>
            <w:tcW w:w="400" w:type="dxa"/>
            <w:vAlign w:val="bottom"/>
          </w:tcPr>
          <w:p>
            <w:pPr>
              <w:jc w:val="right"/>
              <w:ind w:right="236"/>
              <w:spacing w:after="0"/>
              <w:rPr>
                <w:sz w:val="20"/>
                <w:szCs w:val="20"/>
                <w:color w:val="auto"/>
              </w:rPr>
            </w:pPr>
            <w:r>
              <w:rPr>
                <w:rFonts w:ascii="Arial" w:cs="Arial" w:eastAsia="Arial" w:hAnsi="Arial"/>
                <w:sz w:val="13"/>
                <w:szCs w:val="13"/>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573,104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6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rPr>
              <w:t xml:space="preserve">30 %  </w:t>
            </w: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484,735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28 %</w:t>
            </w:r>
          </w:p>
        </w:tc>
      </w:tr>
      <w:tr>
        <w:trPr>
          <w:trHeight w:val="170"/>
        </w:trPr>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w:t>
            </w:r>
          </w:p>
        </w:tc>
        <w:tc>
          <w:tcPr>
            <w:tcW w:w="4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684,229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35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664,551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38</w:t>
            </w:r>
          </w:p>
        </w:tc>
      </w:tr>
      <w:tr>
        <w:trPr>
          <w:trHeight w:val="170"/>
        </w:trPr>
        <w:tc>
          <w:tcPr>
            <w:tcW w:w="3180" w:type="dxa"/>
            <w:vAlign w:val="bottom"/>
          </w:tcPr>
          <w:p>
            <w:pPr>
              <w:ind w:left="120"/>
              <w:spacing w:after="0"/>
              <w:rPr>
                <w:sz w:val="20"/>
                <w:szCs w:val="20"/>
                <w:color w:val="auto"/>
              </w:rPr>
            </w:pPr>
            <w:r>
              <w:rPr>
                <w:rFonts w:ascii="Arial" w:cs="Arial" w:eastAsia="Arial" w:hAnsi="Arial"/>
                <w:sz w:val="13"/>
                <w:szCs w:val="13"/>
                <w:color w:val="auto"/>
              </w:rPr>
              <w:t>Construction</w:t>
            </w:r>
          </w:p>
        </w:tc>
        <w:tc>
          <w:tcPr>
            <w:tcW w:w="4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290,108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jc w:val="right"/>
              <w:ind w:right="97"/>
              <w:spacing w:after="0"/>
              <w:rPr>
                <w:sz w:val="20"/>
                <w:szCs w:val="20"/>
                <w:color w:val="auto"/>
              </w:rPr>
            </w:pPr>
            <w:r>
              <w:rPr>
                <w:rFonts w:ascii="Arial" w:cs="Arial" w:eastAsia="Arial" w:hAnsi="Arial"/>
                <w:sz w:val="13"/>
                <w:szCs w:val="13"/>
                <w:b w:val="1"/>
                <w:bCs w:val="1"/>
                <w:color w:val="auto"/>
              </w:rPr>
              <w:t>15</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238,099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jc w:val="right"/>
              <w:ind w:right="96"/>
              <w:spacing w:after="0"/>
              <w:rPr>
                <w:sz w:val="20"/>
                <w:szCs w:val="20"/>
                <w:color w:val="auto"/>
              </w:rPr>
            </w:pPr>
            <w:r>
              <w:rPr>
                <w:rFonts w:ascii="Arial" w:cs="Arial" w:eastAsia="Arial" w:hAnsi="Arial"/>
                <w:sz w:val="13"/>
                <w:szCs w:val="13"/>
                <w:b w:val="1"/>
                <w:bCs w:val="1"/>
                <w:color w:val="auto"/>
              </w:rPr>
              <w:t>14</w:t>
            </w:r>
          </w:p>
        </w:tc>
      </w:tr>
      <w:tr>
        <w:trPr>
          <w:trHeight w:val="170"/>
        </w:trPr>
        <w:tc>
          <w:tcPr>
            <w:tcW w:w="3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and Industrial</w:t>
            </w:r>
          </w:p>
        </w:tc>
        <w:tc>
          <w:tcPr>
            <w:tcW w:w="4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238,548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220,221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13</w:t>
            </w:r>
          </w:p>
        </w:tc>
      </w:tr>
      <w:tr>
        <w:trPr>
          <w:trHeight w:val="170"/>
        </w:trPr>
        <w:tc>
          <w:tcPr>
            <w:tcW w:w="3180" w:type="dxa"/>
            <w:vAlign w:val="bottom"/>
          </w:tcPr>
          <w:p>
            <w:pPr>
              <w:ind w:left="20"/>
              <w:spacing w:after="0" w:line="170" w:lineRule="exact"/>
              <w:rPr>
                <w:sz w:val="20"/>
                <w:szCs w:val="20"/>
                <w:color w:val="auto"/>
              </w:rPr>
            </w:pPr>
            <w:r>
              <w:rPr>
                <w:rFonts w:ascii="Arial" w:cs="Arial" w:eastAsia="Arial" w:hAnsi="Arial"/>
                <w:sz w:val="13"/>
                <w:szCs w:val="13"/>
                <w:color w:val="auto"/>
              </w:rPr>
              <w:t>Credit card, net of reserve</w:t>
            </w:r>
            <w:r>
              <w:rPr>
                <w:rFonts w:ascii="Arial" w:cs="Arial" w:eastAsia="Arial" w:hAnsi="Arial"/>
                <w:sz w:val="16"/>
                <w:szCs w:val="16"/>
                <w:color w:val="auto"/>
                <w:vertAlign w:val="superscript"/>
              </w:rPr>
              <w:t>(1)</w:t>
            </w:r>
          </w:p>
        </w:tc>
        <w:tc>
          <w:tcPr>
            <w:tcW w:w="4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123,331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jc w:val="right"/>
              <w:ind w:right="97"/>
              <w:spacing w:after="0"/>
              <w:rPr>
                <w:sz w:val="20"/>
                <w:szCs w:val="20"/>
                <w:color w:val="auto"/>
              </w:rPr>
            </w:pPr>
            <w:r>
              <w:rPr>
                <w:rFonts w:ascii="Arial" w:cs="Arial" w:eastAsia="Arial" w:hAnsi="Arial"/>
                <w:sz w:val="13"/>
                <w:szCs w:val="13"/>
                <w:b w:val="1"/>
                <w:bCs w:val="1"/>
                <w:color w:val="auto"/>
              </w:rPr>
              <w:t>7</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128,434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jc w:val="right"/>
              <w:ind w:right="96"/>
              <w:spacing w:after="0"/>
              <w:rPr>
                <w:sz w:val="20"/>
                <w:szCs w:val="20"/>
                <w:color w:val="auto"/>
              </w:rPr>
            </w:pPr>
            <w:r>
              <w:rPr>
                <w:rFonts w:ascii="Arial" w:cs="Arial" w:eastAsia="Arial" w:hAnsi="Arial"/>
                <w:sz w:val="13"/>
                <w:szCs w:val="13"/>
                <w:b w:val="1"/>
                <w:bCs w:val="1"/>
                <w:color w:val="auto"/>
              </w:rPr>
              <w:t>7</w:t>
            </w:r>
          </w:p>
        </w:tc>
      </w:tr>
      <w:tr>
        <w:trPr>
          <w:trHeight w:val="170"/>
        </w:trPr>
        <w:tc>
          <w:tcPr>
            <w:tcW w:w="3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consumer</w:t>
            </w:r>
          </w:p>
        </w:tc>
        <w:tc>
          <w:tcPr>
            <w:tcW w:w="4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950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jc w:val="right"/>
              <w:ind w:right="780"/>
              <w:spacing w:after="0"/>
              <w:rPr>
                <w:sz w:val="20"/>
                <w:szCs w:val="20"/>
                <w:color w:val="auto"/>
              </w:rPr>
            </w:pPr>
            <w:r>
              <w:rPr>
                <w:rFonts w:ascii="Arial" w:cs="Arial" w:eastAsia="Arial" w:hAnsi="Arial"/>
                <w:sz w:val="13"/>
                <w:szCs w:val="13"/>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w:t>
            </w:r>
          </w:p>
        </w:tc>
      </w:tr>
      <w:tr>
        <w:trPr>
          <w:trHeight w:val="160"/>
        </w:trPr>
        <w:tc>
          <w:tcPr>
            <w:tcW w:w="3180" w:type="dxa"/>
            <w:vAlign w:val="bottom"/>
          </w:tcPr>
          <w:p>
            <w:pPr>
              <w:ind w:left="120"/>
              <w:spacing w:after="0"/>
              <w:rPr>
                <w:sz w:val="20"/>
                <w:szCs w:val="20"/>
                <w:color w:val="auto"/>
              </w:rPr>
            </w:pPr>
            <w:r>
              <w:rPr>
                <w:rFonts w:ascii="Arial" w:cs="Arial" w:eastAsia="Arial" w:hAnsi="Arial"/>
                <w:sz w:val="13"/>
                <w:szCs w:val="13"/>
                <w:color w:val="auto"/>
              </w:rPr>
              <w:t>Portfolio loans receivable, gross</w:t>
            </w:r>
          </w:p>
        </w:tc>
        <w:tc>
          <w:tcPr>
            <w:tcW w:w="4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1,910,270</w:t>
            </w: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100 %</w:t>
            </w:r>
          </w:p>
        </w:tc>
        <w:tc>
          <w:tcPr>
            <w:tcW w:w="1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1,737,219</w:t>
            </w: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100 %</w:t>
            </w: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31"/>
        </w:trPr>
        <w:tc>
          <w:tcPr>
            <w:tcW w:w="31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Deferred origination fees, net</w:t>
            </w:r>
          </w:p>
        </w:tc>
        <w:tc>
          <w:tcPr>
            <w:tcW w:w="40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(7,627)</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3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(8,627)</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r>
      <w:tr>
        <w:trPr>
          <w:trHeight w:val="170"/>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Allowance for credit losses</w:t>
            </w:r>
          </w:p>
        </w:tc>
        <w:tc>
          <w:tcPr>
            <w:tcW w:w="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(28,610)</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(26,385)</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r>
      <w:tr>
        <w:trPr>
          <w:trHeight w:val="180"/>
        </w:trPr>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Portfolio loans receivable, net</w:t>
            </w: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1,874,033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16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1,702,207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9"/>
          <w:szCs w:val="9"/>
          <w:color w:val="auto"/>
        </w:rPr>
        <w:t>(1) Credit card loans are presented net of reserve for interest and fees.</w:t>
      </w:r>
    </w:p>
    <w:p>
      <w:pPr>
        <w:spacing w:after="0" w:line="143"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During the year ended December 31, 2023 the Company recorded a $284 thousand increase to the ACL, reflected in “Other,” from residual non-accretable discounts on acquired loans post CECL adoption. The following tables set forth the changes in the ACL and an allocation of the ACL by loan segment class for the year ended December 31, 2023 and the activity in the allowance for loan losses by loan segment class for the year ended December 31, 2022.</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Beginning</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rPr>
              <w:t>Impact of</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Provision</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00" w:type="dxa"/>
            <w:vAlign w:val="bottom"/>
            <w:gridSpan w:val="2"/>
            <w:vMerge w:val="restart"/>
          </w:tcPr>
          <w:p>
            <w:pPr>
              <w:spacing w:after="0"/>
              <w:rPr>
                <w:sz w:val="20"/>
                <w:szCs w:val="20"/>
                <w:color w:val="auto"/>
              </w:rPr>
            </w:pPr>
            <w:r>
              <w:rPr>
                <w:rFonts w:ascii="Arial" w:cs="Arial" w:eastAsia="Arial" w:hAnsi="Arial"/>
                <w:sz w:val="8"/>
                <w:szCs w:val="8"/>
                <w:color w:val="auto"/>
              </w:rPr>
              <w:t>(in thousands)</w:t>
            </w:r>
          </w:p>
        </w:tc>
        <w:tc>
          <w:tcPr>
            <w:tcW w:w="100" w:type="dxa"/>
            <w:vAlign w:val="bottom"/>
          </w:tcPr>
          <w:p>
            <w:pPr>
              <w:spacing w:after="0"/>
              <w:rPr>
                <w:sz w:val="9"/>
                <w:szCs w:val="9"/>
                <w:color w:val="auto"/>
              </w:rPr>
            </w:pPr>
          </w:p>
        </w:tc>
        <w:tc>
          <w:tcPr>
            <w:tcW w:w="1120" w:type="dxa"/>
            <w:vAlign w:val="bottom"/>
            <w:gridSpan w:val="2"/>
          </w:tcPr>
          <w:p>
            <w:pPr>
              <w:jc w:val="center"/>
              <w:ind w:right="180"/>
              <w:spacing w:after="0" w:line="113" w:lineRule="exact"/>
              <w:rPr>
                <w:sz w:val="20"/>
                <w:szCs w:val="20"/>
                <w:color w:val="auto"/>
              </w:rPr>
            </w:pPr>
            <w:r>
              <w:rPr>
                <w:rFonts w:ascii="Arial" w:cs="Arial" w:eastAsia="Arial" w:hAnsi="Arial"/>
                <w:sz w:val="11"/>
                <w:szCs w:val="11"/>
                <w:b w:val="1"/>
                <w:bCs w:val="1"/>
                <w:color w:val="auto"/>
              </w:rPr>
              <w:t>Balance, Prior to</w:t>
            </w: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200"/>
              <w:spacing w:after="0" w:line="113" w:lineRule="exact"/>
              <w:rPr>
                <w:sz w:val="20"/>
                <w:szCs w:val="20"/>
                <w:color w:val="auto"/>
              </w:rPr>
            </w:pPr>
            <w:r>
              <w:rPr>
                <w:rFonts w:ascii="Arial" w:cs="Arial" w:eastAsia="Arial" w:hAnsi="Arial"/>
                <w:sz w:val="11"/>
                <w:szCs w:val="11"/>
                <w:b w:val="1"/>
                <w:bCs w:val="1"/>
                <w:color w:val="auto"/>
              </w:rPr>
              <w:t>(Release of</w:t>
            </w: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7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restart"/>
          </w:tcPr>
          <w:p>
            <w:pPr>
              <w:jc w:val="center"/>
              <w:ind w:right="200"/>
              <w:spacing w:after="0" w:line="117" w:lineRule="exact"/>
              <w:rPr>
                <w:sz w:val="20"/>
                <w:szCs w:val="20"/>
                <w:color w:val="auto"/>
              </w:rPr>
            </w:pPr>
            <w:r>
              <w:rPr>
                <w:rFonts w:ascii="Arial" w:cs="Arial" w:eastAsia="Arial" w:hAnsi="Arial"/>
                <w:sz w:val="11"/>
                <w:szCs w:val="11"/>
                <w:b w:val="1"/>
                <w:bCs w:val="1"/>
                <w:color w:val="auto"/>
              </w:rPr>
              <w:t>Adoption of the</w:t>
            </w:r>
          </w:p>
        </w:tc>
        <w:tc>
          <w:tcPr>
            <w:tcW w:w="100" w:type="dxa"/>
            <w:vAlign w:val="bottom"/>
          </w:tcPr>
          <w:p>
            <w:pPr>
              <w:spacing w:after="0"/>
              <w:rPr>
                <w:sz w:val="6"/>
                <w:szCs w:val="6"/>
                <w:color w:val="auto"/>
              </w:rPr>
            </w:pPr>
          </w:p>
        </w:tc>
        <w:tc>
          <w:tcPr>
            <w:tcW w:w="1040" w:type="dxa"/>
            <w:vAlign w:val="bottom"/>
            <w:gridSpan w:val="2"/>
            <w:vMerge w:val="restart"/>
          </w:tcPr>
          <w:p>
            <w:pPr>
              <w:jc w:val="center"/>
              <w:ind w:right="180"/>
              <w:spacing w:after="0" w:line="117" w:lineRule="exact"/>
              <w:rPr>
                <w:sz w:val="20"/>
                <w:szCs w:val="20"/>
                <w:color w:val="auto"/>
              </w:rPr>
            </w:pPr>
            <w:r>
              <w:rPr>
                <w:rFonts w:ascii="Arial" w:cs="Arial" w:eastAsia="Arial" w:hAnsi="Arial"/>
                <w:sz w:val="11"/>
                <w:szCs w:val="11"/>
                <w:b w:val="1"/>
                <w:bCs w:val="1"/>
                <w:color w:val="auto"/>
              </w:rPr>
              <w:t>Adopting the</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restart"/>
          </w:tcPr>
          <w:p>
            <w:pPr>
              <w:jc w:val="center"/>
              <w:ind w:right="200"/>
              <w:spacing w:after="0" w:line="117" w:lineRule="exact"/>
              <w:rPr>
                <w:sz w:val="20"/>
                <w:szCs w:val="20"/>
                <w:color w:val="auto"/>
              </w:rPr>
            </w:pPr>
            <w:r>
              <w:rPr>
                <w:rFonts w:ascii="Arial" w:cs="Arial" w:eastAsia="Arial" w:hAnsi="Arial"/>
                <w:sz w:val="11"/>
                <w:szCs w:val="11"/>
                <w:b w:val="1"/>
                <w:bCs w:val="1"/>
                <w:color w:val="auto"/>
              </w:rPr>
              <w:t>Provision) for</w:t>
            </w: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restart"/>
          </w:tcPr>
          <w:p>
            <w:pPr>
              <w:jc w:val="right"/>
              <w:ind w:right="263"/>
              <w:spacing w:after="0" w:line="117" w:lineRule="exact"/>
              <w:rPr>
                <w:sz w:val="20"/>
                <w:szCs w:val="20"/>
                <w:color w:val="auto"/>
              </w:rPr>
            </w:pPr>
            <w:r>
              <w:rPr>
                <w:rFonts w:ascii="Arial" w:cs="Arial" w:eastAsia="Arial" w:hAnsi="Arial"/>
                <w:sz w:val="11"/>
                <w:szCs w:val="11"/>
                <w:b w:val="1"/>
                <w:bCs w:val="1"/>
                <w:color w:val="auto"/>
              </w:rPr>
              <w:t>Ending</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7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Year Ended December 31, 2023</w:t>
            </w:r>
          </w:p>
        </w:tc>
        <w:tc>
          <w:tcPr>
            <w:tcW w:w="1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Charge-Offs</w:t>
            </w:r>
          </w:p>
        </w:tc>
        <w:tc>
          <w:tcPr>
            <w:tcW w:w="180" w:type="dxa"/>
            <w:vAlign w:val="bottom"/>
          </w:tcPr>
          <w:p>
            <w:pPr>
              <w:spacing w:after="0"/>
              <w:rPr>
                <w:sz w:val="3"/>
                <w:szCs w:val="3"/>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Recoveries</w:t>
            </w:r>
          </w:p>
        </w:tc>
        <w:tc>
          <w:tcPr>
            <w:tcW w:w="1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3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80"/>
              <w:spacing w:after="0" w:line="97" w:lineRule="exact"/>
              <w:rPr>
                <w:sz w:val="20"/>
                <w:szCs w:val="20"/>
                <w:color w:val="auto"/>
              </w:rPr>
            </w:pPr>
            <w:r>
              <w:rPr>
                <w:rFonts w:ascii="Arial" w:cs="Arial" w:eastAsia="Arial" w:hAnsi="Arial"/>
                <w:sz w:val="11"/>
                <w:szCs w:val="11"/>
                <w:b w:val="1"/>
                <w:bCs w:val="1"/>
                <w:color w:val="auto"/>
              </w:rPr>
              <w:t>CECL Standard</w:t>
            </w: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97" w:lineRule="exact"/>
              <w:rPr>
                <w:sz w:val="20"/>
                <w:szCs w:val="20"/>
                <w:color w:val="auto"/>
              </w:rPr>
            </w:pPr>
            <w:r>
              <w:rPr>
                <w:rFonts w:ascii="Arial" w:cs="Arial" w:eastAsia="Arial" w:hAnsi="Arial"/>
                <w:sz w:val="11"/>
                <w:szCs w:val="11"/>
                <w:b w:val="1"/>
                <w:bCs w:val="1"/>
                <w:color w:val="auto"/>
              </w:rPr>
              <w:t>CECL Standard</w:t>
            </w: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00"/>
              <w:spacing w:after="0" w:line="97" w:lineRule="exact"/>
              <w:rPr>
                <w:sz w:val="20"/>
                <w:szCs w:val="20"/>
                <w:color w:val="auto"/>
              </w:rPr>
            </w:pPr>
            <w:r>
              <w:rPr>
                <w:rFonts w:ascii="Arial" w:cs="Arial" w:eastAsia="Arial" w:hAnsi="Arial"/>
                <w:sz w:val="11"/>
                <w:szCs w:val="11"/>
                <w:b w:val="1"/>
                <w:bCs w:val="1"/>
                <w:color w:val="auto"/>
              </w:rPr>
              <w:t>Credit Losses</w:t>
            </w: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243"/>
              <w:spacing w:after="0" w:line="97" w:lineRule="exact"/>
              <w:rPr>
                <w:sz w:val="20"/>
                <w:szCs w:val="20"/>
                <w:color w:val="auto"/>
              </w:rPr>
            </w:pPr>
            <w:r>
              <w:rPr>
                <w:rFonts w:ascii="Arial" w:cs="Arial" w:eastAsia="Arial" w:hAnsi="Arial"/>
                <w:sz w:val="11"/>
                <w:szCs w:val="11"/>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Real estate:</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gridSpan w:val="2"/>
          </w:tcPr>
          <w:p>
            <w:pPr>
              <w:ind w:left="100"/>
              <w:spacing w:after="0"/>
              <w:rPr>
                <w:sz w:val="20"/>
                <w:szCs w:val="20"/>
                <w:color w:val="auto"/>
              </w:rPr>
            </w:pPr>
            <w:r>
              <w:rPr>
                <w:rFonts w:ascii="Arial" w:cs="Arial" w:eastAsia="Arial" w:hAnsi="Arial"/>
                <w:sz w:val="11"/>
                <w:szCs w:val="11"/>
                <w:color w:val="auto"/>
              </w:rPr>
              <w:t>Residential</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5,481</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(1,198)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91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1,814</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(670)</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5,518</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Commercial</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8,098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3,941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gridSpan w:val="2"/>
          </w:tcPr>
          <w:p>
            <w:pPr>
              <w:ind w:left="100"/>
              <w:spacing w:after="0"/>
              <w:rPr>
                <w:sz w:val="20"/>
                <w:szCs w:val="20"/>
                <w:color w:val="auto"/>
              </w:rPr>
            </w:pPr>
            <w:r>
              <w:rPr>
                <w:rFonts w:ascii="Arial" w:cs="Arial" w:eastAsia="Arial" w:hAnsi="Arial"/>
                <w:sz w:val="11"/>
                <w:szCs w:val="11"/>
                <w:color w:val="auto"/>
              </w:rPr>
              <w:t>Construction</w:t>
            </w:r>
          </w:p>
        </w:tc>
        <w:tc>
          <w:tcPr>
            <w:tcW w:w="1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3,782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(1,973)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462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2,271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Commercial and Industrial</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1,073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4,406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Arial" w:cs="Arial" w:eastAsia="Arial" w:hAnsi="Arial"/>
                <w:sz w:val="11"/>
                <w:szCs w:val="11"/>
                <w:color w:val="auto"/>
              </w:rPr>
              <w:t>Credit card</w:t>
            </w:r>
          </w:p>
        </w:tc>
        <w:tc>
          <w:tcPr>
            <w:tcW w:w="1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6,078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(1,045)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7,939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(7,076)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191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6,087</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consumer</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tcPr>
          <w:p>
            <w:pPr>
              <w:ind w:left="160"/>
              <w:spacing w:after="0"/>
              <w:rPr>
                <w:sz w:val="20"/>
                <w:szCs w:val="20"/>
                <w:color w:val="auto"/>
              </w:rPr>
            </w:pPr>
            <w:r>
              <w:rPr>
                <w:rFonts w:ascii="Arial" w:cs="Arial" w:eastAsia="Arial" w:hAnsi="Arial"/>
                <w:sz w:val="11"/>
                <w:szCs w:val="1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26,385</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804</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284</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9,610</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(8,787)</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314</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95" w:name="page96"/>
    <w:bookmarkEnd w:id="95"/>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Portfolio Loans Receivable and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5100" w:type="dxa"/>
            <w:vAlign w:val="bottom"/>
            <w:gridSpan w:val="2"/>
            <w:vMerge w:val="restart"/>
          </w:tcPr>
          <w:p>
            <w:pPr>
              <w:spacing w:after="0"/>
              <w:rPr>
                <w:sz w:val="20"/>
                <w:szCs w:val="20"/>
                <w:color w:val="auto"/>
              </w:rPr>
            </w:pPr>
            <w:r>
              <w:rPr>
                <w:rFonts w:ascii="Arial" w:cs="Arial" w:eastAsia="Arial" w:hAnsi="Arial"/>
                <w:sz w:val="8"/>
                <w:szCs w:val="8"/>
                <w:color w:val="auto"/>
              </w:rPr>
              <w:t>(in thousands)</w:t>
            </w: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Provision (Release</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51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gridSpan w:val="2"/>
            <w:vMerge w:val="restart"/>
          </w:tcPr>
          <w:p>
            <w:pPr>
              <w:jc w:val="center"/>
              <w:ind w:right="320"/>
              <w:spacing w:after="0" w:line="113" w:lineRule="exact"/>
              <w:rPr>
                <w:sz w:val="20"/>
                <w:szCs w:val="20"/>
                <w:color w:val="auto"/>
              </w:rPr>
            </w:pPr>
            <w:r>
              <w:rPr>
                <w:rFonts w:ascii="Arial" w:cs="Arial" w:eastAsia="Arial" w:hAnsi="Arial"/>
                <w:sz w:val="11"/>
                <w:szCs w:val="11"/>
                <w:b w:val="1"/>
                <w:bCs w:val="1"/>
                <w:color w:val="auto"/>
              </w:rPr>
              <w:t>Beginning</w:t>
            </w:r>
          </w:p>
        </w:tc>
        <w:tc>
          <w:tcPr>
            <w:tcW w:w="100" w:type="dxa"/>
            <w:vAlign w:val="bottom"/>
          </w:tcPr>
          <w:p>
            <w:pPr>
              <w:spacing w:after="0"/>
              <w:rPr>
                <w:sz w:val="6"/>
                <w:szCs w:val="6"/>
                <w:color w:val="auto"/>
              </w:rPr>
            </w:pPr>
          </w:p>
        </w:tc>
        <w:tc>
          <w:tcPr>
            <w:tcW w:w="1100" w:type="dxa"/>
            <w:vAlign w:val="bottom"/>
            <w:gridSpan w:val="2"/>
            <w:vMerge w:val="restart"/>
          </w:tcPr>
          <w:p>
            <w:pPr>
              <w:jc w:val="center"/>
              <w:ind w:right="220"/>
              <w:spacing w:after="0" w:line="113" w:lineRule="exact"/>
              <w:rPr>
                <w:sz w:val="20"/>
                <w:szCs w:val="20"/>
                <w:color w:val="auto"/>
              </w:rPr>
            </w:pPr>
            <w:r>
              <w:rPr>
                <w:rFonts w:ascii="Arial" w:cs="Arial" w:eastAsia="Arial" w:hAnsi="Arial"/>
                <w:sz w:val="11"/>
                <w:szCs w:val="11"/>
                <w:b w:val="1"/>
                <w:bCs w:val="1"/>
                <w:color w:val="auto"/>
              </w:rPr>
              <w:t>of Provision) for</w:t>
            </w: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vMerge w:val="restart"/>
          </w:tcPr>
          <w:p>
            <w:pPr>
              <w:jc w:val="right"/>
              <w:ind w:right="303"/>
              <w:spacing w:after="0" w:line="113" w:lineRule="exact"/>
              <w:rPr>
                <w:sz w:val="20"/>
                <w:szCs w:val="20"/>
                <w:color w:val="auto"/>
              </w:rPr>
            </w:pPr>
            <w:r>
              <w:rPr>
                <w:rFonts w:ascii="Arial" w:cs="Arial" w:eastAsia="Arial" w:hAnsi="Arial"/>
                <w:sz w:val="11"/>
                <w:szCs w:val="11"/>
                <w:b w:val="1"/>
                <w:bCs w:val="1"/>
                <w:color w:val="auto"/>
              </w:rPr>
              <w:t>Ending</w:t>
            </w:r>
          </w:p>
        </w:tc>
        <w:tc>
          <w:tcPr>
            <w:tcW w:w="0" w:type="dxa"/>
            <w:vAlign w:val="bottom"/>
          </w:tcPr>
          <w:p>
            <w:pPr>
              <w:spacing w:after="0"/>
              <w:rPr>
                <w:sz w:val="1"/>
                <w:szCs w:val="1"/>
                <w:color w:val="auto"/>
              </w:rPr>
            </w:pPr>
          </w:p>
        </w:tc>
      </w:tr>
      <w:tr>
        <w:trPr>
          <w:trHeight w:val="38"/>
        </w:trPr>
        <w:tc>
          <w:tcPr>
            <w:tcW w:w="51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Year Ended December 31, 2022</w:t>
            </w:r>
          </w:p>
        </w:tc>
        <w:tc>
          <w:tcPr>
            <w:tcW w:w="2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Charge-Offs</w:t>
            </w:r>
          </w:p>
        </w:tc>
        <w:tc>
          <w:tcPr>
            <w:tcW w:w="180" w:type="dxa"/>
            <w:vAlign w:val="bottom"/>
          </w:tcPr>
          <w:p>
            <w:pPr>
              <w:spacing w:after="0"/>
              <w:rPr>
                <w:sz w:val="3"/>
                <w:szCs w:val="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Recoveries</w:t>
            </w:r>
          </w:p>
        </w:tc>
        <w:tc>
          <w:tcPr>
            <w:tcW w:w="2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51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center"/>
              <w:ind w:right="320"/>
              <w:spacing w:after="0" w:line="97" w:lineRule="exact"/>
              <w:rPr>
                <w:sz w:val="20"/>
                <w:szCs w:val="20"/>
                <w:color w:val="auto"/>
              </w:rPr>
            </w:pPr>
            <w:r>
              <w:rPr>
                <w:rFonts w:ascii="Arial" w:cs="Arial" w:eastAsia="Arial" w:hAnsi="Arial"/>
                <w:sz w:val="11"/>
                <w:szCs w:val="11"/>
                <w:b w:val="1"/>
                <w:bCs w:val="1"/>
                <w:color w:val="auto"/>
              </w:rPr>
              <w:t>Balance</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97" w:lineRule="exact"/>
              <w:rPr>
                <w:sz w:val="20"/>
                <w:szCs w:val="20"/>
                <w:color w:val="auto"/>
              </w:rPr>
            </w:pPr>
            <w:r>
              <w:rPr>
                <w:rFonts w:ascii="Arial" w:cs="Arial" w:eastAsia="Arial" w:hAnsi="Arial"/>
                <w:sz w:val="11"/>
                <w:szCs w:val="11"/>
                <w:b w:val="1"/>
                <w:bCs w:val="1"/>
                <w:color w:val="auto"/>
              </w:rPr>
              <w:t>Loan Losses</w:t>
            </w:r>
          </w:p>
        </w:tc>
        <w:tc>
          <w:tcPr>
            <w:tcW w:w="1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ind w:right="283"/>
              <w:spacing w:after="0" w:line="97" w:lineRule="exact"/>
              <w:rPr>
                <w:sz w:val="20"/>
                <w:szCs w:val="20"/>
                <w:color w:val="auto"/>
              </w:rPr>
            </w:pPr>
            <w:r>
              <w:rPr>
                <w:rFonts w:ascii="Arial" w:cs="Arial" w:eastAsia="Arial" w:hAnsi="Arial"/>
                <w:sz w:val="11"/>
                <w:szCs w:val="11"/>
                <w:b w:val="1"/>
                <w:bCs w:val="1"/>
                <w:color w:val="auto"/>
              </w:rPr>
              <w:t>Balance</w:t>
            </w:r>
          </w:p>
        </w:tc>
        <w:tc>
          <w:tcPr>
            <w:tcW w:w="0" w:type="dxa"/>
            <w:vAlign w:val="bottom"/>
          </w:tcPr>
          <w:p>
            <w:pPr>
              <w:spacing w:after="0"/>
              <w:rPr>
                <w:sz w:val="1"/>
                <w:szCs w:val="1"/>
                <w:color w:val="auto"/>
              </w:rPr>
            </w:pPr>
          </w:p>
        </w:tc>
      </w:tr>
      <w:tr>
        <w:trPr>
          <w:trHeight w:val="20"/>
        </w:trPr>
        <w:tc>
          <w:tcPr>
            <w:tcW w:w="1680" w:type="dxa"/>
            <w:vAlign w:val="bottom"/>
            <w:tcBorders>
              <w:top w:val="single" w:sz="8" w:color="auto"/>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Real estate:</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100" w:type="dxa"/>
            <w:vAlign w:val="bottom"/>
            <w:gridSpan w:val="2"/>
          </w:tcPr>
          <w:p>
            <w:pPr>
              <w:ind w:left="100"/>
              <w:spacing w:after="0"/>
              <w:rPr>
                <w:sz w:val="20"/>
                <w:szCs w:val="20"/>
                <w:color w:val="auto"/>
              </w:rPr>
            </w:pPr>
            <w:r>
              <w:rPr>
                <w:rFonts w:ascii="Arial" w:cs="Arial" w:eastAsia="Arial" w:hAnsi="Arial"/>
                <w:sz w:val="11"/>
                <w:szCs w:val="11"/>
                <w:color w:val="auto"/>
              </w:rPr>
              <w:t>Residential</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5,612</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(131)</w:t>
            </w:r>
          </w:p>
        </w:tc>
        <w:tc>
          <w:tcPr>
            <w:tcW w:w="10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5,481</w:t>
            </w:r>
          </w:p>
        </w:tc>
        <w:tc>
          <w:tcPr>
            <w:tcW w:w="0" w:type="dxa"/>
            <w:vAlign w:val="bottom"/>
          </w:tcPr>
          <w:p>
            <w:pPr>
              <w:spacing w:after="0"/>
              <w:rPr>
                <w:sz w:val="1"/>
                <w:szCs w:val="1"/>
                <w:color w:val="auto"/>
              </w:rPr>
            </w:pPr>
          </w:p>
        </w:tc>
      </w:tr>
      <w:tr>
        <w:trPr>
          <w:trHeight w:val="162"/>
        </w:trPr>
        <w:tc>
          <w:tcPr>
            <w:tcW w:w="51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Commercial</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8,566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8,098</w:t>
            </w:r>
          </w:p>
        </w:tc>
        <w:tc>
          <w:tcPr>
            <w:tcW w:w="0" w:type="dxa"/>
            <w:vAlign w:val="bottom"/>
          </w:tcPr>
          <w:p>
            <w:pPr>
              <w:spacing w:after="0"/>
              <w:rPr>
                <w:sz w:val="1"/>
                <w:szCs w:val="1"/>
                <w:color w:val="auto"/>
              </w:rPr>
            </w:pPr>
          </w:p>
        </w:tc>
      </w:tr>
      <w:tr>
        <w:trPr>
          <w:trHeight w:val="156"/>
        </w:trPr>
        <w:tc>
          <w:tcPr>
            <w:tcW w:w="5100" w:type="dxa"/>
            <w:vAlign w:val="bottom"/>
            <w:gridSpan w:val="2"/>
          </w:tcPr>
          <w:p>
            <w:pPr>
              <w:ind w:left="100"/>
              <w:spacing w:after="0"/>
              <w:rPr>
                <w:sz w:val="20"/>
                <w:szCs w:val="20"/>
                <w:color w:val="auto"/>
              </w:rPr>
            </w:pPr>
            <w:r>
              <w:rPr>
                <w:rFonts w:ascii="Arial" w:cs="Arial" w:eastAsia="Arial" w:hAnsi="Arial"/>
                <w:sz w:val="11"/>
                <w:szCs w:val="11"/>
                <w:color w:val="auto"/>
              </w:rPr>
              <w:t>Construction</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4,699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3,782</w:t>
            </w:r>
          </w:p>
        </w:tc>
        <w:tc>
          <w:tcPr>
            <w:tcW w:w="0" w:type="dxa"/>
            <w:vAlign w:val="bottom"/>
          </w:tcPr>
          <w:p>
            <w:pPr>
              <w:spacing w:after="0"/>
              <w:rPr>
                <w:sz w:val="1"/>
                <w:szCs w:val="1"/>
                <w:color w:val="auto"/>
              </w:rPr>
            </w:pPr>
          </w:p>
        </w:tc>
      </w:tr>
      <w:tr>
        <w:trPr>
          <w:trHeight w:val="162"/>
        </w:trPr>
        <w:tc>
          <w:tcPr>
            <w:tcW w:w="5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Commercial and Industrial</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2,935</w:t>
            </w:r>
          </w:p>
        </w:tc>
        <w:tc>
          <w:tcPr>
            <w:tcW w:w="0" w:type="dxa"/>
            <w:vAlign w:val="bottom"/>
          </w:tcPr>
          <w:p>
            <w:pPr>
              <w:spacing w:after="0"/>
              <w:rPr>
                <w:sz w:val="1"/>
                <w:szCs w:val="1"/>
                <w:color w:val="auto"/>
              </w:rPr>
            </w:pPr>
          </w:p>
        </w:tc>
      </w:tr>
      <w:tr>
        <w:trPr>
          <w:trHeight w:val="156"/>
        </w:trPr>
        <w:tc>
          <w:tcPr>
            <w:tcW w:w="5100" w:type="dxa"/>
            <w:vAlign w:val="bottom"/>
            <w:gridSpan w:val="2"/>
          </w:tcPr>
          <w:p>
            <w:pPr>
              <w:spacing w:after="0"/>
              <w:rPr>
                <w:sz w:val="20"/>
                <w:szCs w:val="20"/>
                <w:color w:val="auto"/>
              </w:rPr>
            </w:pPr>
            <w:r>
              <w:rPr>
                <w:rFonts w:ascii="Arial" w:cs="Arial" w:eastAsia="Arial" w:hAnsi="Arial"/>
                <w:sz w:val="11"/>
                <w:szCs w:val="11"/>
                <w:color w:val="auto"/>
              </w:rPr>
              <w:t>Credit card</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3,655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7,833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(5,461)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6,078</w:t>
            </w:r>
          </w:p>
        </w:tc>
        <w:tc>
          <w:tcPr>
            <w:tcW w:w="0" w:type="dxa"/>
            <w:vAlign w:val="bottom"/>
          </w:tcPr>
          <w:p>
            <w:pPr>
              <w:spacing w:after="0"/>
              <w:rPr>
                <w:sz w:val="1"/>
                <w:szCs w:val="1"/>
                <w:color w:val="auto"/>
              </w:rPr>
            </w:pPr>
          </w:p>
        </w:tc>
      </w:tr>
      <w:tr>
        <w:trPr>
          <w:trHeight w:val="159"/>
        </w:trPr>
        <w:tc>
          <w:tcPr>
            <w:tcW w:w="5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consumer</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3"/>
        </w:trPr>
        <w:tc>
          <w:tcPr>
            <w:tcW w:w="5100" w:type="dxa"/>
            <w:vAlign w:val="bottom"/>
            <w:gridSpan w:val="2"/>
          </w:tcPr>
          <w:p>
            <w:pPr>
              <w:ind w:left="160"/>
              <w:spacing w:after="0"/>
              <w:rPr>
                <w:sz w:val="20"/>
                <w:szCs w:val="20"/>
                <w:color w:val="auto"/>
              </w:rPr>
            </w:pPr>
            <w:r>
              <w:rPr>
                <w:rFonts w:ascii="Arial" w:cs="Arial" w:eastAsia="Arial" w:hAnsi="Arial"/>
                <w:sz w:val="11"/>
                <w:szCs w:val="11"/>
                <w:color w:val="auto"/>
              </w:rPr>
              <w:t>Total</w:t>
            </w: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25,181</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6,631</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(5,478)</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26,385</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720"/>
        <w:spacing w:after="0" w:line="290" w:lineRule="auto"/>
        <w:rPr>
          <w:sz w:val="20"/>
          <w:szCs w:val="20"/>
          <w:color w:val="auto"/>
        </w:rPr>
      </w:pPr>
      <w:r>
        <w:rPr>
          <w:rFonts w:ascii="Arial" w:cs="Arial" w:eastAsia="Arial" w:hAnsi="Arial"/>
          <w:sz w:val="14"/>
          <w:szCs w:val="14"/>
          <w:color w:val="auto"/>
        </w:rPr>
        <w:t>The following tables present a summary of loan balances and the related allowance for loan losses summarized by loan category for each impairment method used as of December 31,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4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8"/>
              </w:rPr>
              <w:t>Allowance for Loan Losses</w:t>
            </w:r>
          </w:p>
        </w:tc>
        <w:tc>
          <w:tcPr>
            <w:tcW w:w="260" w:type="dxa"/>
            <w:vAlign w:val="bottom"/>
          </w:tcPr>
          <w:p>
            <w:pPr>
              <w:spacing w:after="0"/>
              <w:rPr>
                <w:sz w:val="10"/>
                <w:szCs w:val="10"/>
                <w:color w:val="auto"/>
              </w:rPr>
            </w:pPr>
          </w:p>
        </w:tc>
        <w:tc>
          <w:tcPr>
            <w:tcW w:w="1720" w:type="dxa"/>
            <w:vAlign w:val="bottom"/>
            <w:gridSpan w:val="3"/>
          </w:tcPr>
          <w:p>
            <w:pPr>
              <w:jc w:val="center"/>
              <w:ind w:left="646"/>
              <w:spacing w:after="0"/>
              <w:rPr>
                <w:sz w:val="20"/>
                <w:szCs w:val="20"/>
                <w:color w:val="auto"/>
              </w:rPr>
            </w:pPr>
            <w:r>
              <w:rPr>
                <w:rFonts w:ascii="Arial" w:cs="Arial" w:eastAsia="Arial" w:hAnsi="Arial"/>
                <w:sz w:val="10"/>
                <w:szCs w:val="10"/>
                <w:b w:val="1"/>
                <w:bCs w:val="1"/>
                <w:color w:val="auto"/>
                <w:w w:val="99"/>
              </w:rPr>
              <w:t>Outstanding Portfolio</w:t>
            </w:r>
          </w:p>
        </w:tc>
        <w:tc>
          <w:tcPr>
            <w:tcW w:w="1000" w:type="dxa"/>
            <w:vAlign w:val="bottom"/>
          </w:tcPr>
          <w:p>
            <w:pPr>
              <w:spacing w:after="0"/>
              <w:rPr>
                <w:sz w:val="10"/>
                <w:szCs w:val="10"/>
                <w:color w:val="auto"/>
              </w:rPr>
            </w:pPr>
          </w:p>
        </w:tc>
      </w:tr>
      <w:tr>
        <w:trPr>
          <w:trHeight w:val="95"/>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40" w:type="dxa"/>
            <w:vAlign w:val="bottom"/>
            <w:gridSpan w:val="5"/>
          </w:tcPr>
          <w:p>
            <w:pPr>
              <w:jc w:val="center"/>
              <w:ind w:right="380"/>
              <w:spacing w:after="0" w:line="96" w:lineRule="exact"/>
              <w:rPr>
                <w:sz w:val="20"/>
                <w:szCs w:val="20"/>
                <w:color w:val="auto"/>
              </w:rPr>
            </w:pPr>
            <w:r>
              <w:rPr>
                <w:rFonts w:ascii="Arial" w:cs="Arial" w:eastAsia="Arial" w:hAnsi="Arial"/>
                <w:sz w:val="10"/>
                <w:szCs w:val="10"/>
                <w:b w:val="1"/>
                <w:bCs w:val="1"/>
                <w:color w:val="auto"/>
                <w:w w:val="97"/>
              </w:rPr>
              <w:t>Ending Balance Evaluated</w:t>
            </w:r>
          </w:p>
        </w:tc>
        <w:tc>
          <w:tcPr>
            <w:tcW w:w="260" w:type="dxa"/>
            <w:vAlign w:val="bottom"/>
          </w:tcPr>
          <w:p>
            <w:pPr>
              <w:spacing w:after="0"/>
              <w:rPr>
                <w:sz w:val="8"/>
                <w:szCs w:val="8"/>
                <w:color w:val="auto"/>
              </w:rPr>
            </w:pPr>
          </w:p>
        </w:tc>
        <w:tc>
          <w:tcPr>
            <w:tcW w:w="2720" w:type="dxa"/>
            <w:vAlign w:val="bottom"/>
            <w:gridSpan w:val="4"/>
          </w:tcPr>
          <w:p>
            <w:pPr>
              <w:jc w:val="center"/>
              <w:ind w:right="204"/>
              <w:spacing w:after="0" w:line="96" w:lineRule="exact"/>
              <w:rPr>
                <w:sz w:val="20"/>
                <w:szCs w:val="20"/>
                <w:color w:val="auto"/>
              </w:rPr>
            </w:pPr>
            <w:r>
              <w:rPr>
                <w:rFonts w:ascii="Arial" w:cs="Arial" w:eastAsia="Arial" w:hAnsi="Arial"/>
                <w:sz w:val="10"/>
                <w:szCs w:val="10"/>
                <w:b w:val="1"/>
                <w:bCs w:val="1"/>
                <w:color w:val="auto"/>
                <w:w w:val="97"/>
              </w:rPr>
              <w:t>Loan Balances Evaluated</w:t>
            </w:r>
          </w:p>
        </w:tc>
      </w:tr>
      <w:tr>
        <w:trPr>
          <w:trHeight w:val="139"/>
        </w:trPr>
        <w:tc>
          <w:tcPr>
            <w:tcW w:w="20" w:type="dxa"/>
            <w:vAlign w:val="bottom"/>
          </w:tcPr>
          <w:p>
            <w:pPr>
              <w:spacing w:after="0"/>
              <w:rPr>
                <w:sz w:val="12"/>
                <w:szCs w:val="12"/>
                <w:color w:val="auto"/>
              </w:rPr>
            </w:pPr>
          </w:p>
        </w:tc>
        <w:tc>
          <w:tcPr>
            <w:tcW w:w="5180" w:type="dxa"/>
            <w:vAlign w:val="bottom"/>
            <w:gridSpan w:val="2"/>
          </w:tcPr>
          <w:p>
            <w:pPr>
              <w:spacing w:after="0"/>
              <w:rPr>
                <w:sz w:val="20"/>
                <w:szCs w:val="20"/>
                <w:color w:val="auto"/>
              </w:rPr>
            </w:pPr>
            <w:r>
              <w:rPr>
                <w:rFonts w:ascii="Arial" w:cs="Arial" w:eastAsia="Arial" w:hAnsi="Arial"/>
                <w:sz w:val="8"/>
                <w:szCs w:val="8"/>
                <w:color w:val="auto"/>
              </w:rPr>
              <w:t>(in thousands)</w:t>
            </w:r>
          </w:p>
        </w:tc>
        <w:tc>
          <w:tcPr>
            <w:tcW w:w="2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center"/>
              <w:ind w:left="746"/>
              <w:spacing w:after="0"/>
              <w:rPr>
                <w:sz w:val="20"/>
                <w:szCs w:val="20"/>
                <w:color w:val="auto"/>
              </w:rPr>
            </w:pPr>
            <w:r>
              <w:rPr>
                <w:rFonts w:ascii="Arial" w:cs="Arial" w:eastAsia="Arial" w:hAnsi="Arial"/>
                <w:sz w:val="10"/>
                <w:szCs w:val="10"/>
                <w:b w:val="1"/>
                <w:bCs w:val="1"/>
                <w:color w:val="auto"/>
              </w:rPr>
              <w:t>for Impairment:</w:t>
            </w:r>
          </w:p>
        </w:tc>
        <w:tc>
          <w:tcPr>
            <w:tcW w:w="10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center"/>
              <w:ind w:left="686"/>
              <w:spacing w:after="0"/>
              <w:rPr>
                <w:sz w:val="20"/>
                <w:szCs w:val="20"/>
                <w:color w:val="auto"/>
              </w:rPr>
            </w:pPr>
            <w:r>
              <w:rPr>
                <w:rFonts w:ascii="Arial" w:cs="Arial" w:eastAsia="Arial" w:hAnsi="Arial"/>
                <w:sz w:val="10"/>
                <w:szCs w:val="10"/>
                <w:b w:val="1"/>
                <w:bCs w:val="1"/>
                <w:color w:val="auto"/>
              </w:rPr>
              <w:t>for Impairment:</w:t>
            </w:r>
          </w:p>
        </w:tc>
        <w:tc>
          <w:tcPr>
            <w:tcW w:w="1000" w:type="dxa"/>
            <w:vAlign w:val="bottom"/>
            <w:tcBorders>
              <w:bottom w:val="single" w:sz="8" w:color="auto"/>
            </w:tcBorders>
          </w:tcPr>
          <w:p>
            <w:pPr>
              <w:spacing w:after="0"/>
              <w:rPr>
                <w:sz w:val="12"/>
                <w:szCs w:val="12"/>
                <w:color w:val="auto"/>
              </w:rPr>
            </w:pPr>
          </w:p>
        </w:tc>
      </w:tr>
      <w:tr>
        <w:trPr>
          <w:trHeight w:val="117"/>
        </w:trPr>
        <w:tc>
          <w:tcPr>
            <w:tcW w:w="20" w:type="dxa"/>
            <w:vAlign w:val="bottom"/>
          </w:tcPr>
          <w:p>
            <w:pPr>
              <w:spacing w:after="0"/>
              <w:rPr>
                <w:sz w:val="10"/>
                <w:szCs w:val="10"/>
                <w:color w:val="auto"/>
              </w:rPr>
            </w:pPr>
          </w:p>
        </w:tc>
        <w:tc>
          <w:tcPr>
            <w:tcW w:w="518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December 31, 2022</w:t>
            </w:r>
          </w:p>
        </w:tc>
        <w:tc>
          <w:tcPr>
            <w:tcW w:w="260" w:type="dxa"/>
            <w:vAlign w:val="bottom"/>
          </w:tcPr>
          <w:p>
            <w:pPr>
              <w:spacing w:after="0"/>
              <w:rPr>
                <w:sz w:val="10"/>
                <w:szCs w:val="10"/>
                <w:color w:val="auto"/>
              </w:rPr>
            </w:pPr>
          </w:p>
        </w:tc>
        <w:tc>
          <w:tcPr>
            <w:tcW w:w="1280" w:type="dxa"/>
            <w:vAlign w:val="bottom"/>
            <w:gridSpan w:val="2"/>
          </w:tcPr>
          <w:p>
            <w:pPr>
              <w:ind w:left="180"/>
              <w:spacing w:after="0"/>
              <w:rPr>
                <w:sz w:val="20"/>
                <w:szCs w:val="20"/>
                <w:color w:val="auto"/>
              </w:rPr>
            </w:pPr>
            <w:r>
              <w:rPr>
                <w:rFonts w:ascii="Arial" w:cs="Arial" w:eastAsia="Arial" w:hAnsi="Arial"/>
                <w:sz w:val="10"/>
                <w:szCs w:val="10"/>
                <w:b w:val="1"/>
                <w:bCs w:val="1"/>
                <w:color w:val="auto"/>
              </w:rPr>
              <w:t>Individually</w:t>
            </w:r>
          </w:p>
        </w:tc>
        <w:tc>
          <w:tcPr>
            <w:tcW w:w="3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0"/>
                <w:szCs w:val="10"/>
                <w:b w:val="1"/>
                <w:bCs w:val="1"/>
                <w:color w:val="auto"/>
              </w:rPr>
              <w:t>Collectively</w:t>
            </w:r>
          </w:p>
        </w:tc>
        <w:tc>
          <w:tcPr>
            <w:tcW w:w="260" w:type="dxa"/>
            <w:vAlign w:val="bottom"/>
          </w:tcPr>
          <w:p>
            <w:pPr>
              <w:spacing w:after="0"/>
              <w:rPr>
                <w:sz w:val="10"/>
                <w:szCs w:val="10"/>
                <w:color w:val="auto"/>
              </w:rPr>
            </w:pPr>
          </w:p>
        </w:tc>
        <w:tc>
          <w:tcPr>
            <w:tcW w:w="1280" w:type="dxa"/>
            <w:vAlign w:val="bottom"/>
            <w:gridSpan w:val="2"/>
          </w:tcPr>
          <w:p>
            <w:pPr>
              <w:ind w:left="180"/>
              <w:spacing w:after="0"/>
              <w:rPr>
                <w:sz w:val="20"/>
                <w:szCs w:val="20"/>
                <w:color w:val="auto"/>
              </w:rPr>
            </w:pPr>
            <w:r>
              <w:rPr>
                <w:rFonts w:ascii="Arial" w:cs="Arial" w:eastAsia="Arial" w:hAnsi="Arial"/>
                <w:sz w:val="10"/>
                <w:szCs w:val="10"/>
                <w:b w:val="1"/>
                <w:bCs w:val="1"/>
                <w:color w:val="auto"/>
              </w:rPr>
              <w:t>Individually</w:t>
            </w:r>
          </w:p>
        </w:tc>
        <w:tc>
          <w:tcPr>
            <w:tcW w:w="440" w:type="dxa"/>
            <w:vAlign w:val="bottom"/>
          </w:tcPr>
          <w:p>
            <w:pPr>
              <w:spacing w:after="0"/>
              <w:rPr>
                <w:sz w:val="10"/>
                <w:szCs w:val="10"/>
                <w:color w:val="auto"/>
              </w:rPr>
            </w:pPr>
          </w:p>
        </w:tc>
        <w:tc>
          <w:tcPr>
            <w:tcW w:w="1000" w:type="dxa"/>
            <w:vAlign w:val="bottom"/>
          </w:tcPr>
          <w:p>
            <w:pPr>
              <w:jc w:val="right"/>
              <w:ind w:right="384"/>
              <w:spacing w:after="0"/>
              <w:rPr>
                <w:sz w:val="20"/>
                <w:szCs w:val="20"/>
                <w:color w:val="auto"/>
              </w:rPr>
            </w:pPr>
            <w:r>
              <w:rPr>
                <w:rFonts w:ascii="Arial" w:cs="Arial" w:eastAsia="Arial" w:hAnsi="Arial"/>
                <w:sz w:val="10"/>
                <w:szCs w:val="10"/>
                <w:b w:val="1"/>
                <w:bCs w:val="1"/>
                <w:color w:val="auto"/>
                <w:w w:val="97"/>
              </w:rPr>
              <w:t>Collectively</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Real estate:</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5180" w:type="dxa"/>
            <w:vAlign w:val="bottom"/>
            <w:gridSpan w:val="2"/>
          </w:tcPr>
          <w:p>
            <w:pPr>
              <w:ind w:left="100"/>
              <w:spacing w:after="0"/>
              <w:rPr>
                <w:sz w:val="20"/>
                <w:szCs w:val="20"/>
                <w:color w:val="auto"/>
              </w:rPr>
            </w:pPr>
            <w:r>
              <w:rPr>
                <w:rFonts w:ascii="Arial" w:cs="Arial" w:eastAsia="Arial" w:hAnsi="Arial"/>
                <w:sz w:val="11"/>
                <w:szCs w:val="11"/>
                <w:color w:val="auto"/>
              </w:rPr>
              <w:t>Residential</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5,481</w:t>
            </w:r>
          </w:p>
        </w:tc>
        <w:tc>
          <w:tcPr>
            <w:tcW w:w="120" w:type="dxa"/>
            <w:vAlign w:val="bottom"/>
          </w:tcPr>
          <w:p>
            <w:pPr>
              <w:spacing w:after="0"/>
              <w:rPr>
                <w:sz w:val="13"/>
                <w:szCs w:val="13"/>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4,288</w:t>
            </w:r>
          </w:p>
        </w:tc>
        <w:tc>
          <w:tcPr>
            <w:tcW w:w="100" w:type="dxa"/>
            <w:vAlign w:val="bottom"/>
          </w:tcPr>
          <w:p>
            <w:pPr>
              <w:spacing w:after="0"/>
              <w:rPr>
                <w:sz w:val="13"/>
                <w:szCs w:val="13"/>
                <w:color w:val="auto"/>
              </w:rPr>
            </w:pPr>
          </w:p>
        </w:tc>
        <w:tc>
          <w:tcPr>
            <w:tcW w:w="440" w:type="dxa"/>
            <w:vAlign w:val="bottom"/>
          </w:tcPr>
          <w:p>
            <w:pPr>
              <w:jc w:val="right"/>
              <w:ind w:right="30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480,447</w:t>
            </w:r>
          </w:p>
        </w:tc>
      </w:tr>
      <w:tr>
        <w:trPr>
          <w:trHeight w:val="162"/>
        </w:trPr>
        <w:tc>
          <w:tcPr>
            <w:tcW w:w="20" w:type="dxa"/>
            <w:vAlign w:val="bottom"/>
            <w:shd w:val="clear" w:color="auto" w:fill="CCEEFF"/>
          </w:tcPr>
          <w:p>
            <w:pPr>
              <w:spacing w:after="0"/>
              <w:rPr>
                <w:sz w:val="14"/>
                <w:szCs w:val="14"/>
                <w:color w:val="auto"/>
              </w:rPr>
            </w:pP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Commercial</w:t>
            </w:r>
          </w:p>
        </w:tc>
        <w:tc>
          <w:tcPr>
            <w:tcW w:w="2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8,098</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1,563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662,988</w:t>
            </w:r>
          </w:p>
        </w:tc>
      </w:tr>
      <w:tr>
        <w:trPr>
          <w:trHeight w:val="156"/>
        </w:trPr>
        <w:tc>
          <w:tcPr>
            <w:tcW w:w="20" w:type="dxa"/>
            <w:vAlign w:val="bottom"/>
          </w:tcPr>
          <w:p>
            <w:pPr>
              <w:spacing w:after="0"/>
              <w:rPr>
                <w:sz w:val="13"/>
                <w:szCs w:val="13"/>
                <w:color w:val="auto"/>
              </w:rPr>
            </w:pPr>
          </w:p>
        </w:tc>
        <w:tc>
          <w:tcPr>
            <w:tcW w:w="5180" w:type="dxa"/>
            <w:vAlign w:val="bottom"/>
            <w:gridSpan w:val="2"/>
          </w:tcPr>
          <w:p>
            <w:pPr>
              <w:ind w:left="100"/>
              <w:spacing w:after="0"/>
              <w:rPr>
                <w:sz w:val="20"/>
                <w:szCs w:val="20"/>
                <w:color w:val="auto"/>
              </w:rPr>
            </w:pPr>
            <w:r>
              <w:rPr>
                <w:rFonts w:ascii="Arial" w:cs="Arial" w:eastAsia="Arial" w:hAnsi="Arial"/>
                <w:sz w:val="11"/>
                <w:szCs w:val="11"/>
                <w:color w:val="auto"/>
              </w:rPr>
              <w:t>Construction</w:t>
            </w:r>
          </w:p>
        </w:tc>
        <w:tc>
          <w:tcPr>
            <w:tcW w:w="26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3,782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2,837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235,262</w:t>
            </w:r>
          </w:p>
        </w:tc>
      </w:tr>
      <w:tr>
        <w:trPr>
          <w:trHeight w:val="162"/>
        </w:trPr>
        <w:tc>
          <w:tcPr>
            <w:tcW w:w="20" w:type="dxa"/>
            <w:vAlign w:val="bottom"/>
            <w:shd w:val="clear" w:color="auto" w:fill="CCEEFF"/>
          </w:tcPr>
          <w:p>
            <w:pPr>
              <w:spacing w:after="0"/>
              <w:rPr>
                <w:sz w:val="14"/>
                <w:szCs w:val="14"/>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Commercial and Industrial</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372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2,563</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705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219,516</w:t>
            </w:r>
          </w:p>
        </w:tc>
      </w:tr>
      <w:tr>
        <w:trPr>
          <w:trHeight w:val="156"/>
        </w:trPr>
        <w:tc>
          <w:tcPr>
            <w:tcW w:w="20" w:type="dxa"/>
            <w:vAlign w:val="bottom"/>
          </w:tcPr>
          <w:p>
            <w:pPr>
              <w:spacing w:after="0"/>
              <w:rPr>
                <w:sz w:val="13"/>
                <w:szCs w:val="13"/>
                <w:color w:val="auto"/>
              </w:rPr>
            </w:pPr>
          </w:p>
        </w:tc>
        <w:tc>
          <w:tcPr>
            <w:tcW w:w="5180" w:type="dxa"/>
            <w:vAlign w:val="bottom"/>
            <w:gridSpan w:val="2"/>
          </w:tcPr>
          <w:p>
            <w:pPr>
              <w:spacing w:after="0"/>
              <w:rPr>
                <w:sz w:val="20"/>
                <w:szCs w:val="20"/>
                <w:color w:val="auto"/>
              </w:rPr>
            </w:pPr>
            <w:r>
              <w:rPr>
                <w:rFonts w:ascii="Arial" w:cs="Arial" w:eastAsia="Arial" w:hAnsi="Arial"/>
                <w:sz w:val="11"/>
                <w:szCs w:val="11"/>
                <w:color w:val="auto"/>
              </w:rPr>
              <w:t>Credit card</w:t>
            </w:r>
          </w:p>
        </w:tc>
        <w:tc>
          <w:tcPr>
            <w:tcW w:w="26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6,078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128,434</w:t>
            </w:r>
          </w:p>
        </w:tc>
      </w:tr>
      <w:tr>
        <w:trPr>
          <w:trHeight w:val="159"/>
        </w:trPr>
        <w:tc>
          <w:tcPr>
            <w:tcW w:w="20" w:type="dxa"/>
            <w:vAlign w:val="bottom"/>
            <w:shd w:val="clear" w:color="auto" w:fill="CCEEFF"/>
          </w:tcPr>
          <w:p>
            <w:pPr>
              <w:spacing w:after="0"/>
              <w:rPr>
                <w:sz w:val="13"/>
                <w:szCs w:val="13"/>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consumer</w:t>
            </w:r>
          </w:p>
        </w:tc>
        <w:tc>
          <w:tcPr>
            <w:tcW w:w="2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1,179</w:t>
            </w:r>
          </w:p>
        </w:tc>
      </w:tr>
      <w:tr>
        <w:trPr>
          <w:trHeight w:val="153"/>
        </w:trPr>
        <w:tc>
          <w:tcPr>
            <w:tcW w:w="20" w:type="dxa"/>
            <w:vAlign w:val="bottom"/>
          </w:tcPr>
          <w:p>
            <w:pPr>
              <w:spacing w:after="0"/>
              <w:rPr>
                <w:sz w:val="13"/>
                <w:szCs w:val="13"/>
                <w:color w:val="auto"/>
              </w:rPr>
            </w:pPr>
          </w:p>
        </w:tc>
        <w:tc>
          <w:tcPr>
            <w:tcW w:w="5180" w:type="dxa"/>
            <w:vAlign w:val="bottom"/>
            <w:gridSpan w:val="2"/>
          </w:tcPr>
          <w:p>
            <w:pPr>
              <w:ind w:left="160"/>
              <w:spacing w:after="0"/>
              <w:rPr>
                <w:sz w:val="20"/>
                <w:szCs w:val="20"/>
                <w:color w:val="auto"/>
              </w:rPr>
            </w:pPr>
            <w:r>
              <w:rPr>
                <w:rFonts w:ascii="Arial" w:cs="Arial" w:eastAsia="Arial" w:hAnsi="Arial"/>
                <w:sz w:val="13"/>
                <w:szCs w:val="13"/>
                <w:color w:val="auto"/>
              </w:rPr>
              <w:t>Total</w:t>
            </w: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372</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26,013</w:t>
            </w:r>
          </w:p>
        </w:tc>
        <w:tc>
          <w:tcPr>
            <w:tcW w:w="12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9,393</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1,727,826</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96" w:name="page97"/>
    <w:bookmarkEnd w:id="96"/>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Portfolio Loans Receivable and Allowance for Credit Losses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Past due loans, segregated by age and class of loans, as of December 31, 2023 and 2022 were as follows: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Portfolio Loans Past Due</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Loans</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6"/>
              </w:rPr>
              <w:t>Accruing</w:t>
            </w: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40" w:type="dxa"/>
            <w:vAlign w:val="bottom"/>
            <w:gridSpan w:val="2"/>
          </w:tcPr>
          <w:p>
            <w:pPr>
              <w:spacing w:after="0"/>
              <w:rPr>
                <w:sz w:val="20"/>
                <w:szCs w:val="20"/>
                <w:color w:val="auto"/>
              </w:rPr>
            </w:pPr>
            <w:r>
              <w:rPr>
                <w:rFonts w:ascii="Arial" w:cs="Arial" w:eastAsia="Arial" w:hAnsi="Arial"/>
                <w:sz w:val="8"/>
                <w:szCs w:val="8"/>
                <w:i w:val="1"/>
                <w:iCs w:val="1"/>
                <w:color w:val="auto"/>
              </w:rPr>
              <w:t>(in thousands)</w:t>
            </w:r>
          </w:p>
        </w:tc>
        <w:tc>
          <w:tcPr>
            <w:tcW w:w="140" w:type="dxa"/>
            <w:vAlign w:val="bottom"/>
          </w:tcPr>
          <w:p>
            <w:pPr>
              <w:spacing w:after="0"/>
              <w:rPr>
                <w:sz w:val="11"/>
                <w:szCs w:val="11"/>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Loans</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Loans</w:t>
            </w:r>
          </w:p>
        </w:tc>
        <w:tc>
          <w:tcPr>
            <w:tcW w:w="140" w:type="dxa"/>
            <w:vAlign w:val="bottom"/>
          </w:tcPr>
          <w:p>
            <w:pPr>
              <w:spacing w:after="0"/>
              <w:rPr>
                <w:sz w:val="11"/>
                <w:szCs w:val="11"/>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8"/>
              </w:rPr>
              <w:t>90 or More</w:t>
            </w:r>
          </w:p>
        </w:tc>
        <w:tc>
          <w:tcPr>
            <w:tcW w:w="180" w:type="dxa"/>
            <w:vAlign w:val="bottom"/>
          </w:tcPr>
          <w:p>
            <w:pPr>
              <w:spacing w:after="0"/>
              <w:rPr>
                <w:sz w:val="11"/>
                <w:szCs w:val="11"/>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Total</w:t>
            </w:r>
          </w:p>
        </w:tc>
        <w:tc>
          <w:tcPr>
            <w:tcW w:w="220" w:type="dxa"/>
            <w:vAlign w:val="bottom"/>
          </w:tcPr>
          <w:p>
            <w:pPr>
              <w:spacing w:after="0"/>
              <w:rPr>
                <w:sz w:val="11"/>
                <w:szCs w:val="11"/>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9"/>
              </w:rPr>
              <w:t>Current</w:t>
            </w:r>
          </w:p>
        </w:tc>
        <w:tc>
          <w:tcPr>
            <w:tcW w:w="120" w:type="dxa"/>
            <w:vAlign w:val="bottom"/>
          </w:tcPr>
          <w:p>
            <w:pPr>
              <w:spacing w:after="0"/>
              <w:rPr>
                <w:sz w:val="11"/>
                <w:szCs w:val="11"/>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rPr>
              <w:t>Total</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6"/>
              </w:rPr>
              <w:t>Loans 90 or</w:t>
            </w:r>
          </w:p>
        </w:tc>
        <w:tc>
          <w:tcPr>
            <w:tcW w:w="180" w:type="dxa"/>
            <w:vAlign w:val="bottom"/>
          </w:tcPr>
          <w:p>
            <w:pPr>
              <w:spacing w:after="0"/>
              <w:rPr>
                <w:sz w:val="11"/>
                <w:szCs w:val="11"/>
                <w:color w:val="auto"/>
              </w:rPr>
            </w:pPr>
          </w:p>
        </w:tc>
        <w:tc>
          <w:tcPr>
            <w:tcW w:w="920" w:type="dxa"/>
            <w:vAlign w:val="bottom"/>
            <w:vMerge w:val="restart"/>
          </w:tcPr>
          <w:p>
            <w:pPr>
              <w:jc w:val="right"/>
              <w:ind w:right="231"/>
              <w:spacing w:after="0"/>
              <w:rPr>
                <w:sz w:val="20"/>
                <w:szCs w:val="20"/>
                <w:color w:val="auto"/>
              </w:rPr>
            </w:pPr>
            <w:r>
              <w:rPr>
                <w:rFonts w:ascii="Arial" w:cs="Arial" w:eastAsia="Arial" w:hAnsi="Arial"/>
                <w:sz w:val="10"/>
                <w:szCs w:val="10"/>
                <w:b w:val="1"/>
                <w:bCs w:val="1"/>
                <w:color w:val="auto"/>
              </w:rPr>
              <w:t>Nonaccrual</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900" w:type="dxa"/>
            <w:vAlign w:val="bottom"/>
            <w:vMerge w:val="restart"/>
          </w:tcPr>
          <w:p>
            <w:pPr>
              <w:spacing w:after="0"/>
              <w:rPr>
                <w:sz w:val="20"/>
                <w:szCs w:val="20"/>
                <w:color w:val="auto"/>
              </w:rPr>
            </w:pPr>
            <w:r>
              <w:rPr>
                <w:rFonts w:ascii="Arial" w:cs="Arial" w:eastAsia="Arial" w:hAnsi="Arial"/>
                <w:sz w:val="10"/>
                <w:szCs w:val="10"/>
                <w:b w:val="1"/>
                <w:bCs w:val="1"/>
                <w:color w:val="auto"/>
                <w:w w:val="97"/>
              </w:rPr>
              <w:t>December 31, 2023</w:t>
            </w:r>
          </w:p>
        </w:tc>
        <w:tc>
          <w:tcPr>
            <w:tcW w:w="154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tcPr>
          <w:p>
            <w:pPr>
              <w:jc w:val="center"/>
              <w:ind w:right="240"/>
              <w:spacing w:after="0" w:line="70" w:lineRule="exact"/>
              <w:rPr>
                <w:sz w:val="20"/>
                <w:szCs w:val="20"/>
                <w:color w:val="auto"/>
              </w:rPr>
            </w:pPr>
            <w:r>
              <w:rPr>
                <w:rFonts w:ascii="Arial" w:cs="Arial" w:eastAsia="Arial" w:hAnsi="Arial"/>
                <w:sz w:val="7"/>
                <w:szCs w:val="7"/>
                <w:b w:val="1"/>
                <w:bCs w:val="1"/>
                <w:color w:val="auto"/>
              </w:rPr>
              <w:t>30-59 Days</w:t>
            </w:r>
          </w:p>
        </w:tc>
        <w:tc>
          <w:tcPr>
            <w:tcW w:w="140" w:type="dxa"/>
            <w:vAlign w:val="bottom"/>
          </w:tcPr>
          <w:p>
            <w:pPr>
              <w:spacing w:after="0"/>
              <w:rPr>
                <w:sz w:val="6"/>
                <w:szCs w:val="6"/>
                <w:color w:val="auto"/>
              </w:rPr>
            </w:pPr>
          </w:p>
        </w:tc>
        <w:tc>
          <w:tcPr>
            <w:tcW w:w="920" w:type="dxa"/>
            <w:vAlign w:val="bottom"/>
            <w:gridSpan w:val="2"/>
          </w:tcPr>
          <w:p>
            <w:pPr>
              <w:jc w:val="center"/>
              <w:ind w:right="240"/>
              <w:spacing w:after="0" w:line="70" w:lineRule="exact"/>
              <w:rPr>
                <w:sz w:val="20"/>
                <w:szCs w:val="20"/>
                <w:color w:val="auto"/>
              </w:rPr>
            </w:pPr>
            <w:r>
              <w:rPr>
                <w:rFonts w:ascii="Arial" w:cs="Arial" w:eastAsia="Arial" w:hAnsi="Arial"/>
                <w:sz w:val="7"/>
                <w:szCs w:val="7"/>
                <w:b w:val="1"/>
                <w:bCs w:val="1"/>
                <w:color w:val="auto"/>
              </w:rPr>
              <w:t>60-89 Days</w:t>
            </w:r>
          </w:p>
        </w:tc>
        <w:tc>
          <w:tcPr>
            <w:tcW w:w="140" w:type="dxa"/>
            <w:vAlign w:val="bottom"/>
          </w:tcPr>
          <w:p>
            <w:pPr>
              <w:spacing w:after="0"/>
              <w:rPr>
                <w:sz w:val="6"/>
                <w:szCs w:val="6"/>
                <w:color w:val="auto"/>
              </w:rPr>
            </w:pPr>
          </w:p>
        </w:tc>
        <w:tc>
          <w:tcPr>
            <w:tcW w:w="900" w:type="dxa"/>
            <w:vAlign w:val="bottom"/>
            <w:gridSpan w:val="2"/>
          </w:tcPr>
          <w:p>
            <w:pPr>
              <w:jc w:val="center"/>
              <w:ind w:right="240"/>
              <w:spacing w:after="0" w:line="70" w:lineRule="exact"/>
              <w:rPr>
                <w:sz w:val="20"/>
                <w:szCs w:val="20"/>
                <w:color w:val="auto"/>
              </w:rPr>
            </w:pPr>
            <w:r>
              <w:rPr>
                <w:rFonts w:ascii="Arial" w:cs="Arial" w:eastAsia="Arial" w:hAnsi="Arial"/>
                <w:sz w:val="7"/>
                <w:szCs w:val="7"/>
                <w:b w:val="1"/>
                <w:bCs w:val="1"/>
                <w:color w:val="auto"/>
              </w:rPr>
              <w:t>Days</w:t>
            </w:r>
          </w:p>
        </w:tc>
        <w:tc>
          <w:tcPr>
            <w:tcW w:w="180" w:type="dxa"/>
            <w:vAlign w:val="bottom"/>
          </w:tcPr>
          <w:p>
            <w:pPr>
              <w:spacing w:after="0"/>
              <w:rPr>
                <w:sz w:val="6"/>
                <w:szCs w:val="6"/>
                <w:color w:val="auto"/>
              </w:rPr>
            </w:pPr>
          </w:p>
        </w:tc>
        <w:tc>
          <w:tcPr>
            <w:tcW w:w="880" w:type="dxa"/>
            <w:vAlign w:val="bottom"/>
            <w:gridSpan w:val="2"/>
          </w:tcPr>
          <w:p>
            <w:pPr>
              <w:jc w:val="center"/>
              <w:ind w:right="280"/>
              <w:spacing w:after="0" w:line="70" w:lineRule="exact"/>
              <w:rPr>
                <w:sz w:val="20"/>
                <w:szCs w:val="20"/>
                <w:color w:val="auto"/>
              </w:rPr>
            </w:pPr>
            <w:r>
              <w:rPr>
                <w:rFonts w:ascii="Arial" w:cs="Arial" w:eastAsia="Arial" w:hAnsi="Arial"/>
                <w:sz w:val="7"/>
                <w:szCs w:val="7"/>
                <w:b w:val="1"/>
                <w:bCs w:val="1"/>
                <w:color w:val="auto"/>
              </w:rPr>
              <w:t>Past Due</w:t>
            </w:r>
          </w:p>
        </w:tc>
        <w:tc>
          <w:tcPr>
            <w:tcW w:w="2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tcPr>
          <w:p>
            <w:pPr>
              <w:jc w:val="center"/>
              <w:ind w:right="260"/>
              <w:spacing w:after="0" w:line="70" w:lineRule="exact"/>
              <w:rPr>
                <w:sz w:val="20"/>
                <w:szCs w:val="20"/>
                <w:color w:val="auto"/>
              </w:rPr>
            </w:pPr>
            <w:r>
              <w:rPr>
                <w:rFonts w:ascii="Arial" w:cs="Arial" w:eastAsia="Arial" w:hAnsi="Arial"/>
                <w:sz w:val="7"/>
                <w:szCs w:val="7"/>
                <w:b w:val="1"/>
                <w:bCs w:val="1"/>
                <w:color w:val="auto"/>
              </w:rPr>
              <w:t>More days</w:t>
            </w:r>
          </w:p>
        </w:tc>
        <w:tc>
          <w:tcPr>
            <w:tcW w:w="1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11" w:lineRule="exact"/>
              <w:rPr>
                <w:sz w:val="20"/>
                <w:szCs w:val="20"/>
                <w:color w:val="auto"/>
              </w:rPr>
            </w:pPr>
            <w:r>
              <w:rPr>
                <w:rFonts w:ascii="Arial" w:cs="Arial" w:eastAsia="Arial" w:hAnsi="Arial"/>
                <w:sz w:val="10"/>
                <w:szCs w:val="10"/>
                <w:b w:val="1"/>
                <w:bCs w:val="1"/>
                <w:color w:val="auto"/>
                <w:w w:val="98"/>
              </w:rPr>
              <w:t>Past Due</w:t>
            </w:r>
          </w:p>
        </w:tc>
        <w:tc>
          <w:tcPr>
            <w:tcW w:w="140" w:type="dxa"/>
            <w:vAlign w:val="bottom"/>
          </w:tcPr>
          <w:p>
            <w:pPr>
              <w:spacing w:after="0"/>
              <w:rPr>
                <w:sz w:val="9"/>
                <w:szCs w:val="9"/>
                <w:color w:val="auto"/>
              </w:rPr>
            </w:pPr>
          </w:p>
        </w:tc>
        <w:tc>
          <w:tcPr>
            <w:tcW w:w="920" w:type="dxa"/>
            <w:vAlign w:val="bottom"/>
            <w:gridSpan w:val="2"/>
          </w:tcPr>
          <w:p>
            <w:pPr>
              <w:jc w:val="center"/>
              <w:ind w:right="240"/>
              <w:spacing w:after="0" w:line="111" w:lineRule="exact"/>
              <w:rPr>
                <w:sz w:val="20"/>
                <w:szCs w:val="20"/>
                <w:color w:val="auto"/>
              </w:rPr>
            </w:pPr>
            <w:r>
              <w:rPr>
                <w:rFonts w:ascii="Arial" w:cs="Arial" w:eastAsia="Arial" w:hAnsi="Arial"/>
                <w:sz w:val="10"/>
                <w:szCs w:val="10"/>
                <w:b w:val="1"/>
                <w:bCs w:val="1"/>
                <w:color w:val="auto"/>
              </w:rPr>
              <w:t>Past Due</w:t>
            </w: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11" w:lineRule="exact"/>
              <w:rPr>
                <w:sz w:val="20"/>
                <w:szCs w:val="20"/>
                <w:color w:val="auto"/>
              </w:rPr>
            </w:pPr>
            <w:r>
              <w:rPr>
                <w:rFonts w:ascii="Arial" w:cs="Arial" w:eastAsia="Arial" w:hAnsi="Arial"/>
                <w:sz w:val="10"/>
                <w:szCs w:val="10"/>
                <w:b w:val="1"/>
                <w:bCs w:val="1"/>
                <w:color w:val="auto"/>
                <w:w w:val="98"/>
              </w:rPr>
              <w:t>Past Due</w:t>
            </w:r>
          </w:p>
        </w:tc>
        <w:tc>
          <w:tcPr>
            <w:tcW w:w="180" w:type="dxa"/>
            <w:vAlign w:val="bottom"/>
          </w:tcPr>
          <w:p>
            <w:pPr>
              <w:spacing w:after="0"/>
              <w:rPr>
                <w:sz w:val="9"/>
                <w:szCs w:val="9"/>
                <w:color w:val="auto"/>
              </w:rPr>
            </w:pPr>
          </w:p>
        </w:tc>
        <w:tc>
          <w:tcPr>
            <w:tcW w:w="880" w:type="dxa"/>
            <w:vAlign w:val="bottom"/>
            <w:gridSpan w:val="2"/>
          </w:tcPr>
          <w:p>
            <w:pPr>
              <w:jc w:val="center"/>
              <w:ind w:right="280"/>
              <w:spacing w:after="0" w:line="111" w:lineRule="exact"/>
              <w:rPr>
                <w:sz w:val="20"/>
                <w:szCs w:val="20"/>
                <w:color w:val="auto"/>
              </w:rPr>
            </w:pPr>
            <w:r>
              <w:rPr>
                <w:rFonts w:ascii="Arial" w:cs="Arial" w:eastAsia="Arial" w:hAnsi="Arial"/>
                <w:sz w:val="10"/>
                <w:szCs w:val="10"/>
                <w:b w:val="1"/>
                <w:bCs w:val="1"/>
                <w:color w:val="auto"/>
                <w:w w:val="94"/>
              </w:rPr>
              <w:t>Loans</w:t>
            </w:r>
          </w:p>
        </w:tc>
        <w:tc>
          <w:tcPr>
            <w:tcW w:w="220" w:type="dxa"/>
            <w:vAlign w:val="bottom"/>
          </w:tcPr>
          <w:p>
            <w:pPr>
              <w:spacing w:after="0"/>
              <w:rPr>
                <w:sz w:val="9"/>
                <w:szCs w:val="9"/>
                <w:color w:val="auto"/>
              </w:rPr>
            </w:pPr>
          </w:p>
        </w:tc>
        <w:tc>
          <w:tcPr>
            <w:tcW w:w="960" w:type="dxa"/>
            <w:vAlign w:val="bottom"/>
            <w:gridSpan w:val="2"/>
          </w:tcPr>
          <w:p>
            <w:pPr>
              <w:jc w:val="center"/>
              <w:ind w:right="340"/>
              <w:spacing w:after="0" w:line="111" w:lineRule="exact"/>
              <w:rPr>
                <w:sz w:val="20"/>
                <w:szCs w:val="20"/>
                <w:color w:val="auto"/>
              </w:rPr>
            </w:pPr>
            <w:r>
              <w:rPr>
                <w:rFonts w:ascii="Arial" w:cs="Arial" w:eastAsia="Arial" w:hAnsi="Arial"/>
                <w:sz w:val="10"/>
                <w:szCs w:val="10"/>
                <w:b w:val="1"/>
                <w:bCs w:val="1"/>
                <w:color w:val="auto"/>
              </w:rPr>
              <w:t>Loans</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11" w:lineRule="exact"/>
              <w:rPr>
                <w:sz w:val="20"/>
                <w:szCs w:val="20"/>
                <w:color w:val="auto"/>
              </w:rPr>
            </w:pPr>
            <w:r>
              <w:rPr>
                <w:rFonts w:ascii="Arial" w:cs="Arial" w:eastAsia="Arial" w:hAnsi="Arial"/>
                <w:sz w:val="10"/>
                <w:szCs w:val="10"/>
                <w:b w:val="1"/>
                <w:bCs w:val="1"/>
                <w:color w:val="auto"/>
                <w:w w:val="98"/>
              </w:rPr>
              <w:t>Portfolio Loans</w:t>
            </w:r>
          </w:p>
        </w:tc>
        <w:tc>
          <w:tcPr>
            <w:tcW w:w="160" w:type="dxa"/>
            <w:vAlign w:val="bottom"/>
          </w:tcPr>
          <w:p>
            <w:pPr>
              <w:spacing w:after="0"/>
              <w:rPr>
                <w:sz w:val="9"/>
                <w:szCs w:val="9"/>
                <w:color w:val="auto"/>
              </w:rPr>
            </w:pPr>
          </w:p>
        </w:tc>
        <w:tc>
          <w:tcPr>
            <w:tcW w:w="960" w:type="dxa"/>
            <w:vAlign w:val="bottom"/>
            <w:gridSpan w:val="2"/>
          </w:tcPr>
          <w:p>
            <w:pPr>
              <w:jc w:val="center"/>
              <w:ind w:right="260"/>
              <w:spacing w:after="0" w:line="111" w:lineRule="exact"/>
              <w:rPr>
                <w:sz w:val="20"/>
                <w:szCs w:val="20"/>
                <w:color w:val="auto"/>
              </w:rPr>
            </w:pPr>
            <w:r>
              <w:rPr>
                <w:rFonts w:ascii="Arial" w:cs="Arial" w:eastAsia="Arial" w:hAnsi="Arial"/>
                <w:sz w:val="10"/>
                <w:szCs w:val="10"/>
                <w:b w:val="1"/>
                <w:bCs w:val="1"/>
                <w:color w:val="auto"/>
                <w:w w:val="98"/>
              </w:rPr>
              <w:t>Past Due</w:t>
            </w:r>
          </w:p>
        </w:tc>
        <w:tc>
          <w:tcPr>
            <w:tcW w:w="180" w:type="dxa"/>
            <w:vAlign w:val="bottom"/>
          </w:tcPr>
          <w:p>
            <w:pPr>
              <w:spacing w:after="0"/>
              <w:rPr>
                <w:sz w:val="9"/>
                <w:szCs w:val="9"/>
                <w:color w:val="auto"/>
              </w:rPr>
            </w:pPr>
          </w:p>
        </w:tc>
        <w:tc>
          <w:tcPr>
            <w:tcW w:w="920" w:type="dxa"/>
            <w:vAlign w:val="bottom"/>
          </w:tcPr>
          <w:p>
            <w:pPr>
              <w:jc w:val="right"/>
              <w:ind w:right="351"/>
              <w:spacing w:after="0" w:line="111" w:lineRule="exact"/>
              <w:rPr>
                <w:sz w:val="20"/>
                <w:szCs w:val="20"/>
                <w:color w:val="auto"/>
              </w:rPr>
            </w:pPr>
            <w:r>
              <w:rPr>
                <w:rFonts w:ascii="Arial" w:cs="Arial" w:eastAsia="Arial" w:hAnsi="Arial"/>
                <w:sz w:val="10"/>
                <w:szCs w:val="10"/>
                <w:b w:val="1"/>
                <w:bCs w:val="1"/>
                <w:color w:val="auto"/>
              </w:rPr>
              <w:t>Loans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40" w:type="dxa"/>
            <w:vAlign w:val="bottom"/>
            <w:gridSpan w:val="2"/>
            <w:vMerge w:val="restart"/>
          </w:tcPr>
          <w:p>
            <w:pPr>
              <w:spacing w:after="0"/>
              <w:rPr>
                <w:sz w:val="20"/>
                <w:szCs w:val="20"/>
                <w:color w:val="auto"/>
              </w:rPr>
            </w:pPr>
            <w:r>
              <w:rPr>
                <w:rFonts w:ascii="Arial" w:cs="Arial" w:eastAsia="Arial" w:hAnsi="Arial"/>
                <w:sz w:val="10"/>
                <w:szCs w:val="10"/>
                <w:color w:val="auto"/>
              </w:rPr>
              <w:t>Real estate:</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vMerge w:val="continue"/>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Residential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2,201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3,096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11,066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16,363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556,741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573,104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11,398</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40" w:type="dxa"/>
            <w:vAlign w:val="bottom"/>
            <w:gridSpan w:val="2"/>
          </w:tcPr>
          <w:p>
            <w:pPr>
              <w:ind w:left="100"/>
              <w:spacing w:after="0"/>
              <w:rPr>
                <w:sz w:val="20"/>
                <w:szCs w:val="20"/>
                <w:color w:val="auto"/>
              </w:rPr>
            </w:pPr>
            <w:r>
              <w:rPr>
                <w:rFonts w:ascii="Arial" w:cs="Arial" w:eastAsia="Arial" w:hAnsi="Arial"/>
                <w:sz w:val="10"/>
                <w:szCs w:val="10"/>
                <w:color w:val="auto"/>
              </w:rPr>
              <w:t>Commercial</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1,577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1"/>
              <w:spacing w:after="0"/>
              <w:rPr>
                <w:sz w:val="20"/>
                <w:szCs w:val="20"/>
                <w:color w:val="auto"/>
              </w:rPr>
            </w:pPr>
            <w:r>
              <w:rPr>
                <w:rFonts w:ascii="Arial" w:cs="Arial" w:eastAsia="Arial" w:hAnsi="Arial"/>
                <w:sz w:val="10"/>
                <w:szCs w:val="10"/>
                <w:b w:val="1"/>
                <w:bCs w:val="1"/>
                <w:color w:val="auto"/>
              </w:rPr>
              <w:t>322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582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b w:val="1"/>
                <w:bCs w:val="1"/>
                <w:color w:val="auto"/>
              </w:rPr>
              <w:t>2,481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b w:val="1"/>
                <w:bCs w:val="1"/>
                <w:color w:val="auto"/>
              </w:rPr>
              <w:t>681,748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1"/>
              <w:spacing w:after="0"/>
              <w:rPr>
                <w:sz w:val="20"/>
                <w:szCs w:val="20"/>
                <w:color w:val="auto"/>
              </w:rPr>
            </w:pPr>
            <w:r>
              <w:rPr>
                <w:rFonts w:ascii="Arial" w:cs="Arial" w:eastAsia="Arial" w:hAnsi="Arial"/>
                <w:sz w:val="10"/>
                <w:szCs w:val="10"/>
                <w:b w:val="1"/>
                <w:bCs w:val="1"/>
                <w:color w:val="auto"/>
              </w:rPr>
              <w:t>684,229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582</w:t>
            </w: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Construction</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1,165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3,296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4,461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285,647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290,108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3,288</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40" w:type="dxa"/>
            <w:vAlign w:val="bottom"/>
            <w:gridSpan w:val="2"/>
          </w:tcPr>
          <w:p>
            <w:pPr>
              <w:spacing w:after="0"/>
              <w:rPr>
                <w:sz w:val="20"/>
                <w:szCs w:val="20"/>
                <w:color w:val="auto"/>
              </w:rPr>
            </w:pPr>
            <w:r>
              <w:rPr>
                <w:rFonts w:ascii="Arial" w:cs="Arial" w:eastAsia="Arial" w:hAnsi="Arial"/>
                <w:sz w:val="10"/>
                <w:szCs w:val="10"/>
                <w:color w:val="auto"/>
              </w:rPr>
              <w:t>Commercial and Industrial</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1,356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1"/>
              <w:spacing w:after="0"/>
              <w:rPr>
                <w:sz w:val="20"/>
                <w:szCs w:val="20"/>
                <w:color w:val="auto"/>
              </w:rPr>
            </w:pPr>
            <w:r>
              <w:rPr>
                <w:rFonts w:ascii="Arial" w:cs="Arial" w:eastAsia="Arial" w:hAnsi="Arial"/>
                <w:sz w:val="10"/>
                <w:szCs w:val="10"/>
                <w:b w:val="1"/>
                <w:bCs w:val="1"/>
                <w:color w:val="auto"/>
              </w:rPr>
              <w:t>74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454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b w:val="1"/>
                <w:bCs w:val="1"/>
                <w:color w:val="auto"/>
              </w:rPr>
              <w:t>1,884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b w:val="1"/>
                <w:bCs w:val="1"/>
                <w:color w:val="auto"/>
              </w:rPr>
              <w:t>236,664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1"/>
              <w:spacing w:after="0"/>
              <w:rPr>
                <w:sz w:val="20"/>
                <w:szCs w:val="20"/>
                <w:color w:val="auto"/>
              </w:rPr>
            </w:pPr>
            <w:r>
              <w:rPr>
                <w:rFonts w:ascii="Arial" w:cs="Arial" w:eastAsia="Arial" w:hAnsi="Arial"/>
                <w:sz w:val="10"/>
                <w:szCs w:val="10"/>
                <w:b w:val="1"/>
                <w:bCs w:val="1"/>
                <w:color w:val="auto"/>
              </w:rPr>
              <w:t>238,548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774</w:t>
            </w: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Credit card</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7,767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6,877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519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15,163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108,168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123,331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519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40" w:type="dxa"/>
            <w:vAlign w:val="bottom"/>
            <w:gridSpan w:val="2"/>
          </w:tcPr>
          <w:p>
            <w:pPr>
              <w:spacing w:after="0"/>
              <w:rPr>
                <w:sz w:val="20"/>
                <w:szCs w:val="20"/>
                <w:color w:val="auto"/>
              </w:rPr>
            </w:pPr>
            <w:r>
              <w:rPr>
                <w:rFonts w:ascii="Arial" w:cs="Arial" w:eastAsia="Arial" w:hAnsi="Arial"/>
                <w:sz w:val="10"/>
                <w:szCs w:val="10"/>
                <w:color w:val="auto"/>
              </w:rPr>
              <w:t>Other consumer</w:t>
            </w:r>
          </w:p>
        </w:tc>
        <w:tc>
          <w:tcPr>
            <w:tcW w:w="14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b w:val="1"/>
                <w:bCs w:val="1"/>
                <w:color w:val="auto"/>
              </w:rPr>
              <w:t>950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1"/>
              <w:spacing w:after="0"/>
              <w:rPr>
                <w:sz w:val="20"/>
                <w:szCs w:val="20"/>
                <w:color w:val="auto"/>
              </w:rPr>
            </w:pPr>
            <w:r>
              <w:rPr>
                <w:rFonts w:ascii="Arial" w:cs="Arial" w:eastAsia="Arial" w:hAnsi="Arial"/>
                <w:sz w:val="10"/>
                <w:szCs w:val="10"/>
                <w:b w:val="1"/>
                <w:bCs w:val="1"/>
                <w:color w:val="auto"/>
              </w:rPr>
              <w:t>950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55"/>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44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Total</w:t>
            </w: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12,901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w:t>
            </w:r>
          </w:p>
        </w:tc>
        <w:tc>
          <w:tcPr>
            <w:tcW w:w="8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11,534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15,917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w:t>
            </w:r>
          </w:p>
        </w:tc>
        <w:tc>
          <w:tcPr>
            <w:tcW w:w="7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40,352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1,869,918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1,910,270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w:t>
            </w: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536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16,042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line="106" w:lineRule="exact"/>
              <w:rPr>
                <w:sz w:val="20"/>
                <w:szCs w:val="20"/>
                <w:color w:val="auto"/>
              </w:rPr>
            </w:pPr>
            <w:r>
              <w:rPr>
                <w:rFonts w:ascii="Arial" w:cs="Arial" w:eastAsia="Arial" w:hAnsi="Arial"/>
                <w:sz w:val="10"/>
                <w:szCs w:val="10"/>
                <w:b w:val="1"/>
                <w:bCs w:val="1"/>
                <w:color w:val="auto"/>
                <w:w w:val="97"/>
              </w:rPr>
              <w:t>December 31, 2022</w:t>
            </w:r>
          </w:p>
        </w:tc>
        <w:tc>
          <w:tcPr>
            <w:tcW w:w="15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2"/>
          </w:tcPr>
          <w:p>
            <w:pPr>
              <w:spacing w:after="0"/>
              <w:rPr>
                <w:sz w:val="20"/>
                <w:szCs w:val="20"/>
                <w:color w:val="auto"/>
              </w:rPr>
            </w:pPr>
            <w:r>
              <w:rPr>
                <w:rFonts w:ascii="Arial" w:cs="Arial" w:eastAsia="Arial" w:hAnsi="Arial"/>
                <w:sz w:val="10"/>
                <w:szCs w:val="10"/>
                <w:color w:val="auto"/>
              </w:rPr>
              <w:t>Real estate:</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Residential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4,284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4,430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480,305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484,735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4,288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2"/>
          </w:tcPr>
          <w:p>
            <w:pPr>
              <w:ind w:left="100"/>
              <w:spacing w:after="0"/>
              <w:rPr>
                <w:sz w:val="20"/>
                <w:szCs w:val="20"/>
                <w:color w:val="auto"/>
              </w:rPr>
            </w:pPr>
            <w:r>
              <w:rPr>
                <w:rFonts w:ascii="Arial" w:cs="Arial" w:eastAsia="Arial" w:hAnsi="Arial"/>
                <w:sz w:val="10"/>
                <w:szCs w:val="10"/>
                <w:color w:val="auto"/>
              </w:rPr>
              <w:t>Commercial</w:t>
            </w:r>
          </w:p>
        </w:tc>
        <w:tc>
          <w:tcPr>
            <w:tcW w:w="14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1,563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1,563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662,988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1"/>
              <w:spacing w:after="0"/>
              <w:rPr>
                <w:sz w:val="20"/>
                <w:szCs w:val="20"/>
                <w:color w:val="auto"/>
              </w:rPr>
            </w:pPr>
            <w:r>
              <w:rPr>
                <w:rFonts w:ascii="Arial" w:cs="Arial" w:eastAsia="Arial" w:hAnsi="Arial"/>
                <w:sz w:val="10"/>
                <w:szCs w:val="10"/>
                <w:color w:val="auto"/>
              </w:rPr>
              <w:t>664,551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1,563</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Construction</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640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2,837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4,641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233,458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238,099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2,837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2"/>
          </w:tcPr>
          <w:p>
            <w:pPr>
              <w:spacing w:after="0"/>
              <w:rPr>
                <w:sz w:val="20"/>
                <w:szCs w:val="20"/>
                <w:color w:val="auto"/>
              </w:rPr>
            </w:pPr>
            <w:r>
              <w:rPr>
                <w:rFonts w:ascii="Arial" w:cs="Arial" w:eastAsia="Arial" w:hAnsi="Arial"/>
                <w:sz w:val="10"/>
                <w:szCs w:val="10"/>
                <w:color w:val="auto"/>
              </w:rPr>
              <w:t>Commercial and Industrial</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117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1"/>
              <w:spacing w:after="0"/>
              <w:rPr>
                <w:sz w:val="20"/>
                <w:szCs w:val="20"/>
                <w:color w:val="auto"/>
              </w:rPr>
            </w:pPr>
            <w:r>
              <w:rPr>
                <w:rFonts w:ascii="Arial" w:cs="Arial" w:eastAsia="Arial" w:hAnsi="Arial"/>
                <w:sz w:val="10"/>
                <w:szCs w:val="10"/>
                <w:color w:val="auto"/>
              </w:rPr>
              <w:t>386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569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1,072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219,149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1"/>
              <w:spacing w:after="0"/>
              <w:rPr>
                <w:sz w:val="20"/>
                <w:szCs w:val="20"/>
                <w:color w:val="auto"/>
              </w:rPr>
            </w:pPr>
            <w:r>
              <w:rPr>
                <w:rFonts w:ascii="Arial" w:cs="Arial" w:eastAsia="Arial" w:hAnsi="Arial"/>
                <w:sz w:val="10"/>
                <w:szCs w:val="10"/>
                <w:color w:val="auto"/>
              </w:rPr>
              <w:t>220,221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705</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Credit card</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8,473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7,455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16,291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112,143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128,434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363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2"/>
          </w:tcPr>
          <w:p>
            <w:pPr>
              <w:spacing w:after="0"/>
              <w:rPr>
                <w:sz w:val="20"/>
                <w:szCs w:val="20"/>
                <w:color w:val="auto"/>
              </w:rPr>
            </w:pPr>
            <w:r>
              <w:rPr>
                <w:rFonts w:ascii="Arial" w:cs="Arial" w:eastAsia="Arial" w:hAnsi="Arial"/>
                <w:sz w:val="10"/>
                <w:szCs w:val="10"/>
                <w:color w:val="auto"/>
              </w:rPr>
              <w:t>Other consumer</w:t>
            </w:r>
          </w:p>
        </w:tc>
        <w:tc>
          <w:tcPr>
            <w:tcW w:w="14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1,179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1"/>
              <w:spacing w:after="0"/>
              <w:rPr>
                <w:sz w:val="20"/>
                <w:szCs w:val="20"/>
                <w:color w:val="auto"/>
              </w:rPr>
            </w:pPr>
            <w:r>
              <w:rPr>
                <w:rFonts w:ascii="Arial" w:cs="Arial" w:eastAsia="Arial" w:hAnsi="Arial"/>
                <w:sz w:val="10"/>
                <w:szCs w:val="10"/>
                <w:color w:val="auto"/>
              </w:rPr>
              <w:t>1,179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8"/>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44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Total</w:t>
            </w: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9,758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8,623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9,616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27,997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1,709,222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1,737,219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363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9,393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There were $8.1 million and $1.3 million, respectively, of loans secured by one-to-four family residential properties in the process of foreclosure as of December 31, 2023 and 2022.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following presents the nonaccrual loans as of December 31, 2023 and December 31,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8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5"/>
          </w:tcPr>
          <w:p>
            <w:pPr>
              <w:ind w:left="700"/>
              <w:spacing w:after="0"/>
              <w:rPr>
                <w:sz w:val="20"/>
                <w:szCs w:val="20"/>
                <w:color w:val="auto"/>
              </w:rPr>
            </w:pPr>
            <w:r>
              <w:rPr>
                <w:rFonts w:ascii="Arial" w:cs="Arial" w:eastAsia="Arial" w:hAnsi="Arial"/>
                <w:sz w:val="11"/>
                <w:szCs w:val="11"/>
                <w:b w:val="1"/>
                <w:bCs w:val="1"/>
                <w:color w:val="auto"/>
              </w:rPr>
              <w:t>December 31, 2023</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364"/>
              <w:spacing w:after="0"/>
              <w:rPr>
                <w:sz w:val="20"/>
                <w:szCs w:val="20"/>
                <w:color w:val="auto"/>
              </w:rPr>
            </w:pPr>
            <w:r>
              <w:rPr>
                <w:rFonts w:ascii="Arial" w:cs="Arial" w:eastAsia="Arial" w:hAnsi="Arial"/>
                <w:sz w:val="11"/>
                <w:szCs w:val="11"/>
                <w:b w:val="1"/>
                <w:bCs w:val="1"/>
                <w:color w:val="auto"/>
              </w:rPr>
              <w:t>December 31, 2022</w:t>
            </w:r>
          </w:p>
        </w:tc>
        <w:tc>
          <w:tcPr>
            <w:tcW w:w="0" w:type="dxa"/>
            <w:vAlign w:val="bottom"/>
          </w:tcPr>
          <w:p>
            <w:pPr>
              <w:spacing w:after="0"/>
              <w:rPr>
                <w:sz w:val="1"/>
                <w:szCs w:val="1"/>
                <w:color w:val="auto"/>
              </w:rPr>
            </w:pPr>
          </w:p>
        </w:tc>
      </w:tr>
      <w:tr>
        <w:trPr>
          <w:trHeight w:val="335"/>
        </w:trPr>
        <w:tc>
          <w:tcPr>
            <w:tcW w:w="388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40" w:type="dxa"/>
            <w:vAlign w:val="bottom"/>
          </w:tcPr>
          <w:p>
            <w:pPr>
              <w:spacing w:after="0"/>
              <w:rPr>
                <w:sz w:val="24"/>
                <w:szCs w:val="2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Nonaccrual with No</w:t>
            </w:r>
          </w:p>
        </w:tc>
        <w:tc>
          <w:tcPr>
            <w:tcW w:w="140" w:type="dxa"/>
            <w:vAlign w:val="bottom"/>
          </w:tcPr>
          <w:p>
            <w:pPr>
              <w:spacing w:after="0"/>
              <w:rPr>
                <w:sz w:val="24"/>
                <w:szCs w:val="2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8"/>
              </w:rPr>
              <w:t>Nonaccrual with an</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9"/>
              </w:rPr>
              <w:t>Interest Recognized on</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Total Nonaccrual Loans</w:t>
            </w: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620" w:type="dxa"/>
            <w:vAlign w:val="bottom"/>
            <w:vMerge w:val="restart"/>
          </w:tcPr>
          <w:p>
            <w:pPr>
              <w:jc w:val="right"/>
              <w:ind w:right="304"/>
              <w:spacing w:after="0"/>
              <w:rPr>
                <w:sz w:val="20"/>
                <w:szCs w:val="20"/>
                <w:color w:val="auto"/>
              </w:rPr>
            </w:pPr>
            <w:r>
              <w:rPr>
                <w:rFonts w:ascii="Arial" w:cs="Arial" w:eastAsia="Arial" w:hAnsi="Arial"/>
                <w:sz w:val="10"/>
                <w:szCs w:val="10"/>
                <w:b w:val="1"/>
                <w:bCs w:val="1"/>
                <w:color w:val="auto"/>
              </w:rPr>
              <w:t>Total Nonaccrual Loans</w:t>
            </w:r>
          </w:p>
        </w:tc>
        <w:tc>
          <w:tcPr>
            <w:tcW w:w="0" w:type="dxa"/>
            <w:vAlign w:val="bottom"/>
          </w:tcPr>
          <w:p>
            <w:pPr>
              <w:spacing w:after="0" w:line="20" w:lineRule="exact"/>
              <w:rPr>
                <w:sz w:val="1"/>
                <w:szCs w:val="1"/>
                <w:color w:val="auto"/>
              </w:rPr>
            </w:pPr>
          </w:p>
        </w:tc>
      </w:tr>
      <w:tr>
        <w:trPr>
          <w:trHeight w:val="145"/>
        </w:trPr>
        <w:tc>
          <w:tcPr>
            <w:tcW w:w="3880" w:type="dxa"/>
            <w:vAlign w:val="bottom"/>
          </w:tcPr>
          <w:p>
            <w:pPr>
              <w:spacing w:after="0"/>
              <w:rPr>
                <w:sz w:val="12"/>
                <w:szCs w:val="12"/>
                <w:color w:val="auto"/>
              </w:rPr>
            </w:pPr>
          </w:p>
        </w:tc>
        <w:tc>
          <w:tcPr>
            <w:tcW w:w="1380" w:type="dxa"/>
            <w:vAlign w:val="bottom"/>
            <w:gridSpan w:val="3"/>
          </w:tcPr>
          <w:p>
            <w:pPr>
              <w:ind w:left="40"/>
              <w:spacing w:after="0"/>
              <w:rPr>
                <w:sz w:val="20"/>
                <w:szCs w:val="20"/>
                <w:color w:val="auto"/>
              </w:rPr>
            </w:pPr>
            <w:r>
              <w:rPr>
                <w:rFonts w:ascii="Arial" w:cs="Arial" w:eastAsia="Arial" w:hAnsi="Arial"/>
                <w:sz w:val="10"/>
                <w:szCs w:val="10"/>
                <w:b w:val="1"/>
                <w:bCs w:val="1"/>
                <w:color w:val="auto"/>
              </w:rPr>
              <w:t>Allowance for Credit Loss</w:t>
            </w:r>
          </w:p>
        </w:tc>
        <w:tc>
          <w:tcPr>
            <w:tcW w:w="14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8"/>
              </w:rPr>
              <w:t>Allowance for Credit Loss</w:t>
            </w: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9"/>
              </w:rPr>
              <w:t>Nonaccrual Loans</w:t>
            </w:r>
          </w:p>
        </w:tc>
        <w:tc>
          <w:tcPr>
            <w:tcW w:w="2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Real estate:</w:t>
            </w:r>
          </w:p>
        </w:tc>
        <w:tc>
          <w:tcPr>
            <w:tcW w:w="1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80" w:type="dxa"/>
            <w:vAlign w:val="bottom"/>
          </w:tcPr>
          <w:p>
            <w:pPr>
              <w:ind w:left="120"/>
              <w:spacing w:after="0"/>
              <w:rPr>
                <w:sz w:val="20"/>
                <w:szCs w:val="20"/>
                <w:color w:val="auto"/>
              </w:rPr>
            </w:pPr>
            <w:r>
              <w:rPr>
                <w:rFonts w:ascii="Arial" w:cs="Arial" w:eastAsia="Arial" w:hAnsi="Arial"/>
                <w:sz w:val="11"/>
                <w:szCs w:val="11"/>
                <w:color w:val="auto"/>
              </w:rPr>
              <w:t>Residential</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1140" w:type="dxa"/>
            <w:vAlign w:val="bottom"/>
          </w:tcPr>
          <w:p>
            <w:pPr>
              <w:jc w:val="right"/>
              <w:ind w:right="5"/>
              <w:spacing w:after="0"/>
              <w:rPr>
                <w:sz w:val="20"/>
                <w:szCs w:val="20"/>
                <w:color w:val="auto"/>
              </w:rPr>
            </w:pPr>
            <w:r>
              <w:rPr>
                <w:rFonts w:ascii="Arial" w:cs="Arial" w:eastAsia="Arial" w:hAnsi="Arial"/>
                <w:sz w:val="11"/>
                <w:szCs w:val="11"/>
                <w:b w:val="1"/>
                <w:bCs w:val="1"/>
                <w:color w:val="auto"/>
              </w:rPr>
              <w:t>11,152</w:t>
            </w:r>
          </w:p>
        </w:tc>
        <w:tc>
          <w:tcPr>
            <w:tcW w:w="1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Pr>
          <w:p>
            <w:pPr>
              <w:jc w:val="right"/>
              <w:ind w:right="4"/>
              <w:spacing w:after="0"/>
              <w:rPr>
                <w:sz w:val="20"/>
                <w:szCs w:val="20"/>
                <w:color w:val="auto"/>
              </w:rPr>
            </w:pPr>
            <w:r>
              <w:rPr>
                <w:rFonts w:ascii="Arial" w:cs="Arial" w:eastAsia="Arial" w:hAnsi="Arial"/>
                <w:sz w:val="11"/>
                <w:szCs w:val="11"/>
                <w:b w:val="1"/>
                <w:bCs w:val="1"/>
                <w:color w:val="auto"/>
              </w:rPr>
              <w:t>246</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Pr>
          <w:p>
            <w:pPr>
              <w:jc w:val="right"/>
              <w:ind w:right="5"/>
              <w:spacing w:after="0"/>
              <w:rPr>
                <w:sz w:val="20"/>
                <w:szCs w:val="20"/>
                <w:color w:val="auto"/>
              </w:rPr>
            </w:pPr>
            <w:r>
              <w:rPr>
                <w:rFonts w:ascii="Arial" w:cs="Arial" w:eastAsia="Arial" w:hAnsi="Arial"/>
                <w:sz w:val="11"/>
                <w:szCs w:val="11"/>
                <w:b w:val="1"/>
                <w:bCs w:val="1"/>
                <w:color w:val="auto"/>
              </w:rPr>
              <w:t>11,398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Pr>
          <w:p>
            <w:pPr>
              <w:jc w:val="right"/>
              <w:ind w:right="5"/>
              <w:spacing w:after="0"/>
              <w:rPr>
                <w:sz w:val="20"/>
                <w:szCs w:val="20"/>
                <w:color w:val="auto"/>
              </w:rPr>
            </w:pPr>
            <w:r>
              <w:rPr>
                <w:rFonts w:ascii="Arial" w:cs="Arial" w:eastAsia="Arial" w:hAnsi="Arial"/>
                <w:sz w:val="11"/>
                <w:szCs w:val="11"/>
                <w:b w:val="1"/>
                <w:bCs w:val="1"/>
                <w:color w:val="auto"/>
              </w:rPr>
              <w:t>236</w:t>
            </w:r>
          </w:p>
        </w:tc>
        <w:tc>
          <w:tcPr>
            <w:tcW w:w="10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620" w:type="dxa"/>
            <w:vAlign w:val="bottom"/>
          </w:tcPr>
          <w:p>
            <w:pPr>
              <w:jc w:val="right"/>
              <w:spacing w:after="0"/>
              <w:rPr>
                <w:sz w:val="20"/>
                <w:szCs w:val="20"/>
                <w:color w:val="auto"/>
              </w:rPr>
            </w:pPr>
            <w:r>
              <w:rPr>
                <w:rFonts w:ascii="Arial" w:cs="Arial" w:eastAsia="Arial" w:hAnsi="Arial"/>
                <w:sz w:val="11"/>
                <w:szCs w:val="11"/>
                <w:b w:val="1"/>
                <w:bCs w:val="1"/>
                <w:color w:val="auto"/>
              </w:rPr>
              <w:t>4,288</w:t>
            </w:r>
          </w:p>
        </w:tc>
        <w:tc>
          <w:tcPr>
            <w:tcW w:w="0" w:type="dxa"/>
            <w:vAlign w:val="bottom"/>
          </w:tcPr>
          <w:p>
            <w:pPr>
              <w:spacing w:after="0"/>
              <w:rPr>
                <w:sz w:val="1"/>
                <w:szCs w:val="1"/>
                <w:color w:val="auto"/>
              </w:rPr>
            </w:pPr>
          </w:p>
        </w:tc>
      </w:tr>
      <w:tr>
        <w:trPr>
          <w:trHeight w:val="159"/>
        </w:trPr>
        <w:tc>
          <w:tcPr>
            <w:tcW w:w="38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Commercial</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582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582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46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1,563</w:t>
            </w:r>
          </w:p>
        </w:tc>
        <w:tc>
          <w:tcPr>
            <w:tcW w:w="0" w:type="dxa"/>
            <w:vAlign w:val="bottom"/>
          </w:tcPr>
          <w:p>
            <w:pPr>
              <w:spacing w:after="0"/>
              <w:rPr>
                <w:sz w:val="1"/>
                <w:szCs w:val="1"/>
                <w:color w:val="auto"/>
              </w:rPr>
            </w:pPr>
          </w:p>
        </w:tc>
      </w:tr>
      <w:tr>
        <w:trPr>
          <w:trHeight w:val="159"/>
        </w:trPr>
        <w:tc>
          <w:tcPr>
            <w:tcW w:w="3880" w:type="dxa"/>
            <w:vAlign w:val="bottom"/>
          </w:tcPr>
          <w:p>
            <w:pPr>
              <w:ind w:left="120"/>
              <w:spacing w:after="0"/>
              <w:rPr>
                <w:sz w:val="20"/>
                <w:szCs w:val="20"/>
                <w:color w:val="auto"/>
              </w:rPr>
            </w:pPr>
            <w:r>
              <w:rPr>
                <w:rFonts w:ascii="Arial" w:cs="Arial" w:eastAsia="Arial" w:hAnsi="Arial"/>
                <w:sz w:val="11"/>
                <w:szCs w:val="11"/>
                <w:color w:val="auto"/>
              </w:rPr>
              <w:t>Construction</w:t>
            </w:r>
          </w:p>
        </w:tc>
        <w:tc>
          <w:tcPr>
            <w:tcW w:w="140" w:type="dxa"/>
            <w:vAlign w:val="bottom"/>
          </w:tcPr>
          <w:p>
            <w:pPr>
              <w:spacing w:after="0"/>
              <w:rPr>
                <w:sz w:val="13"/>
                <w:szCs w:val="13"/>
                <w:color w:val="auto"/>
              </w:rPr>
            </w:pPr>
          </w:p>
        </w:tc>
        <w:tc>
          <w:tcPr>
            <w:tcW w:w="1140" w:type="dxa"/>
            <w:vAlign w:val="bottom"/>
          </w:tcPr>
          <w:p>
            <w:pPr>
              <w:jc w:val="right"/>
              <w:ind w:right="5"/>
              <w:spacing w:after="0"/>
              <w:rPr>
                <w:sz w:val="20"/>
                <w:szCs w:val="20"/>
                <w:color w:val="auto"/>
              </w:rPr>
            </w:pPr>
            <w:r>
              <w:rPr>
                <w:rFonts w:ascii="Arial" w:cs="Arial" w:eastAsia="Arial" w:hAnsi="Arial"/>
                <w:sz w:val="11"/>
                <w:szCs w:val="11"/>
                <w:b w:val="1"/>
                <w:bCs w:val="1"/>
                <w:color w:val="auto"/>
              </w:rPr>
              <w:t>3,288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1200" w:type="dxa"/>
            <w:vAlign w:val="bottom"/>
          </w:tcPr>
          <w:p>
            <w:pPr>
              <w:jc w:val="right"/>
              <w:ind w:right="5"/>
              <w:spacing w:after="0"/>
              <w:rPr>
                <w:sz w:val="20"/>
                <w:szCs w:val="20"/>
                <w:color w:val="auto"/>
              </w:rPr>
            </w:pPr>
            <w:r>
              <w:rPr>
                <w:rFonts w:ascii="Arial" w:cs="Arial" w:eastAsia="Arial" w:hAnsi="Arial"/>
                <w:sz w:val="11"/>
                <w:szCs w:val="11"/>
                <w:b w:val="1"/>
                <w:bCs w:val="1"/>
                <w:color w:val="auto"/>
              </w:rPr>
              <w:t>3,288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5"/>
              <w:spacing w:after="0"/>
              <w:rPr>
                <w:sz w:val="20"/>
                <w:szCs w:val="20"/>
                <w:color w:val="auto"/>
              </w:rPr>
            </w:pPr>
            <w:r>
              <w:rPr>
                <w:rFonts w:ascii="Arial" w:cs="Arial" w:eastAsia="Arial" w:hAnsi="Arial"/>
                <w:sz w:val="11"/>
                <w:szCs w:val="11"/>
                <w:b w:val="1"/>
                <w:bCs w:val="1"/>
                <w:color w:val="auto"/>
              </w:rPr>
              <w:t>185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b w:val="1"/>
                <w:bCs w:val="1"/>
                <w:color w:val="auto"/>
              </w:rPr>
              <w:t>2,837</w:t>
            </w:r>
          </w:p>
        </w:tc>
        <w:tc>
          <w:tcPr>
            <w:tcW w:w="0" w:type="dxa"/>
            <w:vAlign w:val="bottom"/>
          </w:tcPr>
          <w:p>
            <w:pPr>
              <w:spacing w:after="0"/>
              <w:rPr>
                <w:sz w:val="1"/>
                <w:szCs w:val="1"/>
                <w:color w:val="auto"/>
              </w:rPr>
            </w:pPr>
          </w:p>
        </w:tc>
      </w:tr>
      <w:tr>
        <w:trPr>
          <w:trHeight w:val="159"/>
        </w:trPr>
        <w:tc>
          <w:tcPr>
            <w:tcW w:w="3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Commercial and Industrial</w:t>
            </w:r>
          </w:p>
        </w:tc>
        <w:tc>
          <w:tcPr>
            <w:tcW w:w="1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598</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176</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774</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71</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705</w:t>
            </w:r>
          </w:p>
        </w:tc>
        <w:tc>
          <w:tcPr>
            <w:tcW w:w="0" w:type="dxa"/>
            <w:vAlign w:val="bottom"/>
          </w:tcPr>
          <w:p>
            <w:pPr>
              <w:spacing w:after="0"/>
              <w:rPr>
                <w:sz w:val="1"/>
                <w:szCs w:val="1"/>
                <w:color w:val="auto"/>
              </w:rPr>
            </w:pPr>
          </w:p>
        </w:tc>
      </w:tr>
      <w:tr>
        <w:trPr>
          <w:trHeight w:val="150"/>
        </w:trPr>
        <w:tc>
          <w:tcPr>
            <w:tcW w:w="3880" w:type="dxa"/>
            <w:vAlign w:val="bottom"/>
          </w:tcPr>
          <w:p>
            <w:pPr>
              <w:ind w:left="180"/>
              <w:spacing w:after="0"/>
              <w:rPr>
                <w:sz w:val="20"/>
                <w:szCs w:val="20"/>
                <w:color w:val="auto"/>
              </w:rPr>
            </w:pPr>
            <w:r>
              <w:rPr>
                <w:rFonts w:ascii="Arial" w:cs="Arial" w:eastAsia="Arial" w:hAnsi="Arial"/>
                <w:sz w:val="11"/>
                <w:szCs w:val="11"/>
                <w:color w:val="auto"/>
              </w:rPr>
              <w:t>Total</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15,620</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422</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16,042</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538</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9,393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has certain loans for which repayment is dependent upon the operation or sale of collateral, as the borrower is experiencing financial difficulty. The underlying collateral can vary based upon the type of loan. The following provides more detail about the types of collateral that secure collateral dependent loans:</w:t>
      </w:r>
    </w:p>
    <w:p>
      <w:pPr>
        <w:spacing w:after="0" w:line="120" w:lineRule="exact"/>
        <w:rPr>
          <w:sz w:val="20"/>
          <w:szCs w:val="20"/>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Residential real estate loans are primarily secured by owner-occupied primary residences and, to a lesser extent, investor-owned residences.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4" w:lineRule="exact"/>
        <w:rPr>
          <w:rFonts w:ascii="Arial" w:cs="Arial" w:eastAsia="Arial" w:hAnsi="Arial"/>
          <w:sz w:val="14"/>
          <w:szCs w:val="14"/>
          <w:color w:val="auto"/>
        </w:rPr>
      </w:pPr>
    </w:p>
    <w:p>
      <w:pPr>
        <w:ind w:left="5560"/>
        <w:spacing w:after="0"/>
        <w:rPr>
          <w:rFonts w:ascii="Arial" w:cs="Arial" w:eastAsia="Arial" w:hAnsi="Arial"/>
          <w:sz w:val="14"/>
          <w:szCs w:val="14"/>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97" w:name="page98"/>
    <w:bookmarkEnd w:id="97"/>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Portfolio Loans Receivable and Allowance for Credit Losses (continued)</w:t>
      </w:r>
    </w:p>
    <w:p>
      <w:pPr>
        <w:spacing w:after="0" w:line="179" w:lineRule="exact"/>
        <w:rPr>
          <w:sz w:val="20"/>
          <w:szCs w:val="20"/>
          <w:color w:val="auto"/>
        </w:rPr>
      </w:pPr>
    </w:p>
    <w:p>
      <w:pPr>
        <w:jc w:val="both"/>
        <w:ind w:firstLine="5"/>
        <w:spacing w:after="0" w:line="265" w:lineRule="auto"/>
        <w:tabs>
          <w:tab w:leader="none" w:pos="251"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Commercial real estate loans can be secured by either owner-occupied commercial real estate or non-owner-occupied investment commercial real estate. Typically, owner-occupied commercial real estate loans are secured by office buildings, warehouses, manufacturing facilities and other commercial and industrial properties occupied by operating companies. Non-owner-occupied commercial real estate loans are generally secured by office buildings and complexes, retail facilities, multifamily complexes, land under development, industrial properties, as well as other commercial or industrial real estate.</w:t>
      </w:r>
    </w:p>
    <w:p>
      <w:pPr>
        <w:spacing w:after="0" w:line="137" w:lineRule="exact"/>
        <w:rPr>
          <w:rFonts w:ascii="Arial" w:cs="Arial" w:eastAsia="Arial" w:hAnsi="Arial"/>
          <w:sz w:val="14"/>
          <w:szCs w:val="14"/>
          <w:color w:val="auto"/>
        </w:rPr>
      </w:pPr>
    </w:p>
    <w:p>
      <w:pPr>
        <w:jc w:val="both"/>
        <w:ind w:firstLine="5"/>
        <w:spacing w:after="0" w:line="265" w:lineRule="auto"/>
        <w:tabs>
          <w:tab w:leader="none" w:pos="251"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Construction loans are typically secured by owner-occupied commercial real estate or non-owner-occupied investment real estate. Typically, owner occupied construction loans are secured by office buildings, warehouses, manufacturing facilities, and other commercial and industrial properties that are in process of construction. Non-owner-occupied commercial construction loans are generally secured by office buildings and complexes, multi-family complexes, land under development, and other commercial and industrial real estate in process of construction.</w:t>
      </w:r>
    </w:p>
    <w:p>
      <w:pPr>
        <w:spacing w:after="0" w:line="137"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Commercial and industrial loans are generally secured by equipment, inventory, accounts receivable, and other commercial property.</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Collateral dependent loans amortized cost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(in thousands)</w:t>
            </w:r>
          </w:p>
        </w:tc>
        <w:tc>
          <w:tcPr>
            <w:tcW w:w="2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December 31, 2023</w:t>
            </w:r>
          </w:p>
        </w:tc>
      </w:tr>
      <w:tr>
        <w:trPr>
          <w:trHeight w:val="139"/>
        </w:trPr>
        <w:tc>
          <w:tcPr>
            <w:tcW w:w="8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Real estate:</w:t>
            </w:r>
          </w:p>
        </w:tc>
        <w:tc>
          <w:tcPr>
            <w:tcW w:w="2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r>
      <w:tr>
        <w:trPr>
          <w:trHeight w:val="159"/>
        </w:trPr>
        <w:tc>
          <w:tcPr>
            <w:tcW w:w="8900" w:type="dxa"/>
            <w:vAlign w:val="bottom"/>
          </w:tcPr>
          <w:p>
            <w:pPr>
              <w:ind w:left="120"/>
              <w:spacing w:after="0"/>
              <w:rPr>
                <w:sz w:val="20"/>
                <w:szCs w:val="20"/>
                <w:color w:val="auto"/>
              </w:rPr>
            </w:pPr>
            <w:r>
              <w:rPr>
                <w:rFonts w:ascii="Arial" w:cs="Arial" w:eastAsia="Arial" w:hAnsi="Arial"/>
                <w:sz w:val="11"/>
                <w:szCs w:val="11"/>
                <w:color w:val="auto"/>
              </w:rPr>
              <w:t>Residential</w:t>
            </w: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640" w:type="dxa"/>
            <w:vAlign w:val="bottom"/>
          </w:tcPr>
          <w:p>
            <w:pPr>
              <w:jc w:val="right"/>
              <w:ind w:right="3"/>
              <w:spacing w:after="0"/>
              <w:rPr>
                <w:sz w:val="20"/>
                <w:szCs w:val="20"/>
                <w:color w:val="auto"/>
              </w:rPr>
            </w:pPr>
            <w:r>
              <w:rPr>
                <w:rFonts w:ascii="Arial" w:cs="Arial" w:eastAsia="Arial" w:hAnsi="Arial"/>
                <w:sz w:val="11"/>
                <w:szCs w:val="11"/>
                <w:b w:val="1"/>
                <w:bCs w:val="1"/>
                <w:color w:val="auto"/>
              </w:rPr>
              <w:t>11,152</w:t>
            </w:r>
          </w:p>
        </w:tc>
      </w:tr>
      <w:tr>
        <w:trPr>
          <w:trHeight w:val="159"/>
        </w:trPr>
        <w:tc>
          <w:tcPr>
            <w:tcW w:w="8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Commercial</w:t>
            </w:r>
          </w:p>
        </w:tc>
        <w:tc>
          <w:tcPr>
            <w:tcW w:w="240" w:type="dxa"/>
            <w:vAlign w:val="bottom"/>
            <w:shd w:val="clear" w:color="auto" w:fill="CCEEFF"/>
          </w:tcPr>
          <w:p>
            <w:pPr>
              <w:spacing w:after="0"/>
              <w:rPr>
                <w:sz w:val="13"/>
                <w:szCs w:val="13"/>
                <w:color w:val="auto"/>
              </w:rPr>
            </w:pP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582</w:t>
            </w:r>
          </w:p>
        </w:tc>
      </w:tr>
      <w:tr>
        <w:trPr>
          <w:trHeight w:val="159"/>
        </w:trPr>
        <w:tc>
          <w:tcPr>
            <w:tcW w:w="8900" w:type="dxa"/>
            <w:vAlign w:val="bottom"/>
          </w:tcPr>
          <w:p>
            <w:pPr>
              <w:ind w:left="120"/>
              <w:spacing w:after="0"/>
              <w:rPr>
                <w:sz w:val="20"/>
                <w:szCs w:val="20"/>
                <w:color w:val="auto"/>
              </w:rPr>
            </w:pPr>
            <w:r>
              <w:rPr>
                <w:rFonts w:ascii="Arial" w:cs="Arial" w:eastAsia="Arial" w:hAnsi="Arial"/>
                <w:sz w:val="11"/>
                <w:szCs w:val="11"/>
                <w:color w:val="auto"/>
              </w:rPr>
              <w:t>Construction</w:t>
            </w:r>
          </w:p>
        </w:tc>
        <w:tc>
          <w:tcPr>
            <w:tcW w:w="240" w:type="dxa"/>
            <w:vAlign w:val="bottom"/>
          </w:tcPr>
          <w:p>
            <w:pPr>
              <w:spacing w:after="0"/>
              <w:rPr>
                <w:sz w:val="13"/>
                <w:szCs w:val="13"/>
                <w:color w:val="auto"/>
              </w:rPr>
            </w:pPr>
          </w:p>
        </w:tc>
        <w:tc>
          <w:tcPr>
            <w:tcW w:w="1640" w:type="dxa"/>
            <w:vAlign w:val="bottom"/>
          </w:tcPr>
          <w:p>
            <w:pPr>
              <w:jc w:val="right"/>
              <w:ind w:right="3"/>
              <w:spacing w:after="0"/>
              <w:rPr>
                <w:sz w:val="20"/>
                <w:szCs w:val="20"/>
                <w:color w:val="auto"/>
              </w:rPr>
            </w:pPr>
            <w:r>
              <w:rPr>
                <w:rFonts w:ascii="Arial" w:cs="Arial" w:eastAsia="Arial" w:hAnsi="Arial"/>
                <w:sz w:val="11"/>
                <w:szCs w:val="11"/>
                <w:b w:val="1"/>
                <w:bCs w:val="1"/>
                <w:color w:val="auto"/>
              </w:rPr>
              <w:t>3,288</w:t>
            </w:r>
          </w:p>
        </w:tc>
      </w:tr>
      <w:tr>
        <w:trPr>
          <w:trHeight w:val="159"/>
        </w:trPr>
        <w:tc>
          <w:tcPr>
            <w:tcW w:w="8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Commercial and Industrial</w:t>
            </w:r>
          </w:p>
        </w:tc>
        <w:tc>
          <w:tcPr>
            <w:tcW w:w="24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657</w:t>
            </w:r>
          </w:p>
        </w:tc>
      </w:tr>
      <w:tr>
        <w:trPr>
          <w:trHeight w:val="150"/>
        </w:trPr>
        <w:tc>
          <w:tcPr>
            <w:tcW w:w="8900" w:type="dxa"/>
            <w:vAlign w:val="bottom"/>
          </w:tcPr>
          <w:p>
            <w:pPr>
              <w:ind w:left="180"/>
              <w:spacing w:after="0"/>
              <w:rPr>
                <w:sz w:val="20"/>
                <w:szCs w:val="20"/>
                <w:color w:val="auto"/>
              </w:rPr>
            </w:pPr>
            <w:r>
              <w:rPr>
                <w:rFonts w:ascii="Arial" w:cs="Arial" w:eastAsia="Arial" w:hAnsi="Arial"/>
                <w:sz w:val="11"/>
                <w:szCs w:val="11"/>
                <w:color w:val="auto"/>
              </w:rPr>
              <w:t>Total</w:t>
            </w: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15,679</w:t>
            </w: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Of the collateral dependent loans as of December 31, 2023, a specific reserve of $115 thousand was assessed for commercial and industrial loans. The Company had no modifications on loans to borrowers experiencing financial difficulty during the year ended December 31, 2023.</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Prior to the adoption of the CECL standard, loans were considered impaired when, based on current information, management believed the Company would not collect all principal and interest payments according to contractual terms. Generally, loans were reviewed for impairment when the risk grade for a loan was downgraded to a classified asset category. For loans that were classified as impaired, an allowance was established when the collateral value, if the loan was collateral dependent, or the discounted cash flows of the impaired loan was lower than the carrying value of the loan. Loans were generally charged-off in part or in full when management determined the loan to be uncollectible.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information related to impaired loans by class of loans as of and for the years ended December 31, 2022:</w:t>
      </w: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115"/>
        </w:trPr>
        <w:tc>
          <w:tcPr>
            <w:tcW w:w="10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20" w:type="dxa"/>
            <w:vAlign w:val="bottom"/>
          </w:tcPr>
          <w:p>
            <w:pPr>
              <w:jc w:val="center"/>
              <w:ind w:left="292"/>
              <w:spacing w:after="0"/>
              <w:rPr>
                <w:sz w:val="20"/>
                <w:szCs w:val="20"/>
                <w:color w:val="auto"/>
              </w:rPr>
            </w:pPr>
            <w:r>
              <w:rPr>
                <w:rFonts w:ascii="Arial" w:cs="Arial" w:eastAsia="Arial" w:hAnsi="Arial"/>
                <w:sz w:val="10"/>
                <w:szCs w:val="10"/>
                <w:b w:val="1"/>
                <w:bCs w:val="1"/>
                <w:color w:val="auto"/>
              </w:rPr>
              <w:t>Unpaid</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9"/>
              </w:rPr>
              <w:t>Recorded</w:t>
            </w:r>
          </w:p>
        </w:tc>
        <w:tc>
          <w:tcPr>
            <w:tcW w:w="200" w:type="dxa"/>
            <w:vAlign w:val="bottom"/>
          </w:tcPr>
          <w:p>
            <w:pPr>
              <w:spacing w:after="0"/>
              <w:rPr>
                <w:sz w:val="10"/>
                <w:szCs w:val="1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9"/>
              </w:rPr>
              <w:t>Recorded</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440" w:type="dxa"/>
            <w:vAlign w:val="bottom"/>
            <w:gridSpan w:val="2"/>
          </w:tcPr>
          <w:p>
            <w:pPr>
              <w:spacing w:after="0"/>
              <w:rPr>
                <w:sz w:val="20"/>
                <w:szCs w:val="20"/>
                <w:color w:val="auto"/>
              </w:rPr>
            </w:pPr>
            <w:r>
              <w:rPr>
                <w:rFonts w:ascii="Arial" w:cs="Arial" w:eastAsia="Arial" w:hAnsi="Arial"/>
                <w:sz w:val="8"/>
                <w:szCs w:val="8"/>
                <w:i w:val="1"/>
                <w:iCs w:val="1"/>
                <w:color w:val="auto"/>
              </w:rPr>
              <w:t>(in thousands)</w:t>
            </w:r>
          </w:p>
        </w:tc>
        <w:tc>
          <w:tcPr>
            <w:tcW w:w="920" w:type="dxa"/>
            <w:vAlign w:val="bottom"/>
          </w:tcPr>
          <w:p>
            <w:pPr>
              <w:jc w:val="center"/>
              <w:ind w:left="292"/>
              <w:spacing w:after="0"/>
              <w:rPr>
                <w:sz w:val="20"/>
                <w:szCs w:val="20"/>
                <w:color w:val="auto"/>
              </w:rPr>
            </w:pPr>
            <w:r>
              <w:rPr>
                <w:rFonts w:ascii="Arial" w:cs="Arial" w:eastAsia="Arial" w:hAnsi="Arial"/>
                <w:sz w:val="10"/>
                <w:szCs w:val="10"/>
                <w:b w:val="1"/>
                <w:bCs w:val="1"/>
                <w:color w:val="auto"/>
                <w:w w:val="97"/>
              </w:rPr>
              <w:t>Contractual</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Investment</w:t>
            </w:r>
          </w:p>
        </w:tc>
        <w:tc>
          <w:tcPr>
            <w:tcW w:w="20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8"/>
              </w:rPr>
              <w:t>Investment</w:t>
            </w:r>
          </w:p>
        </w:tc>
        <w:tc>
          <w:tcPr>
            <w:tcW w:w="20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Total</w:t>
            </w:r>
          </w:p>
        </w:tc>
        <w:tc>
          <w:tcPr>
            <w:tcW w:w="180" w:type="dxa"/>
            <w:vAlign w:val="bottom"/>
          </w:tcPr>
          <w:p>
            <w:pPr>
              <w:spacing w:after="0"/>
              <w:rPr>
                <w:sz w:val="11"/>
                <w:szCs w:val="11"/>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9"/>
              </w:rPr>
              <w:t>Related</w:t>
            </w:r>
          </w:p>
        </w:tc>
        <w:tc>
          <w:tcPr>
            <w:tcW w:w="200" w:type="dxa"/>
            <w:vAlign w:val="bottom"/>
          </w:tcPr>
          <w:p>
            <w:pPr>
              <w:spacing w:after="0"/>
              <w:rPr>
                <w:sz w:val="11"/>
                <w:szCs w:val="11"/>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Average</w:t>
            </w:r>
          </w:p>
        </w:tc>
        <w:tc>
          <w:tcPr>
            <w:tcW w:w="180" w:type="dxa"/>
            <w:vAlign w:val="bottom"/>
          </w:tcPr>
          <w:p>
            <w:pPr>
              <w:spacing w:after="0"/>
              <w:rPr>
                <w:sz w:val="11"/>
                <w:szCs w:val="11"/>
                <w:color w:val="auto"/>
              </w:rPr>
            </w:pPr>
          </w:p>
        </w:tc>
        <w:tc>
          <w:tcPr>
            <w:tcW w:w="980" w:type="dxa"/>
            <w:vAlign w:val="bottom"/>
            <w:vMerge w:val="restart"/>
          </w:tcPr>
          <w:p>
            <w:pPr>
              <w:jc w:val="right"/>
              <w:ind w:right="345"/>
              <w:spacing w:after="0"/>
              <w:rPr>
                <w:sz w:val="20"/>
                <w:szCs w:val="20"/>
                <w:color w:val="auto"/>
              </w:rPr>
            </w:pPr>
            <w:r>
              <w:rPr>
                <w:rFonts w:ascii="Arial" w:cs="Arial" w:eastAsia="Arial" w:hAnsi="Arial"/>
                <w:sz w:val="10"/>
                <w:szCs w:val="10"/>
                <w:b w:val="1"/>
                <w:bCs w:val="1"/>
                <w:color w:val="auto"/>
              </w:rPr>
              <w:t>Interest</w:t>
            </w:r>
          </w:p>
        </w:tc>
        <w:tc>
          <w:tcPr>
            <w:tcW w:w="0" w:type="dxa"/>
            <w:vAlign w:val="bottom"/>
          </w:tcPr>
          <w:p>
            <w:pPr>
              <w:spacing w:after="0"/>
              <w:rPr>
                <w:sz w:val="1"/>
                <w:szCs w:val="1"/>
                <w:color w:val="auto"/>
              </w:rPr>
            </w:pPr>
          </w:p>
        </w:tc>
      </w:tr>
      <w:tr>
        <w:trPr>
          <w:trHeight w:val="64"/>
        </w:trPr>
        <w:tc>
          <w:tcPr>
            <w:tcW w:w="24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December 31, 2022</w:t>
            </w:r>
          </w:p>
        </w:tc>
        <w:tc>
          <w:tcPr>
            <w:tcW w:w="920" w:type="dxa"/>
            <w:vAlign w:val="bottom"/>
          </w:tcPr>
          <w:p>
            <w:pPr>
              <w:jc w:val="center"/>
              <w:ind w:left="292"/>
              <w:spacing w:after="0" w:line="64" w:lineRule="exact"/>
              <w:rPr>
                <w:sz w:val="20"/>
                <w:szCs w:val="20"/>
                <w:color w:val="auto"/>
              </w:rPr>
            </w:pPr>
            <w:r>
              <w:rPr>
                <w:rFonts w:ascii="Arial" w:cs="Arial" w:eastAsia="Arial" w:hAnsi="Arial"/>
                <w:sz w:val="7"/>
                <w:szCs w:val="7"/>
                <w:b w:val="1"/>
                <w:bCs w:val="1"/>
                <w:color w:val="auto"/>
              </w:rPr>
              <w:t>Principal</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gridSpan w:val="2"/>
          </w:tcPr>
          <w:p>
            <w:pPr>
              <w:jc w:val="center"/>
              <w:ind w:right="300"/>
              <w:spacing w:after="0" w:line="64" w:lineRule="exact"/>
              <w:rPr>
                <w:sz w:val="20"/>
                <w:szCs w:val="20"/>
                <w:color w:val="auto"/>
              </w:rPr>
            </w:pPr>
            <w:r>
              <w:rPr>
                <w:rFonts w:ascii="Arial" w:cs="Arial" w:eastAsia="Arial" w:hAnsi="Arial"/>
                <w:sz w:val="7"/>
                <w:szCs w:val="7"/>
                <w:b w:val="1"/>
                <w:bCs w:val="1"/>
                <w:color w:val="auto"/>
              </w:rPr>
              <w:t>with no</w:t>
            </w:r>
          </w:p>
        </w:tc>
        <w:tc>
          <w:tcPr>
            <w:tcW w:w="200" w:type="dxa"/>
            <w:vAlign w:val="bottom"/>
          </w:tcPr>
          <w:p>
            <w:pPr>
              <w:spacing w:after="0"/>
              <w:rPr>
                <w:sz w:val="5"/>
                <w:szCs w:val="5"/>
                <w:color w:val="auto"/>
              </w:rPr>
            </w:pPr>
          </w:p>
        </w:tc>
        <w:tc>
          <w:tcPr>
            <w:tcW w:w="1060" w:type="dxa"/>
            <w:vAlign w:val="bottom"/>
            <w:gridSpan w:val="2"/>
          </w:tcPr>
          <w:p>
            <w:pPr>
              <w:jc w:val="center"/>
              <w:ind w:right="300"/>
              <w:spacing w:after="0" w:line="64" w:lineRule="exact"/>
              <w:rPr>
                <w:sz w:val="20"/>
                <w:szCs w:val="20"/>
                <w:color w:val="auto"/>
              </w:rPr>
            </w:pPr>
            <w:r>
              <w:rPr>
                <w:rFonts w:ascii="Arial" w:cs="Arial" w:eastAsia="Arial" w:hAnsi="Arial"/>
                <w:sz w:val="7"/>
                <w:szCs w:val="7"/>
                <w:b w:val="1"/>
                <w:bCs w:val="1"/>
                <w:color w:val="auto"/>
              </w:rPr>
              <w:t>with</w:t>
            </w:r>
          </w:p>
        </w:tc>
        <w:tc>
          <w:tcPr>
            <w:tcW w:w="200" w:type="dxa"/>
            <w:vAlign w:val="bottom"/>
          </w:tcPr>
          <w:p>
            <w:pPr>
              <w:spacing w:after="0"/>
              <w:rPr>
                <w:sz w:val="5"/>
                <w:szCs w:val="5"/>
                <w:color w:val="auto"/>
              </w:rPr>
            </w:pPr>
          </w:p>
        </w:tc>
        <w:tc>
          <w:tcPr>
            <w:tcW w:w="1060" w:type="dxa"/>
            <w:vAlign w:val="bottom"/>
            <w:gridSpan w:val="2"/>
          </w:tcPr>
          <w:p>
            <w:pPr>
              <w:jc w:val="center"/>
              <w:ind w:right="300"/>
              <w:spacing w:after="0" w:line="64" w:lineRule="exact"/>
              <w:rPr>
                <w:sz w:val="20"/>
                <w:szCs w:val="20"/>
                <w:color w:val="auto"/>
              </w:rPr>
            </w:pPr>
            <w:r>
              <w:rPr>
                <w:rFonts w:ascii="Arial" w:cs="Arial" w:eastAsia="Arial" w:hAnsi="Arial"/>
                <w:sz w:val="7"/>
                <w:szCs w:val="7"/>
                <w:b w:val="1"/>
                <w:bCs w:val="1"/>
                <w:color w:val="auto"/>
              </w:rPr>
              <w:t>Recorded</w:t>
            </w:r>
          </w:p>
        </w:tc>
        <w:tc>
          <w:tcPr>
            <w:tcW w:w="1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gridSpan w:val="2"/>
          </w:tcPr>
          <w:p>
            <w:pPr>
              <w:jc w:val="center"/>
              <w:ind w:right="300"/>
              <w:spacing w:after="0" w:line="64" w:lineRule="exact"/>
              <w:rPr>
                <w:sz w:val="20"/>
                <w:szCs w:val="20"/>
                <w:color w:val="auto"/>
              </w:rPr>
            </w:pPr>
            <w:r>
              <w:rPr>
                <w:rFonts w:ascii="Arial" w:cs="Arial" w:eastAsia="Arial" w:hAnsi="Arial"/>
                <w:sz w:val="7"/>
                <w:szCs w:val="7"/>
                <w:b w:val="1"/>
                <w:bCs w:val="1"/>
                <w:color w:val="auto"/>
              </w:rPr>
              <w:t>Recorded</w:t>
            </w:r>
          </w:p>
        </w:tc>
        <w:tc>
          <w:tcPr>
            <w:tcW w:w="1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440" w:type="dxa"/>
            <w:vAlign w:val="bottom"/>
            <w:gridSpan w:val="2"/>
            <w:vMerge w:val="continue"/>
          </w:tcPr>
          <w:p>
            <w:pPr>
              <w:spacing w:after="0"/>
              <w:rPr>
                <w:sz w:val="10"/>
                <w:szCs w:val="10"/>
                <w:color w:val="auto"/>
              </w:rPr>
            </w:pPr>
          </w:p>
        </w:tc>
        <w:tc>
          <w:tcPr>
            <w:tcW w:w="920" w:type="dxa"/>
            <w:vAlign w:val="bottom"/>
          </w:tcPr>
          <w:p>
            <w:pPr>
              <w:jc w:val="center"/>
              <w:ind w:left="292"/>
              <w:spacing w:after="0"/>
              <w:rPr>
                <w:sz w:val="20"/>
                <w:szCs w:val="20"/>
                <w:color w:val="auto"/>
              </w:rPr>
            </w:pPr>
            <w:r>
              <w:rPr>
                <w:rFonts w:ascii="Arial" w:cs="Arial" w:eastAsia="Arial" w:hAnsi="Arial"/>
                <w:sz w:val="10"/>
                <w:szCs w:val="10"/>
                <w:b w:val="1"/>
                <w:bCs w:val="1"/>
                <w:color w:val="auto"/>
                <w:w w:val="98"/>
              </w:rPr>
              <w:t>Balance</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Allowance</w:t>
            </w:r>
          </w:p>
        </w:tc>
        <w:tc>
          <w:tcPr>
            <w:tcW w:w="200" w:type="dxa"/>
            <w:vAlign w:val="bottom"/>
          </w:tcPr>
          <w:p>
            <w:pPr>
              <w:spacing w:after="0"/>
              <w:rPr>
                <w:sz w:val="10"/>
                <w:szCs w:val="1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Allowance</w:t>
            </w:r>
          </w:p>
        </w:tc>
        <w:tc>
          <w:tcPr>
            <w:tcW w:w="200" w:type="dxa"/>
            <w:vAlign w:val="bottom"/>
          </w:tcPr>
          <w:p>
            <w:pPr>
              <w:spacing w:after="0"/>
              <w:rPr>
                <w:sz w:val="10"/>
                <w:szCs w:val="1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8"/>
              </w:rPr>
              <w:t>Investment</w:t>
            </w:r>
          </w:p>
        </w:tc>
        <w:tc>
          <w:tcPr>
            <w:tcW w:w="18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Allowance</w:t>
            </w:r>
          </w:p>
        </w:tc>
        <w:tc>
          <w:tcPr>
            <w:tcW w:w="200" w:type="dxa"/>
            <w:vAlign w:val="bottom"/>
          </w:tcPr>
          <w:p>
            <w:pPr>
              <w:spacing w:after="0"/>
              <w:rPr>
                <w:sz w:val="10"/>
                <w:szCs w:val="1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Investment</w:t>
            </w:r>
          </w:p>
        </w:tc>
        <w:tc>
          <w:tcPr>
            <w:tcW w:w="180" w:type="dxa"/>
            <w:vAlign w:val="bottom"/>
          </w:tcPr>
          <w:p>
            <w:pPr>
              <w:spacing w:after="0"/>
              <w:rPr>
                <w:sz w:val="10"/>
                <w:szCs w:val="10"/>
                <w:color w:val="auto"/>
              </w:rPr>
            </w:pPr>
          </w:p>
        </w:tc>
        <w:tc>
          <w:tcPr>
            <w:tcW w:w="980" w:type="dxa"/>
            <w:vAlign w:val="bottom"/>
          </w:tcPr>
          <w:p>
            <w:pPr>
              <w:jc w:val="right"/>
              <w:ind w:right="245"/>
              <w:spacing w:after="0"/>
              <w:rPr>
                <w:sz w:val="20"/>
                <w:szCs w:val="20"/>
                <w:color w:val="auto"/>
              </w:rPr>
            </w:pPr>
            <w:r>
              <w:rPr>
                <w:rFonts w:ascii="Arial" w:cs="Arial" w:eastAsia="Arial" w:hAnsi="Arial"/>
                <w:sz w:val="10"/>
                <w:szCs w:val="10"/>
                <w:b w:val="1"/>
                <w:bCs w:val="1"/>
                <w:color w:val="auto"/>
              </w:rPr>
              <w:t>Recognized</w:t>
            </w:r>
          </w:p>
        </w:tc>
        <w:tc>
          <w:tcPr>
            <w:tcW w:w="0" w:type="dxa"/>
            <w:vAlign w:val="bottom"/>
          </w:tcPr>
          <w:p>
            <w:pPr>
              <w:spacing w:after="0"/>
              <w:rPr>
                <w:sz w:val="1"/>
                <w:szCs w:val="1"/>
                <w:color w:val="auto"/>
              </w:rPr>
            </w:pPr>
          </w:p>
        </w:tc>
      </w:tr>
      <w:tr>
        <w:trPr>
          <w:trHeight w:val="20"/>
        </w:trPr>
        <w:tc>
          <w:tcPr>
            <w:tcW w:w="102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Real estate:</w:t>
            </w:r>
          </w:p>
        </w:tc>
        <w:tc>
          <w:tcPr>
            <w:tcW w:w="9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440" w:type="dxa"/>
            <w:vAlign w:val="bottom"/>
            <w:gridSpan w:val="2"/>
          </w:tcPr>
          <w:p>
            <w:pPr>
              <w:ind w:left="100"/>
              <w:spacing w:after="0"/>
              <w:rPr>
                <w:sz w:val="20"/>
                <w:szCs w:val="20"/>
                <w:color w:val="auto"/>
              </w:rPr>
            </w:pPr>
            <w:r>
              <w:rPr>
                <w:rFonts w:ascii="Arial" w:cs="Arial" w:eastAsia="Arial" w:hAnsi="Arial"/>
                <w:sz w:val="11"/>
                <w:szCs w:val="11"/>
                <w:color w:val="auto"/>
              </w:rPr>
              <w:t>Residential</w:t>
            </w:r>
          </w:p>
        </w:tc>
        <w:tc>
          <w:tcPr>
            <w:tcW w:w="920" w:type="dxa"/>
            <w:vAlign w:val="bottom"/>
          </w:tcPr>
          <w:p>
            <w:pPr>
              <w:jc w:val="right"/>
              <w:ind w:right="812"/>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4,476</w:t>
            </w:r>
          </w:p>
        </w:tc>
        <w:tc>
          <w:tcPr>
            <w:tcW w:w="80" w:type="dxa"/>
            <w:vAlign w:val="bottom"/>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8"/>
              <w:spacing w:after="0"/>
              <w:rPr>
                <w:sz w:val="20"/>
                <w:szCs w:val="20"/>
                <w:color w:val="auto"/>
              </w:rPr>
            </w:pPr>
            <w:r>
              <w:rPr>
                <w:rFonts w:ascii="Arial" w:cs="Arial" w:eastAsia="Arial" w:hAnsi="Arial"/>
                <w:sz w:val="11"/>
                <w:szCs w:val="11"/>
                <w:color w:val="auto"/>
              </w:rPr>
              <w:t>4,288</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8"/>
              <w:spacing w:after="0"/>
              <w:rPr>
                <w:sz w:val="20"/>
                <w:szCs w:val="20"/>
                <w:color w:val="auto"/>
              </w:rPr>
            </w:pPr>
            <w:r>
              <w:rPr>
                <w:rFonts w:ascii="Arial" w:cs="Arial" w:eastAsia="Arial" w:hAnsi="Arial"/>
                <w:sz w:val="11"/>
                <w:szCs w:val="11"/>
                <w:color w:val="auto"/>
              </w:rPr>
              <w:t>4,288</w:t>
            </w:r>
          </w:p>
        </w:tc>
        <w:tc>
          <w:tcPr>
            <w:tcW w:w="10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8"/>
              <w:spacing w:after="0"/>
              <w:rPr>
                <w:sz w:val="20"/>
                <w:szCs w:val="20"/>
                <w:color w:val="auto"/>
              </w:rPr>
            </w:pPr>
            <w:r>
              <w:rPr>
                <w:rFonts w:ascii="Arial" w:cs="Arial" w:eastAsia="Arial" w:hAnsi="Arial"/>
                <w:sz w:val="11"/>
                <w:szCs w:val="11"/>
                <w:color w:val="auto"/>
              </w:rPr>
              <w:t>4,629</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5"/>
              <w:spacing w:after="0"/>
              <w:rPr>
                <w:sz w:val="20"/>
                <w:szCs w:val="20"/>
                <w:color w:val="auto"/>
              </w:rPr>
            </w:pPr>
            <w:r>
              <w:rPr>
                <w:rFonts w:ascii="Arial" w:cs="Arial" w:eastAsia="Arial" w:hAnsi="Arial"/>
                <w:sz w:val="11"/>
                <w:szCs w:val="11"/>
                <w:color w:val="auto"/>
              </w:rPr>
              <w:t>149</w:t>
            </w:r>
          </w:p>
        </w:tc>
        <w:tc>
          <w:tcPr>
            <w:tcW w:w="0" w:type="dxa"/>
            <w:vAlign w:val="bottom"/>
          </w:tcPr>
          <w:p>
            <w:pPr>
              <w:spacing w:after="0"/>
              <w:rPr>
                <w:sz w:val="1"/>
                <w:szCs w:val="1"/>
                <w:color w:val="auto"/>
              </w:rPr>
            </w:pPr>
          </w:p>
        </w:tc>
      </w:tr>
      <w:tr>
        <w:trPr>
          <w:trHeight w:val="162"/>
        </w:trPr>
        <w:tc>
          <w:tcPr>
            <w:tcW w:w="24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Commercial</w:t>
            </w: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1,647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1,563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1,563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1,656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56"/>
        </w:trPr>
        <w:tc>
          <w:tcPr>
            <w:tcW w:w="2440" w:type="dxa"/>
            <w:vAlign w:val="bottom"/>
            <w:gridSpan w:val="2"/>
          </w:tcPr>
          <w:p>
            <w:pPr>
              <w:spacing w:after="0"/>
              <w:rPr>
                <w:sz w:val="20"/>
                <w:szCs w:val="20"/>
                <w:color w:val="auto"/>
              </w:rPr>
            </w:pPr>
            <w:r>
              <w:rPr>
                <w:rFonts w:ascii="Arial" w:cs="Arial" w:eastAsia="Arial" w:hAnsi="Arial"/>
                <w:sz w:val="11"/>
                <w:szCs w:val="11"/>
                <w:color w:val="auto"/>
              </w:rPr>
              <w:t>Construction</w:t>
            </w:r>
          </w:p>
        </w:tc>
        <w:tc>
          <w:tcPr>
            <w:tcW w:w="92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2,939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8"/>
              <w:spacing w:after="0"/>
              <w:rPr>
                <w:sz w:val="20"/>
                <w:szCs w:val="20"/>
                <w:color w:val="auto"/>
              </w:rPr>
            </w:pPr>
            <w:r>
              <w:rPr>
                <w:rFonts w:ascii="Arial" w:cs="Arial" w:eastAsia="Arial" w:hAnsi="Arial"/>
                <w:sz w:val="11"/>
                <w:szCs w:val="11"/>
                <w:color w:val="auto"/>
              </w:rPr>
              <w:t>2,837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60" w:type="dxa"/>
            <w:vAlign w:val="bottom"/>
          </w:tcPr>
          <w:p>
            <w:pPr>
              <w:jc w:val="right"/>
              <w:ind w:right="8"/>
              <w:spacing w:after="0"/>
              <w:rPr>
                <w:sz w:val="20"/>
                <w:szCs w:val="20"/>
                <w:color w:val="auto"/>
              </w:rPr>
            </w:pPr>
            <w:r>
              <w:rPr>
                <w:rFonts w:ascii="Arial" w:cs="Arial" w:eastAsia="Arial" w:hAnsi="Arial"/>
                <w:sz w:val="11"/>
                <w:szCs w:val="11"/>
                <w:color w:val="auto"/>
              </w:rPr>
              <w:t>2,837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00" w:type="dxa"/>
            <w:vAlign w:val="bottom"/>
          </w:tcPr>
          <w:p>
            <w:pPr>
              <w:jc w:val="right"/>
              <w:ind w:right="8"/>
              <w:spacing w:after="0"/>
              <w:rPr>
                <w:sz w:val="20"/>
                <w:szCs w:val="20"/>
                <w:color w:val="auto"/>
              </w:rPr>
            </w:pPr>
            <w:r>
              <w:rPr>
                <w:rFonts w:ascii="Arial" w:cs="Arial" w:eastAsia="Arial" w:hAnsi="Arial"/>
                <w:sz w:val="11"/>
                <w:szCs w:val="11"/>
                <w:color w:val="auto"/>
              </w:rPr>
              <w:t>2,938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5"/>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159"/>
        </w:trPr>
        <w:tc>
          <w:tcPr>
            <w:tcW w:w="2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Commercial and Industrial</w:t>
            </w:r>
          </w:p>
        </w:tc>
        <w:tc>
          <w:tcPr>
            <w:tcW w:w="9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899</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247</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458</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705</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372</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1,199</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153"/>
        </w:trPr>
        <w:tc>
          <w:tcPr>
            <w:tcW w:w="2440" w:type="dxa"/>
            <w:vAlign w:val="bottom"/>
            <w:gridSpan w:val="2"/>
          </w:tcPr>
          <w:p>
            <w:pPr>
              <w:ind w:left="100"/>
              <w:spacing w:after="0"/>
              <w:rPr>
                <w:sz w:val="20"/>
                <w:szCs w:val="20"/>
                <w:color w:val="auto"/>
              </w:rPr>
            </w:pPr>
            <w:r>
              <w:rPr>
                <w:rFonts w:ascii="Arial" w:cs="Arial" w:eastAsia="Arial" w:hAnsi="Arial"/>
                <w:sz w:val="11"/>
                <w:szCs w:val="11"/>
                <w:color w:val="auto"/>
              </w:rPr>
              <w:t>Total</w:t>
            </w:r>
          </w:p>
        </w:tc>
        <w:tc>
          <w:tcPr>
            <w:tcW w:w="920" w:type="dxa"/>
            <w:vAlign w:val="bottom"/>
            <w:tcBorders>
              <w:bottom w:val="single" w:sz="8" w:color="auto"/>
            </w:tcBorders>
          </w:tcPr>
          <w:p>
            <w:pPr>
              <w:jc w:val="right"/>
              <w:ind w:right="812"/>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9,961</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8,935</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458</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9,393</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372</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10,422</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353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98" w:name="page99"/>
    <w:bookmarkEnd w:id="98"/>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Portfolio Loans Receivable and Allowance for Credit Losses (continued)</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Credit quality indicators</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part of the ongoing monitoring of the credit quality of the Company’s loan portfolio, management tracks certain credit quality indicators including trends related to the risk grade of loans, the level of classified loans, net charge-offs, nonperforming loans, and general economic conditions in the Company’s market. From a credit risk standpoint, the Company utilizes a risk grading matrix to assign a risk grade to each of its loans. The classifications of loans reflect a judgment about the risk of expected credit loss associated with each loan. Credit quality indicators are reviewed and adjusted regularly to account for the degree of risk and expected credit loss that the Company believes to be appropriate for each financial asset.</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A description of the general characteristics of loans characterized as classified is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Pass</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Loans characterized as pass includes loans graded exceptional, very good, good, satisfactory and pass/watch. The Company believes that there is a low likelihood of credit deterioration related to those loans that are considered pass.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Special Mention</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Substandard</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Borrowers may exhibit recent or unexpected unprofitable operations, an inadequate debt service coverage ratio, or marginal liquidity and capitalization. These loans require more intense supervision by Company management.</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Doubtful</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 doubtful loan has all the weaknesses associated with a substandard loan with the added characteristic that the weaknesses make collection or liquidation in full, on the basis of currently existing facts, conditions, and values, highly questionable and improbable.</w:t>
      </w:r>
    </w:p>
    <w:p>
      <w:pPr>
        <w:spacing w:after="0" w:line="120" w:lineRule="exact"/>
        <w:rPr>
          <w:sz w:val="20"/>
          <w:szCs w:val="20"/>
          <w:color w:val="auto"/>
        </w:rPr>
      </w:pPr>
    </w:p>
    <w:p>
      <w:pPr>
        <w:jc w:val="both"/>
        <w:ind w:right="160"/>
        <w:spacing w:after="0" w:line="271" w:lineRule="auto"/>
        <w:rPr>
          <w:sz w:val="20"/>
          <w:szCs w:val="20"/>
          <w:color w:val="auto"/>
        </w:rPr>
      </w:pPr>
      <w:r>
        <w:rPr>
          <w:rFonts w:ascii="Arial" w:cs="Arial" w:eastAsia="Arial" w:hAnsi="Arial"/>
          <w:sz w:val="14"/>
          <w:szCs w:val="14"/>
          <w:color w:val="auto"/>
        </w:rPr>
        <w:t>The following table presents the balances of classified loans based on the most recent credit quality indicator analysis. Classified loans include Special Mention, Substandard and Doubtful loans. Pass classified loans include loans graded exceptional, very good, good, satisfactory, and pass/watch. Credit card loans are ungraded as they are not individually graded. Charge-offs presented represent gross charge-offs recognized in the current period: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99" w:name="page100"/>
    <w:bookmarkEnd w:id="99"/>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Portfolio Loans Receivable and Allowance for Credit Losses (continued)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40" w:type="dxa"/>
            <w:vAlign w:val="bottom"/>
          </w:tcPr>
          <w:p>
            <w:pPr>
              <w:ind w:left="20"/>
              <w:spacing w:after="0"/>
              <w:rPr>
                <w:sz w:val="20"/>
                <w:szCs w:val="20"/>
                <w:color w:val="auto"/>
              </w:rPr>
            </w:pPr>
            <w:r>
              <w:rPr>
                <w:rFonts w:ascii="Arial" w:cs="Arial" w:eastAsia="Arial" w:hAnsi="Arial"/>
                <w:sz w:val="11"/>
                <w:szCs w:val="11"/>
                <w:b w:val="1"/>
                <w:bCs w:val="1"/>
                <w:color w:val="auto"/>
              </w:rPr>
              <w:t>December 31, 2023</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8"/>
          </w:tcPr>
          <w:p>
            <w:pPr>
              <w:ind w:left="80"/>
              <w:spacing w:after="0"/>
              <w:rPr>
                <w:sz w:val="20"/>
                <w:szCs w:val="20"/>
                <w:color w:val="auto"/>
              </w:rPr>
            </w:pPr>
            <w:r>
              <w:rPr>
                <w:rFonts w:ascii="Arial" w:cs="Arial" w:eastAsia="Arial" w:hAnsi="Arial"/>
                <w:sz w:val="11"/>
                <w:szCs w:val="11"/>
                <w:color w:val="auto"/>
              </w:rPr>
              <w:t>Term Loans by Origination Year</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30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2019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Prior</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40" w:type="dxa"/>
            <w:vAlign w:val="bottom"/>
          </w:tcPr>
          <w:p>
            <w:pPr>
              <w:spacing w:after="0"/>
              <w:rPr>
                <w:sz w:val="14"/>
                <w:szCs w:val="14"/>
                <w:color w:val="auto"/>
              </w:rPr>
            </w:pPr>
          </w:p>
        </w:tc>
        <w:tc>
          <w:tcPr>
            <w:tcW w:w="800" w:type="dxa"/>
            <w:vAlign w:val="bottom"/>
          </w:tcPr>
          <w:p>
            <w:pPr>
              <w:jc w:val="right"/>
              <w:ind w:right="32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Residential – Real estate</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20"/>
              <w:spacing w:after="0"/>
              <w:rPr>
                <w:sz w:val="20"/>
                <w:szCs w:val="20"/>
                <w:color w:val="auto"/>
              </w:rPr>
            </w:pPr>
            <w:r>
              <w:rPr>
                <w:rFonts w:ascii="Arial" w:cs="Arial" w:eastAsia="Arial" w:hAnsi="Arial"/>
                <w:sz w:val="11"/>
                <w:szCs w:val="11"/>
                <w:color w:val="auto"/>
              </w:rPr>
              <w:t>Pass</w:t>
            </w:r>
          </w:p>
        </w:tc>
        <w:tc>
          <w:tcPr>
            <w:tcW w:w="220" w:type="dxa"/>
            <w:vAlign w:val="bottom"/>
            <w:gridSpan w:val="2"/>
          </w:tcPr>
          <w:p>
            <w:pPr>
              <w:jc w:val="right"/>
              <w:ind w:right="140"/>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140,394</w:t>
            </w:r>
          </w:p>
        </w:tc>
        <w:tc>
          <w:tcPr>
            <w:tcW w:w="80" w:type="dxa"/>
            <w:vAlign w:val="bottom"/>
          </w:tcPr>
          <w:p>
            <w:pPr>
              <w:spacing w:after="0"/>
              <w:rPr>
                <w:sz w:val="14"/>
                <w:szCs w:val="14"/>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137,362</w:t>
            </w:r>
          </w:p>
        </w:tc>
        <w:tc>
          <w:tcPr>
            <w:tcW w:w="80" w:type="dxa"/>
            <w:vAlign w:val="bottom"/>
          </w:tcPr>
          <w:p>
            <w:pPr>
              <w:spacing w:after="0"/>
              <w:rPr>
                <w:sz w:val="14"/>
                <w:szCs w:val="14"/>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76,556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76,938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36,122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88,055</w:t>
            </w:r>
          </w:p>
        </w:tc>
        <w:tc>
          <w:tcPr>
            <w:tcW w:w="8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555,427</w:t>
            </w:r>
          </w:p>
        </w:tc>
        <w:tc>
          <w:tcPr>
            <w:tcW w:w="0" w:type="dxa"/>
            <w:vAlign w:val="bottom"/>
          </w:tcPr>
          <w:p>
            <w:pPr>
              <w:spacing w:after="0"/>
              <w:rPr>
                <w:sz w:val="1"/>
                <w:szCs w:val="1"/>
                <w:color w:val="auto"/>
              </w:rPr>
            </w:pPr>
          </w:p>
        </w:tc>
      </w:tr>
      <w:tr>
        <w:trPr>
          <w:trHeight w:val="173"/>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Special Mention</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3,670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5,268</w:t>
            </w:r>
          </w:p>
        </w:tc>
        <w:tc>
          <w:tcPr>
            <w:tcW w:w="0" w:type="dxa"/>
            <w:vAlign w:val="bottom"/>
          </w:tcPr>
          <w:p>
            <w:pPr>
              <w:spacing w:after="0"/>
              <w:rPr>
                <w:sz w:val="1"/>
                <w:szCs w:val="1"/>
                <w:color w:val="auto"/>
              </w:rPr>
            </w:pPr>
          </w:p>
        </w:tc>
      </w:tr>
      <w:tr>
        <w:trPr>
          <w:trHeight w:val="161"/>
        </w:trPr>
        <w:tc>
          <w:tcPr>
            <w:tcW w:w="2740" w:type="dxa"/>
            <w:vAlign w:val="bottom"/>
          </w:tcPr>
          <w:p>
            <w:pPr>
              <w:ind w:left="20"/>
              <w:spacing w:after="0"/>
              <w:rPr>
                <w:sz w:val="20"/>
                <w:szCs w:val="20"/>
                <w:color w:val="auto"/>
              </w:rPr>
            </w:pPr>
            <w:r>
              <w:rPr>
                <w:rFonts w:ascii="Arial" w:cs="Arial" w:eastAsia="Arial" w:hAnsi="Arial"/>
                <w:sz w:val="11"/>
                <w:szCs w:val="11"/>
                <w:color w:val="auto"/>
              </w:rPr>
              <w:t>Substandard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12,350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12,409</w:t>
            </w: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Doubtful</w:t>
            </w: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740" w:type="dxa"/>
            <w:vAlign w:val="bottom"/>
          </w:tcPr>
          <w:p>
            <w:pPr>
              <w:ind w:left="20"/>
              <w:spacing w:after="0"/>
              <w:rPr>
                <w:sz w:val="20"/>
                <w:szCs w:val="20"/>
                <w:color w:val="auto"/>
              </w:rPr>
            </w:pPr>
            <w:r>
              <w:rPr>
                <w:rFonts w:ascii="Arial" w:cs="Arial" w:eastAsia="Arial" w:hAnsi="Arial"/>
                <w:sz w:val="11"/>
                <w:szCs w:val="11"/>
                <w:color w:val="auto"/>
              </w:rPr>
              <w:t>Total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140,394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137,395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76,690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80,608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37,324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100,693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573,104</w:t>
            </w: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 Real estate</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20"/>
              <w:spacing w:after="0"/>
              <w:rPr>
                <w:sz w:val="20"/>
                <w:szCs w:val="20"/>
                <w:color w:val="auto"/>
              </w:rPr>
            </w:pPr>
            <w:r>
              <w:rPr>
                <w:rFonts w:ascii="Arial" w:cs="Arial" w:eastAsia="Arial" w:hAnsi="Arial"/>
                <w:sz w:val="11"/>
                <w:szCs w:val="11"/>
                <w:color w:val="auto"/>
              </w:rPr>
              <w:t>Pass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62,095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185,776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145,756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68,748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96,238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116,347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674,960</w:t>
            </w: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Special Mention</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6,897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805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985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8,687</w:t>
            </w:r>
          </w:p>
        </w:tc>
        <w:tc>
          <w:tcPr>
            <w:tcW w:w="0" w:type="dxa"/>
            <w:vAlign w:val="bottom"/>
          </w:tcPr>
          <w:p>
            <w:pPr>
              <w:spacing w:after="0"/>
              <w:rPr>
                <w:sz w:val="1"/>
                <w:szCs w:val="1"/>
                <w:color w:val="auto"/>
              </w:rPr>
            </w:pPr>
          </w:p>
        </w:tc>
      </w:tr>
      <w:tr>
        <w:trPr>
          <w:trHeight w:val="161"/>
        </w:trPr>
        <w:tc>
          <w:tcPr>
            <w:tcW w:w="2740" w:type="dxa"/>
            <w:vAlign w:val="bottom"/>
          </w:tcPr>
          <w:p>
            <w:pPr>
              <w:ind w:left="20"/>
              <w:spacing w:after="0"/>
              <w:rPr>
                <w:sz w:val="20"/>
                <w:szCs w:val="20"/>
                <w:color w:val="auto"/>
              </w:rPr>
            </w:pPr>
            <w:r>
              <w:rPr>
                <w:rFonts w:ascii="Arial" w:cs="Arial" w:eastAsia="Arial" w:hAnsi="Arial"/>
                <w:sz w:val="11"/>
                <w:szCs w:val="11"/>
                <w:color w:val="auto"/>
              </w:rPr>
              <w:t>Substandard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582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582</w:t>
            </w: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Doubtful</w:t>
            </w: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740" w:type="dxa"/>
            <w:vAlign w:val="bottom"/>
          </w:tcPr>
          <w:p>
            <w:pPr>
              <w:ind w:left="20"/>
              <w:spacing w:after="0"/>
              <w:rPr>
                <w:sz w:val="20"/>
                <w:szCs w:val="20"/>
                <w:color w:val="auto"/>
              </w:rPr>
            </w:pPr>
            <w:r>
              <w:rPr>
                <w:rFonts w:ascii="Arial" w:cs="Arial" w:eastAsia="Arial" w:hAnsi="Arial"/>
                <w:sz w:val="11"/>
                <w:szCs w:val="11"/>
                <w:color w:val="auto"/>
              </w:rPr>
              <w:t>Total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62,095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192,673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145,756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68,748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97,625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117,332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684,229</w:t>
            </w: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Construction – Real estate</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20"/>
              <w:spacing w:after="0"/>
              <w:rPr>
                <w:sz w:val="20"/>
                <w:szCs w:val="20"/>
                <w:color w:val="auto"/>
              </w:rPr>
            </w:pPr>
            <w:r>
              <w:rPr>
                <w:rFonts w:ascii="Arial" w:cs="Arial" w:eastAsia="Arial" w:hAnsi="Arial"/>
                <w:sz w:val="11"/>
                <w:szCs w:val="11"/>
                <w:color w:val="auto"/>
              </w:rPr>
              <w:t>Pass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142,157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72,240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46,180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16,859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6,246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2,517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286,199</w:t>
            </w: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Special Mention</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614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614</w:t>
            </w:r>
          </w:p>
        </w:tc>
        <w:tc>
          <w:tcPr>
            <w:tcW w:w="0" w:type="dxa"/>
            <w:vAlign w:val="bottom"/>
          </w:tcPr>
          <w:p>
            <w:pPr>
              <w:spacing w:after="0"/>
              <w:rPr>
                <w:sz w:val="1"/>
                <w:szCs w:val="1"/>
                <w:color w:val="auto"/>
              </w:rPr>
            </w:pPr>
          </w:p>
        </w:tc>
      </w:tr>
      <w:tr>
        <w:trPr>
          <w:trHeight w:val="161"/>
        </w:trPr>
        <w:tc>
          <w:tcPr>
            <w:tcW w:w="2740" w:type="dxa"/>
            <w:vAlign w:val="bottom"/>
          </w:tcPr>
          <w:p>
            <w:pPr>
              <w:ind w:left="20"/>
              <w:spacing w:after="0"/>
              <w:rPr>
                <w:sz w:val="20"/>
                <w:szCs w:val="20"/>
                <w:color w:val="auto"/>
              </w:rPr>
            </w:pPr>
            <w:r>
              <w:rPr>
                <w:rFonts w:ascii="Arial" w:cs="Arial" w:eastAsia="Arial" w:hAnsi="Arial"/>
                <w:sz w:val="11"/>
                <w:szCs w:val="11"/>
                <w:color w:val="auto"/>
              </w:rPr>
              <w:t>Substandard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1,254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597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1,444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3,295</w:t>
            </w: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Doubtful</w:t>
            </w: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740" w:type="dxa"/>
            <w:vAlign w:val="bottom"/>
          </w:tcPr>
          <w:p>
            <w:pPr>
              <w:ind w:left="20"/>
              <w:spacing w:after="0"/>
              <w:rPr>
                <w:sz w:val="20"/>
                <w:szCs w:val="20"/>
                <w:color w:val="auto"/>
              </w:rPr>
            </w:pPr>
            <w:r>
              <w:rPr>
                <w:rFonts w:ascii="Arial" w:cs="Arial" w:eastAsia="Arial" w:hAnsi="Arial"/>
                <w:sz w:val="11"/>
                <w:szCs w:val="11"/>
                <w:color w:val="auto"/>
              </w:rPr>
              <w:t>Total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142,157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72,240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46,180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18,113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6,843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4,575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290,108</w:t>
            </w: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and Industrial</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20"/>
              <w:spacing w:after="0"/>
              <w:rPr>
                <w:sz w:val="20"/>
                <w:szCs w:val="20"/>
                <w:color w:val="auto"/>
              </w:rPr>
            </w:pPr>
            <w:r>
              <w:rPr>
                <w:rFonts w:ascii="Arial" w:cs="Arial" w:eastAsia="Arial" w:hAnsi="Arial"/>
                <w:sz w:val="11"/>
                <w:szCs w:val="11"/>
                <w:color w:val="auto"/>
              </w:rPr>
              <w:t>Pass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70,540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71,689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27,884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8,827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18,036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37,392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234,368</w:t>
            </w: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Special Mention</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2,406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2,882</w:t>
            </w:r>
          </w:p>
        </w:tc>
        <w:tc>
          <w:tcPr>
            <w:tcW w:w="0" w:type="dxa"/>
            <w:vAlign w:val="bottom"/>
          </w:tcPr>
          <w:p>
            <w:pPr>
              <w:spacing w:after="0"/>
              <w:rPr>
                <w:sz w:val="1"/>
                <w:szCs w:val="1"/>
                <w:color w:val="auto"/>
              </w:rPr>
            </w:pPr>
          </w:p>
        </w:tc>
      </w:tr>
      <w:tr>
        <w:trPr>
          <w:trHeight w:val="161"/>
        </w:trPr>
        <w:tc>
          <w:tcPr>
            <w:tcW w:w="2740" w:type="dxa"/>
            <w:vAlign w:val="bottom"/>
          </w:tcPr>
          <w:p>
            <w:pPr>
              <w:ind w:left="20"/>
              <w:spacing w:after="0"/>
              <w:rPr>
                <w:sz w:val="20"/>
                <w:szCs w:val="20"/>
                <w:color w:val="auto"/>
              </w:rPr>
            </w:pPr>
            <w:r>
              <w:rPr>
                <w:rFonts w:ascii="Arial" w:cs="Arial" w:eastAsia="Arial" w:hAnsi="Arial"/>
                <w:sz w:val="11"/>
                <w:szCs w:val="11"/>
                <w:color w:val="auto"/>
              </w:rPr>
              <w:t>Substandard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814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211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42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201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1,298</w:t>
            </w: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Doubtful</w:t>
            </w: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740" w:type="dxa"/>
            <w:vAlign w:val="bottom"/>
          </w:tcPr>
          <w:p>
            <w:pPr>
              <w:ind w:left="20"/>
              <w:spacing w:after="0"/>
              <w:rPr>
                <w:sz w:val="20"/>
                <w:szCs w:val="20"/>
                <w:color w:val="auto"/>
              </w:rPr>
            </w:pPr>
            <w:r>
              <w:rPr>
                <w:rFonts w:ascii="Arial" w:cs="Arial" w:eastAsia="Arial" w:hAnsi="Arial"/>
                <w:sz w:val="11"/>
                <w:szCs w:val="11"/>
                <w:color w:val="auto"/>
              </w:rPr>
              <w:t>Total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70,570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72,659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28,095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11,233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18,125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37,866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238,548</w:t>
            </w: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consumer</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20"/>
              <w:spacing w:after="0"/>
              <w:rPr>
                <w:sz w:val="20"/>
                <w:szCs w:val="20"/>
                <w:color w:val="auto"/>
              </w:rPr>
            </w:pPr>
            <w:r>
              <w:rPr>
                <w:rFonts w:ascii="Arial" w:cs="Arial" w:eastAsia="Arial" w:hAnsi="Arial"/>
                <w:sz w:val="11"/>
                <w:szCs w:val="11"/>
                <w:color w:val="auto"/>
              </w:rPr>
              <w:t>Pass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75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278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147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116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334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950</w:t>
            </w: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Special Mention</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2740" w:type="dxa"/>
            <w:vAlign w:val="bottom"/>
          </w:tcPr>
          <w:p>
            <w:pPr>
              <w:ind w:left="20"/>
              <w:spacing w:after="0"/>
              <w:rPr>
                <w:sz w:val="20"/>
                <w:szCs w:val="20"/>
                <w:color w:val="auto"/>
              </w:rPr>
            </w:pPr>
            <w:r>
              <w:rPr>
                <w:rFonts w:ascii="Arial" w:cs="Arial" w:eastAsia="Arial" w:hAnsi="Arial"/>
                <w:sz w:val="11"/>
                <w:szCs w:val="11"/>
                <w:color w:val="auto"/>
              </w:rPr>
              <w:t>Substandard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Doubtful</w:t>
            </w: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740" w:type="dxa"/>
            <w:vAlign w:val="bottom"/>
          </w:tcPr>
          <w:p>
            <w:pPr>
              <w:ind w:left="20"/>
              <w:spacing w:after="0"/>
              <w:rPr>
                <w:sz w:val="20"/>
                <w:szCs w:val="20"/>
                <w:color w:val="auto"/>
              </w:rPr>
            </w:pPr>
            <w:r>
              <w:rPr>
                <w:rFonts w:ascii="Arial" w:cs="Arial" w:eastAsia="Arial" w:hAnsi="Arial"/>
                <w:sz w:val="11"/>
                <w:szCs w:val="11"/>
                <w:color w:val="auto"/>
              </w:rPr>
              <w:t>Total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75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278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147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116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334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950</w:t>
            </w: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Credit card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20"/>
              <w:spacing w:after="0"/>
              <w:rPr>
                <w:sz w:val="20"/>
                <w:szCs w:val="20"/>
                <w:color w:val="auto"/>
              </w:rPr>
            </w:pPr>
            <w:r>
              <w:rPr>
                <w:rFonts w:ascii="Arial" w:cs="Arial" w:eastAsia="Arial" w:hAnsi="Arial"/>
                <w:sz w:val="11"/>
                <w:szCs w:val="11"/>
                <w:color w:val="auto"/>
              </w:rPr>
              <w:t>Ungraded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123,331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123,331</w:t>
            </w:r>
          </w:p>
        </w:tc>
        <w:tc>
          <w:tcPr>
            <w:tcW w:w="0" w:type="dxa"/>
            <w:vAlign w:val="bottom"/>
          </w:tcPr>
          <w:p>
            <w:pPr>
              <w:spacing w:after="0"/>
              <w:rPr>
                <w:sz w:val="1"/>
                <w:szCs w:val="1"/>
                <w:color w:val="auto"/>
              </w:rPr>
            </w:pPr>
          </w:p>
        </w:tc>
      </w:tr>
      <w:tr>
        <w:trPr>
          <w:trHeight w:val="185"/>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Portfolio loans receivable, gross</w:t>
            </w:r>
          </w:p>
        </w:tc>
        <w:tc>
          <w:tcPr>
            <w:tcW w:w="2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415,291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475,245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296,868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178,818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159,917</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260,800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123,331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1,910,270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December 31, 2023</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30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Arial" w:cs="Arial" w:eastAsia="Arial" w:hAnsi="Arial"/>
                <w:sz w:val="11"/>
                <w:szCs w:val="11"/>
                <w:b w:val="1"/>
                <w:bCs w:val="1"/>
                <w:color w:val="auto"/>
              </w:rPr>
              <w:t>Prior</w:t>
            </w:r>
          </w:p>
        </w:tc>
        <w:tc>
          <w:tcPr>
            <w:tcW w:w="16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40" w:type="dxa"/>
            <w:vAlign w:val="bottom"/>
          </w:tcPr>
          <w:p>
            <w:pPr>
              <w:spacing w:after="0"/>
              <w:rPr>
                <w:sz w:val="15"/>
                <w:szCs w:val="15"/>
                <w:color w:val="auto"/>
              </w:rPr>
            </w:pPr>
          </w:p>
        </w:tc>
        <w:tc>
          <w:tcPr>
            <w:tcW w:w="800" w:type="dxa"/>
            <w:vAlign w:val="bottom"/>
          </w:tcPr>
          <w:p>
            <w:pPr>
              <w:jc w:val="right"/>
              <w:ind w:right="32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Gross Charge-offs</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20"/>
              <w:spacing w:after="0"/>
              <w:rPr>
                <w:sz w:val="20"/>
                <w:szCs w:val="20"/>
                <w:color w:val="auto"/>
              </w:rPr>
            </w:pPr>
            <w:r>
              <w:rPr>
                <w:rFonts w:ascii="Arial" w:cs="Arial" w:eastAsia="Arial" w:hAnsi="Arial"/>
                <w:sz w:val="11"/>
                <w:szCs w:val="11"/>
                <w:color w:val="auto"/>
              </w:rPr>
              <w:t>Residential</w:t>
            </w:r>
          </w:p>
        </w:tc>
        <w:tc>
          <w:tcPr>
            <w:tcW w:w="220" w:type="dxa"/>
            <w:vAlign w:val="bottom"/>
            <w:gridSpan w:val="2"/>
          </w:tcPr>
          <w:p>
            <w:pPr>
              <w:jc w:val="right"/>
              <w:ind w:right="140"/>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gridSpan w:val="3"/>
          </w:tcPr>
          <w:p>
            <w:pPr>
              <w:ind w:left="660"/>
              <w:spacing w:after="0"/>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3"/>
          </w:tcPr>
          <w:p>
            <w:pPr>
              <w:ind w:left="580"/>
              <w:spacing w:after="0"/>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670</w:t>
            </w:r>
          </w:p>
        </w:tc>
        <w:tc>
          <w:tcPr>
            <w:tcW w:w="8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670</w:t>
            </w:r>
          </w:p>
        </w:tc>
        <w:tc>
          <w:tcPr>
            <w:tcW w:w="0" w:type="dxa"/>
            <w:vAlign w:val="bottom"/>
          </w:tcPr>
          <w:p>
            <w:pPr>
              <w:spacing w:after="0"/>
              <w:rPr>
                <w:sz w:val="1"/>
                <w:szCs w:val="1"/>
                <w:color w:val="auto"/>
              </w:rPr>
            </w:pPr>
          </w:p>
        </w:tc>
      </w:tr>
      <w:tr>
        <w:trPr>
          <w:trHeight w:val="173"/>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Commercial</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943</w:t>
            </w:r>
          </w:p>
        </w:tc>
        <w:tc>
          <w:tcPr>
            <w:tcW w:w="0" w:type="dxa"/>
            <w:vAlign w:val="bottom"/>
          </w:tcPr>
          <w:p>
            <w:pPr>
              <w:spacing w:after="0"/>
              <w:rPr>
                <w:sz w:val="1"/>
                <w:szCs w:val="1"/>
                <w:color w:val="auto"/>
              </w:rPr>
            </w:pPr>
          </w:p>
        </w:tc>
      </w:tr>
      <w:tr>
        <w:trPr>
          <w:trHeight w:val="167"/>
        </w:trPr>
        <w:tc>
          <w:tcPr>
            <w:tcW w:w="2740" w:type="dxa"/>
            <w:vAlign w:val="bottom"/>
          </w:tcPr>
          <w:p>
            <w:pPr>
              <w:ind w:left="20"/>
              <w:spacing w:after="0"/>
              <w:rPr>
                <w:sz w:val="20"/>
                <w:szCs w:val="20"/>
                <w:color w:val="auto"/>
              </w:rPr>
            </w:pPr>
            <w:r>
              <w:rPr>
                <w:rFonts w:ascii="Arial" w:cs="Arial" w:eastAsia="Arial" w:hAnsi="Arial"/>
                <w:sz w:val="11"/>
                <w:szCs w:val="11"/>
                <w:color w:val="auto"/>
              </w:rPr>
              <w:t>Commercial and Industrial</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ind w:left="6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ind w:left="5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98</w:t>
            </w:r>
          </w:p>
        </w:tc>
        <w:tc>
          <w:tcPr>
            <w:tcW w:w="0" w:type="dxa"/>
            <w:vAlign w:val="bottom"/>
          </w:tcPr>
          <w:p>
            <w:pPr>
              <w:spacing w:after="0"/>
              <w:rPr>
                <w:sz w:val="1"/>
                <w:szCs w:val="1"/>
                <w:color w:val="auto"/>
              </w:rPr>
            </w:pPr>
          </w:p>
        </w:tc>
      </w:tr>
      <w:tr>
        <w:trPr>
          <w:trHeight w:val="173"/>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Credit card</w:t>
            </w: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7,076</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7,076</w:t>
            </w:r>
          </w:p>
        </w:tc>
        <w:tc>
          <w:tcPr>
            <w:tcW w:w="0" w:type="dxa"/>
            <w:vAlign w:val="bottom"/>
          </w:tcPr>
          <w:p>
            <w:pPr>
              <w:spacing w:after="0"/>
              <w:rPr>
                <w:sz w:val="1"/>
                <w:szCs w:val="1"/>
                <w:color w:val="auto"/>
              </w:rPr>
            </w:pPr>
          </w:p>
        </w:tc>
      </w:tr>
      <w:tr>
        <w:trPr>
          <w:trHeight w:val="152"/>
        </w:trPr>
        <w:tc>
          <w:tcPr>
            <w:tcW w:w="2740" w:type="dxa"/>
            <w:vAlign w:val="bottom"/>
          </w:tcPr>
          <w:p>
            <w:pPr>
              <w:ind w:left="20"/>
              <w:spacing w:after="0"/>
              <w:rPr>
                <w:sz w:val="20"/>
                <w:szCs w:val="20"/>
                <w:color w:val="auto"/>
              </w:rPr>
            </w:pPr>
            <w:r>
              <w:rPr>
                <w:rFonts w:ascii="Arial" w:cs="Arial" w:eastAsia="Arial" w:hAnsi="Arial"/>
                <w:sz w:val="11"/>
                <w:szCs w:val="11"/>
                <w:b w:val="1"/>
                <w:bCs w:val="1"/>
                <w:color w:val="auto"/>
              </w:rPr>
              <w:t>Total</w:t>
            </w:r>
          </w:p>
        </w:tc>
        <w:tc>
          <w:tcPr>
            <w:tcW w:w="220" w:type="dxa"/>
            <w:vAlign w:val="bottom"/>
            <w:gridSpan w:val="2"/>
          </w:tcPr>
          <w:p>
            <w:pPr>
              <w:jc w:val="right"/>
              <w:ind w:right="140"/>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98</w:t>
            </w:r>
          </w:p>
        </w:tc>
        <w:tc>
          <w:tcPr>
            <w:tcW w:w="80" w:type="dxa"/>
            <w:vAlign w:val="bottom"/>
          </w:tcPr>
          <w:p>
            <w:pPr>
              <w:spacing w:after="0"/>
              <w:rPr>
                <w:sz w:val="13"/>
                <w:szCs w:val="13"/>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gridSpan w:val="3"/>
          </w:tcPr>
          <w:p>
            <w:pPr>
              <w:ind w:left="660"/>
              <w:spacing w:after="0"/>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3"/>
          </w:tcPr>
          <w:p>
            <w:pPr>
              <w:ind w:left="580"/>
              <w:spacing w:after="0"/>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943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670</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7,076</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8,787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00" w:name="page101"/>
    <w:bookmarkEnd w:id="100"/>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Portfolio Loans Receivable and Allowance for Credit Losses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balances of classified loans based on the credit quality indicator:</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40" w:type="dxa"/>
            <w:vAlign w:val="bottom"/>
            <w:gridSpan w:val="2"/>
          </w:tcPr>
          <w:p>
            <w:pPr>
              <w:spacing w:after="0"/>
              <w:rPr>
                <w:sz w:val="20"/>
                <w:szCs w:val="20"/>
                <w:color w:val="auto"/>
              </w:rPr>
            </w:pPr>
            <w:r>
              <w:rPr>
                <w:rFonts w:ascii="Arial" w:cs="Arial" w:eastAsia="Arial" w:hAnsi="Arial"/>
                <w:sz w:val="8"/>
                <w:szCs w:val="8"/>
                <w:i w:val="1"/>
                <w:iCs w:val="1"/>
                <w:color w:val="auto"/>
              </w:rPr>
              <w:t>(in thousands)</w:t>
            </w:r>
          </w:p>
        </w:tc>
        <w:tc>
          <w:tcPr>
            <w:tcW w:w="28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1"/>
                <w:szCs w:val="11"/>
                <w:b w:val="1"/>
                <w:bCs w:val="1"/>
                <w:color w:val="auto"/>
              </w:rPr>
              <w:t>Pass</w:t>
            </w:r>
            <w:r>
              <w:rPr>
                <w:rFonts w:ascii="Arial" w:cs="Arial" w:eastAsia="Arial" w:hAnsi="Arial"/>
                <w:sz w:val="14"/>
                <w:szCs w:val="14"/>
                <w:b w:val="1"/>
                <w:bCs w:val="1"/>
                <w:color w:val="auto"/>
                <w:vertAlign w:val="superscript"/>
              </w:rPr>
              <w:t>(1)</w:t>
            </w: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Special Mention</w:t>
            </w:r>
          </w:p>
        </w:tc>
        <w:tc>
          <w:tcPr>
            <w:tcW w:w="20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1"/>
                <w:szCs w:val="11"/>
                <w:b w:val="1"/>
                <w:bCs w:val="1"/>
                <w:color w:val="auto"/>
              </w:rPr>
              <w:t>Substandard</w:t>
            </w:r>
          </w:p>
        </w:tc>
        <w:tc>
          <w:tcPr>
            <w:tcW w:w="1000" w:type="dxa"/>
            <w:vAlign w:val="bottom"/>
          </w:tcPr>
          <w:p>
            <w:pPr>
              <w:jc w:val="right"/>
              <w:ind w:right="59"/>
              <w:spacing w:after="0"/>
              <w:rPr>
                <w:sz w:val="20"/>
                <w:szCs w:val="20"/>
                <w:color w:val="auto"/>
              </w:rPr>
            </w:pPr>
            <w:r>
              <w:rPr>
                <w:rFonts w:ascii="Arial" w:cs="Arial" w:eastAsia="Arial" w:hAnsi="Arial"/>
                <w:sz w:val="11"/>
                <w:szCs w:val="11"/>
                <w:b w:val="1"/>
                <w:bCs w:val="1"/>
                <w:color w:val="auto"/>
              </w:rPr>
              <w:t>Doubtful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1"/>
                <w:szCs w:val="11"/>
                <w:b w:val="1"/>
                <w:bCs w:val="1"/>
                <w:color w:val="auto"/>
              </w:rPr>
              <w:t>Ungraded</w:t>
            </w:r>
            <w:r>
              <w:rPr>
                <w:rFonts w:ascii="Arial" w:cs="Arial" w:eastAsia="Arial" w:hAnsi="Arial"/>
                <w:sz w:val="14"/>
                <w:szCs w:val="14"/>
                <w:b w:val="1"/>
                <w:bCs w:val="1"/>
                <w:color w:val="auto"/>
                <w:vertAlign w:val="superscript"/>
              </w:rPr>
              <w:t>(2)</w:t>
            </w:r>
          </w:p>
        </w:tc>
        <w:tc>
          <w:tcPr>
            <w:tcW w:w="300" w:type="dxa"/>
            <w:vAlign w:val="bottom"/>
          </w:tcPr>
          <w:p>
            <w:pPr>
              <w:spacing w:after="0"/>
              <w:rPr>
                <w:sz w:val="14"/>
                <w:szCs w:val="14"/>
                <w:color w:val="auto"/>
              </w:rPr>
            </w:pPr>
          </w:p>
        </w:tc>
        <w:tc>
          <w:tcPr>
            <w:tcW w:w="1020" w:type="dxa"/>
            <w:vAlign w:val="bottom"/>
          </w:tcPr>
          <w:p>
            <w:pPr>
              <w:jc w:val="right"/>
              <w:ind w:right="477"/>
              <w:spacing w:after="0"/>
              <w:rPr>
                <w:sz w:val="20"/>
                <w:szCs w:val="20"/>
                <w:color w:val="auto"/>
              </w:rPr>
            </w:pPr>
            <w:r>
              <w:rPr>
                <w:rFonts w:ascii="Arial" w:cs="Arial" w:eastAsia="Arial" w:hAnsi="Arial"/>
                <w:sz w:val="11"/>
                <w:szCs w:val="11"/>
                <w:b w:val="1"/>
                <w:bCs w:val="1"/>
                <w:color w:val="auto"/>
              </w:rPr>
              <w:t>Total</w:t>
            </w:r>
          </w:p>
        </w:tc>
      </w:tr>
      <w:tr>
        <w:trPr>
          <w:trHeight w:val="130"/>
        </w:trPr>
        <w:tc>
          <w:tcPr>
            <w:tcW w:w="1160" w:type="dxa"/>
            <w:vAlign w:val="bottom"/>
            <w:tcBorders>
              <w:top w:val="single" w:sz="8" w:color="CCEEFF"/>
              <w:bottom w:val="single" w:sz="8" w:color="auto"/>
            </w:tcBorders>
            <w:shd w:val="clear" w:color="auto" w:fill="CCEEFF"/>
          </w:tcPr>
          <w:p>
            <w:pPr>
              <w:spacing w:after="0" w:line="118" w:lineRule="exact"/>
              <w:rPr>
                <w:sz w:val="20"/>
                <w:szCs w:val="20"/>
                <w:color w:val="auto"/>
              </w:rPr>
            </w:pPr>
            <w:r>
              <w:rPr>
                <w:rFonts w:ascii="Arial" w:cs="Arial" w:eastAsia="Arial" w:hAnsi="Arial"/>
                <w:sz w:val="13"/>
                <w:szCs w:val="13"/>
                <w:b w:val="1"/>
                <w:bCs w:val="1"/>
                <w:color w:val="auto"/>
                <w:w w:val="97"/>
              </w:rPr>
              <w:t>December 31, 2022</w:t>
            </w:r>
          </w:p>
        </w:tc>
        <w:tc>
          <w:tcPr>
            <w:tcW w:w="168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0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114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110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11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9"/>
        </w:trPr>
        <w:tc>
          <w:tcPr>
            <w:tcW w:w="2840" w:type="dxa"/>
            <w:vAlign w:val="bottom"/>
            <w:gridSpan w:val="2"/>
          </w:tcPr>
          <w:p>
            <w:pPr>
              <w:spacing w:after="0"/>
              <w:rPr>
                <w:sz w:val="20"/>
                <w:szCs w:val="20"/>
                <w:color w:val="auto"/>
              </w:rPr>
            </w:pPr>
            <w:r>
              <w:rPr>
                <w:rFonts w:ascii="Arial" w:cs="Arial" w:eastAsia="Arial" w:hAnsi="Arial"/>
                <w:sz w:val="13"/>
                <w:szCs w:val="13"/>
                <w:color w:val="auto"/>
              </w:rPr>
              <w:t>Real estate:</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8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Residential</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469,304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5,465</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484,735</w:t>
            </w:r>
          </w:p>
        </w:tc>
      </w:tr>
      <w:tr>
        <w:trPr>
          <w:trHeight w:val="169"/>
        </w:trPr>
        <w:tc>
          <w:tcPr>
            <w:tcW w:w="2840" w:type="dxa"/>
            <w:vAlign w:val="bottom"/>
            <w:gridSpan w:val="2"/>
          </w:tcPr>
          <w:p>
            <w:pPr>
              <w:ind w:left="140"/>
              <w:spacing w:after="0"/>
              <w:rPr>
                <w:sz w:val="20"/>
                <w:szCs w:val="20"/>
                <w:color w:val="auto"/>
              </w:rPr>
            </w:pPr>
            <w:r>
              <w:rPr>
                <w:rFonts w:ascii="Arial" w:cs="Arial" w:eastAsia="Arial" w:hAnsi="Arial"/>
                <w:sz w:val="13"/>
                <w:szCs w:val="13"/>
                <w:color w:val="auto"/>
              </w:rPr>
              <w:t>Commercial</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657,411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5,577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1,563</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664,551</w:t>
            </w:r>
          </w:p>
        </w:tc>
      </w:tr>
      <w:tr>
        <w:trPr>
          <w:trHeight w:val="171"/>
        </w:trPr>
        <w:tc>
          <w:tcPr>
            <w:tcW w:w="28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Construction</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235,262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2,837</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238,099</w:t>
            </w:r>
          </w:p>
        </w:tc>
      </w:tr>
      <w:tr>
        <w:trPr>
          <w:trHeight w:val="169"/>
        </w:trPr>
        <w:tc>
          <w:tcPr>
            <w:tcW w:w="2840" w:type="dxa"/>
            <w:vAlign w:val="bottom"/>
            <w:gridSpan w:val="2"/>
          </w:tcPr>
          <w:p>
            <w:pPr>
              <w:spacing w:after="0"/>
              <w:rPr>
                <w:sz w:val="20"/>
                <w:szCs w:val="20"/>
                <w:color w:val="auto"/>
              </w:rPr>
            </w:pPr>
            <w:r>
              <w:rPr>
                <w:rFonts w:ascii="Arial" w:cs="Arial" w:eastAsia="Arial" w:hAnsi="Arial"/>
                <w:sz w:val="13"/>
                <w:szCs w:val="13"/>
                <w:color w:val="auto"/>
              </w:rPr>
              <w:t>Commercial and Industrial</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196,381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22,469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220,221</w:t>
            </w:r>
          </w:p>
        </w:tc>
      </w:tr>
      <w:tr>
        <w:trPr>
          <w:trHeight w:val="171"/>
        </w:trPr>
        <w:tc>
          <w:tcPr>
            <w:tcW w:w="2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Credit card</w:t>
            </w:r>
          </w:p>
        </w:tc>
        <w:tc>
          <w:tcPr>
            <w:tcW w:w="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128,434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128,434</w:t>
            </w:r>
          </w:p>
        </w:tc>
      </w:tr>
      <w:tr>
        <w:trPr>
          <w:trHeight w:val="169"/>
        </w:trPr>
        <w:tc>
          <w:tcPr>
            <w:tcW w:w="28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consumer</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1,179</w:t>
            </w:r>
          </w:p>
        </w:tc>
      </w:tr>
      <w:tr>
        <w:trPr>
          <w:trHeight w:val="182"/>
        </w:trPr>
        <w:tc>
          <w:tcPr>
            <w:tcW w:w="28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Portfolio loans receivable, gross</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1,559,537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38,012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11,236</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128,434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1,737,219</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spacing w:after="0" w:line="36" w:lineRule="exact"/>
        <w:rPr>
          <w:sz w:val="20"/>
          <w:szCs w:val="20"/>
          <w:color w:val="auto"/>
        </w:rPr>
      </w:pPr>
    </w:p>
    <w:p>
      <w:pPr>
        <w:ind w:left="120" w:hanging="115"/>
        <w:spacing w:after="0"/>
        <w:tabs>
          <w:tab w:leader="none" w:pos="120" w:val="left"/>
        </w:tabs>
        <w:numPr>
          <w:ilvl w:val="0"/>
          <w:numId w:val="21"/>
        </w:numPr>
        <w:rPr>
          <w:rFonts w:ascii="Arial" w:cs="Arial" w:eastAsia="Arial" w:hAnsi="Arial"/>
          <w:sz w:val="14"/>
          <w:szCs w:val="14"/>
          <w:color w:val="auto"/>
          <w:vertAlign w:val="superscript"/>
        </w:rPr>
      </w:pPr>
      <w:r>
        <w:rPr>
          <w:rFonts w:ascii="Arial" w:cs="Arial" w:eastAsia="Arial" w:hAnsi="Arial"/>
          <w:sz w:val="11"/>
          <w:szCs w:val="11"/>
          <w:color w:val="auto"/>
        </w:rPr>
        <w:t>Pass includes loans graded exceptional, very good, good, satisfactory and pass/watch in addition to credit cards and consumer credits that are not individually graded.</w:t>
      </w:r>
    </w:p>
    <w:p>
      <w:pPr>
        <w:ind w:left="120" w:hanging="115"/>
        <w:spacing w:after="0"/>
        <w:tabs>
          <w:tab w:leader="none" w:pos="120" w:val="left"/>
        </w:tabs>
        <w:numPr>
          <w:ilvl w:val="0"/>
          <w:numId w:val="21"/>
        </w:numPr>
        <w:rPr>
          <w:rFonts w:ascii="Arial" w:cs="Arial" w:eastAsia="Arial" w:hAnsi="Arial"/>
          <w:sz w:val="7"/>
          <w:szCs w:val="7"/>
          <w:color w:val="auto"/>
        </w:rPr>
      </w:pPr>
      <w:r>
        <w:rPr>
          <w:rFonts w:ascii="Arial" w:cs="Arial" w:eastAsia="Arial" w:hAnsi="Arial"/>
          <w:sz w:val="11"/>
          <w:szCs w:val="11"/>
          <w:color w:val="auto"/>
        </w:rPr>
        <w:t>Credit card loans are not individually graded.</w:t>
      </w:r>
    </w:p>
    <w:p>
      <w:pPr>
        <w:spacing w:after="0" w:line="16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Certain loans have been modified where economic concessions have been granted to borrowers who have experienced or are expected to experience financial difficulties disclosed as troubled debt restructurings (“TDRs”). These concessions typically result from the Company’s loss mitigation activities and could include reductions in the interest rate, payment extensions, forgiveness of principal, forbearance or other actions. Certain TDRs are classified as nonperforming at the time of restructure and may only be returned to performing status after confirmation of the borrower’s sustained repayment performance for a reasonable period, generally six months. The status of TDRs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80" w:type="dxa"/>
            <w:vAlign w:val="bottom"/>
          </w:tcPr>
          <w:p>
            <w:pPr>
              <w:jc w:val="center"/>
              <w:ind w:left="216"/>
              <w:spacing w:after="0"/>
              <w:rPr>
                <w:sz w:val="20"/>
                <w:szCs w:val="20"/>
                <w:color w:val="auto"/>
              </w:rPr>
            </w:pPr>
            <w:r>
              <w:rPr>
                <w:rFonts w:ascii="Arial" w:cs="Arial" w:eastAsia="Arial" w:hAnsi="Arial"/>
                <w:sz w:val="13"/>
                <w:szCs w:val="13"/>
                <w:b w:val="1"/>
                <w:bCs w:val="1"/>
                <w:color w:val="auto"/>
                <w:w w:val="98"/>
              </w:rPr>
              <w:t>Number of</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Recorded Investment</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580" w:type="dxa"/>
            <w:vAlign w:val="bottom"/>
            <w:gridSpan w:val="2"/>
          </w:tcPr>
          <w:p>
            <w:pPr>
              <w:spacing w:after="0"/>
              <w:rPr>
                <w:sz w:val="20"/>
                <w:szCs w:val="20"/>
                <w:color w:val="auto"/>
              </w:rPr>
            </w:pPr>
            <w:r>
              <w:rPr>
                <w:rFonts w:ascii="Arial" w:cs="Arial" w:eastAsia="Arial" w:hAnsi="Arial"/>
                <w:sz w:val="8"/>
                <w:szCs w:val="8"/>
                <w:i w:val="1"/>
                <w:iCs w:val="1"/>
                <w:color w:val="auto"/>
              </w:rPr>
              <w:t>(dollars in thousands)</w:t>
            </w:r>
          </w:p>
        </w:tc>
        <w:tc>
          <w:tcPr>
            <w:tcW w:w="1280" w:type="dxa"/>
            <w:vAlign w:val="bottom"/>
          </w:tcPr>
          <w:p>
            <w:pPr>
              <w:jc w:val="center"/>
              <w:ind w:left="216"/>
              <w:spacing w:after="0"/>
              <w:rPr>
                <w:sz w:val="20"/>
                <w:szCs w:val="20"/>
                <w:color w:val="auto"/>
              </w:rPr>
            </w:pPr>
            <w:r>
              <w:rPr>
                <w:rFonts w:ascii="Arial" w:cs="Arial" w:eastAsia="Arial" w:hAnsi="Arial"/>
                <w:sz w:val="13"/>
                <w:szCs w:val="13"/>
                <w:b w:val="1"/>
                <w:bCs w:val="1"/>
                <w:color w:val="auto"/>
                <w:w w:val="98"/>
              </w:rPr>
              <w:t>Contracts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180"/>
              <w:spacing w:after="0"/>
              <w:rPr>
                <w:sz w:val="20"/>
                <w:szCs w:val="20"/>
                <w:color w:val="auto"/>
              </w:rPr>
            </w:pPr>
            <w:r>
              <w:rPr>
                <w:rFonts w:ascii="Arial" w:cs="Arial" w:eastAsia="Arial" w:hAnsi="Arial"/>
                <w:sz w:val="13"/>
                <w:szCs w:val="13"/>
                <w:b w:val="1"/>
                <w:bCs w:val="1"/>
                <w:color w:val="auto"/>
              </w:rPr>
              <w:t>Performing</w:t>
            </w:r>
          </w:p>
        </w:tc>
        <w:tc>
          <w:tcPr>
            <w:tcW w:w="120" w:type="dxa"/>
            <w:vAlign w:val="bottom"/>
          </w:tcPr>
          <w:p>
            <w:pPr>
              <w:spacing w:after="0"/>
              <w:rPr>
                <w:sz w:val="13"/>
                <w:szCs w:val="13"/>
                <w:color w:val="auto"/>
              </w:rPr>
            </w:pPr>
          </w:p>
        </w:tc>
        <w:tc>
          <w:tcPr>
            <w:tcW w:w="1700" w:type="dxa"/>
            <w:vAlign w:val="bottom"/>
            <w:gridSpan w:val="2"/>
          </w:tcPr>
          <w:p>
            <w:pPr>
              <w:ind w:left="280"/>
              <w:spacing w:after="0"/>
              <w:rPr>
                <w:sz w:val="20"/>
                <w:szCs w:val="20"/>
                <w:color w:val="auto"/>
              </w:rPr>
            </w:pPr>
            <w:r>
              <w:rPr>
                <w:rFonts w:ascii="Arial" w:cs="Arial" w:eastAsia="Arial" w:hAnsi="Arial"/>
                <w:sz w:val="13"/>
                <w:szCs w:val="13"/>
                <w:b w:val="1"/>
                <w:bCs w:val="1"/>
                <w:color w:val="auto"/>
              </w:rPr>
              <w:t>Nonperforming</w:t>
            </w:r>
          </w:p>
        </w:tc>
        <w:tc>
          <w:tcPr>
            <w:tcW w:w="340" w:type="dxa"/>
            <w:vAlign w:val="bottom"/>
          </w:tcPr>
          <w:p>
            <w:pPr>
              <w:spacing w:after="0"/>
              <w:rPr>
                <w:sz w:val="13"/>
                <w:szCs w:val="13"/>
                <w:color w:val="auto"/>
              </w:rPr>
            </w:pPr>
          </w:p>
        </w:tc>
        <w:tc>
          <w:tcPr>
            <w:tcW w:w="1160" w:type="dxa"/>
            <w:vAlign w:val="bottom"/>
          </w:tcPr>
          <w:p>
            <w:pPr>
              <w:jc w:val="right"/>
              <w:ind w:right="536"/>
              <w:spacing w:after="0"/>
              <w:rPr>
                <w:sz w:val="20"/>
                <w:szCs w:val="20"/>
                <w:color w:val="auto"/>
              </w:rPr>
            </w:pPr>
            <w:r>
              <w:rPr>
                <w:rFonts w:ascii="Arial" w:cs="Arial" w:eastAsia="Arial" w:hAnsi="Arial"/>
                <w:sz w:val="13"/>
                <w:szCs w:val="13"/>
                <w:b w:val="1"/>
                <w:bCs w:val="1"/>
                <w:color w:val="auto"/>
              </w:rPr>
              <w:t>Total</w:t>
            </w:r>
          </w:p>
        </w:tc>
      </w:tr>
      <w:tr>
        <w:trPr>
          <w:trHeight w:val="130"/>
        </w:trPr>
        <w:tc>
          <w:tcPr>
            <w:tcW w:w="20" w:type="dxa"/>
            <w:vAlign w:val="bottom"/>
            <w:tcBorders>
              <w:top w:val="single" w:sz="8" w:color="CCEEFF"/>
            </w:tcBorders>
            <w:shd w:val="clear" w:color="auto" w:fill="CCEEFF"/>
          </w:tcPr>
          <w:p>
            <w:pPr>
              <w:spacing w:after="0"/>
              <w:rPr>
                <w:sz w:val="11"/>
                <w:szCs w:val="11"/>
                <w:color w:val="auto"/>
              </w:rPr>
            </w:pPr>
          </w:p>
        </w:tc>
        <w:tc>
          <w:tcPr>
            <w:tcW w:w="4580" w:type="dxa"/>
            <w:vAlign w:val="bottom"/>
            <w:tcBorders>
              <w:top w:val="single" w:sz="8" w:color="CCEEFF"/>
            </w:tcBorders>
            <w:gridSpan w:val="2"/>
            <w:shd w:val="clear" w:color="auto" w:fill="CCEEFF"/>
          </w:tcPr>
          <w:p>
            <w:pPr>
              <w:spacing w:after="0" w:line="118" w:lineRule="exact"/>
              <w:rPr>
                <w:sz w:val="20"/>
                <w:szCs w:val="20"/>
                <w:color w:val="auto"/>
              </w:rPr>
            </w:pPr>
            <w:r>
              <w:rPr>
                <w:rFonts w:ascii="Arial" w:cs="Arial" w:eastAsia="Arial" w:hAnsi="Arial"/>
                <w:sz w:val="13"/>
                <w:szCs w:val="13"/>
                <w:b w:val="1"/>
                <w:bCs w:val="1"/>
                <w:color w:val="auto"/>
              </w:rPr>
              <w:t>December 31, 2022</w:t>
            </w:r>
          </w:p>
        </w:tc>
        <w:tc>
          <w:tcPr>
            <w:tcW w:w="12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Real estate:</w:t>
            </w:r>
          </w:p>
        </w:tc>
        <w:tc>
          <w:tcPr>
            <w:tcW w:w="3440" w:type="dxa"/>
            <w:vAlign w:val="bottom"/>
            <w:tcBorders>
              <w:top w:val="single" w:sz="8" w:color="CCEEFF"/>
            </w:tcBorders>
          </w:tcPr>
          <w:p>
            <w:pPr>
              <w:spacing w:after="0"/>
              <w:rPr>
                <w:sz w:val="14"/>
                <w:szCs w:val="14"/>
                <w:color w:val="auto"/>
              </w:rPr>
            </w:pPr>
          </w:p>
        </w:tc>
        <w:tc>
          <w:tcPr>
            <w:tcW w:w="12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3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160" w:type="dxa"/>
            <w:vAlign w:val="bottom"/>
            <w:tcBorders>
              <w:top w:val="single" w:sz="8" w:color="CCEEFF"/>
            </w:tcBorders>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4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Residential</w:t>
            </w:r>
          </w:p>
        </w:tc>
        <w:tc>
          <w:tcPr>
            <w:tcW w:w="12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w:t>
            </w:r>
          </w:p>
        </w:tc>
      </w:tr>
      <w:tr>
        <w:trPr>
          <w:trHeight w:val="162"/>
        </w:trPr>
        <w:tc>
          <w:tcPr>
            <w:tcW w:w="20" w:type="dxa"/>
            <w:vAlign w:val="bottom"/>
          </w:tcPr>
          <w:p>
            <w:pPr>
              <w:spacing w:after="0"/>
              <w:rPr>
                <w:sz w:val="14"/>
                <w:szCs w:val="14"/>
                <w:color w:val="auto"/>
              </w:rPr>
            </w:pPr>
          </w:p>
        </w:tc>
        <w:tc>
          <w:tcPr>
            <w:tcW w:w="4580" w:type="dxa"/>
            <w:vAlign w:val="bottom"/>
            <w:gridSpan w:val="2"/>
          </w:tcPr>
          <w:p>
            <w:pPr>
              <w:ind w:left="160"/>
              <w:spacing w:after="0"/>
              <w:rPr>
                <w:sz w:val="20"/>
                <w:szCs w:val="20"/>
                <w:color w:val="auto"/>
              </w:rPr>
            </w:pPr>
            <w:r>
              <w:rPr>
                <w:rFonts w:ascii="Arial" w:cs="Arial" w:eastAsia="Arial" w:hAnsi="Arial"/>
                <w:sz w:val="13"/>
                <w:szCs w:val="13"/>
                <w:color w:val="auto"/>
              </w:rPr>
              <w:t>Total</w:t>
            </w:r>
          </w:p>
        </w:tc>
        <w:tc>
          <w:tcPr>
            <w:tcW w:w="1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ind w:left="11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00" w:type="dxa"/>
            <w:vAlign w:val="bottom"/>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14"/>
                <w:szCs w:val="14"/>
                <w:color w:val="auto"/>
              </w:rPr>
            </w:pP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288</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2022 the Company had one defaulted TDR for $288 thousand. In the 12 months ending December 31, 2022, four TDRs, totaling $215 thousand paid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01" w:name="page102"/>
    <w:bookmarkEnd w:id="101"/>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Portfolio Loans Receivable and Allowance for Credit Losses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Outstanding loan commitments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3"/>
                <w:szCs w:val="13"/>
                <w:b w:val="1"/>
                <w:bCs w:val="1"/>
                <w:color w:val="auto"/>
              </w:rPr>
              <w:t>December 31,</w:t>
            </w:r>
          </w:p>
        </w:tc>
        <w:tc>
          <w:tcPr>
            <w:tcW w:w="1340" w:type="dxa"/>
            <w:vAlign w:val="bottom"/>
            <w:tcBorders>
              <w:bottom w:val="single" w:sz="8" w:color="auto"/>
            </w:tcBorders>
          </w:tcPr>
          <w:p>
            <w:pPr>
              <w:spacing w:after="0"/>
              <w:rPr>
                <w:sz w:val="14"/>
                <w:szCs w:val="14"/>
                <w:color w:val="auto"/>
              </w:rPr>
            </w:pPr>
          </w:p>
        </w:tc>
      </w:tr>
      <w:tr>
        <w:trPr>
          <w:trHeight w:val="16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4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r>
      <w:tr>
        <w:trPr>
          <w:trHeight w:val="150"/>
        </w:trPr>
        <w:tc>
          <w:tcPr>
            <w:tcW w:w="73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Unused lines of credit</w:t>
            </w: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69"/>
        </w:trPr>
        <w:tc>
          <w:tcPr>
            <w:tcW w:w="7320" w:type="dxa"/>
            <w:vAlign w:val="bottom"/>
          </w:tcPr>
          <w:p>
            <w:pPr>
              <w:ind w:left="120"/>
              <w:spacing w:after="0"/>
              <w:rPr>
                <w:sz w:val="20"/>
                <w:szCs w:val="20"/>
                <w:color w:val="auto"/>
              </w:rPr>
            </w:pPr>
            <w:r>
              <w:rPr>
                <w:rFonts w:ascii="Arial" w:cs="Arial" w:eastAsia="Arial" w:hAnsi="Arial"/>
                <w:sz w:val="13"/>
                <w:szCs w:val="13"/>
                <w:color w:val="auto"/>
              </w:rPr>
              <w:t>Real Estate:</w:t>
            </w: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7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Residential</w:t>
            </w: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15,436</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14,336</w:t>
            </w:r>
          </w:p>
        </w:tc>
      </w:tr>
      <w:tr>
        <w:trPr>
          <w:trHeight w:val="170"/>
        </w:trPr>
        <w:tc>
          <w:tcPr>
            <w:tcW w:w="7320" w:type="dxa"/>
            <w:vAlign w:val="bottom"/>
          </w:tcPr>
          <w:p>
            <w:pPr>
              <w:ind w:left="180"/>
              <w:spacing w:after="0"/>
              <w:rPr>
                <w:sz w:val="20"/>
                <w:szCs w:val="20"/>
                <w:color w:val="auto"/>
              </w:rPr>
            </w:pPr>
            <w:r>
              <w:rPr>
                <w:rFonts w:ascii="Arial" w:cs="Arial" w:eastAsia="Arial" w:hAnsi="Arial"/>
                <w:sz w:val="13"/>
                <w:szCs w:val="13"/>
                <w:color w:val="auto"/>
              </w:rPr>
              <w:t>Residential - Home Equity</w:t>
            </w:r>
          </w:p>
        </w:tc>
        <w:tc>
          <w:tcPr>
            <w:tcW w:w="4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43,892</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43,128</w:t>
            </w:r>
          </w:p>
        </w:tc>
      </w:tr>
      <w:tr>
        <w:trPr>
          <w:trHeight w:val="170"/>
        </w:trPr>
        <w:tc>
          <w:tcPr>
            <w:tcW w:w="7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Commercial</w:t>
            </w: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20,424</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36,609</w:t>
            </w:r>
          </w:p>
        </w:tc>
      </w:tr>
      <w:tr>
        <w:trPr>
          <w:trHeight w:val="170"/>
        </w:trPr>
        <w:tc>
          <w:tcPr>
            <w:tcW w:w="7320" w:type="dxa"/>
            <w:vAlign w:val="bottom"/>
          </w:tcPr>
          <w:p>
            <w:pPr>
              <w:ind w:left="180"/>
              <w:spacing w:after="0"/>
              <w:rPr>
                <w:sz w:val="20"/>
                <w:szCs w:val="20"/>
                <w:color w:val="auto"/>
              </w:rPr>
            </w:pPr>
            <w:r>
              <w:rPr>
                <w:rFonts w:ascii="Arial" w:cs="Arial" w:eastAsia="Arial" w:hAnsi="Arial"/>
                <w:sz w:val="13"/>
                <w:szCs w:val="13"/>
                <w:color w:val="auto"/>
              </w:rPr>
              <w:t>Construction</w:t>
            </w:r>
          </w:p>
        </w:tc>
        <w:tc>
          <w:tcPr>
            <w:tcW w:w="4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98,777</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93,913</w:t>
            </w:r>
          </w:p>
        </w:tc>
      </w:tr>
      <w:tr>
        <w:trPr>
          <w:trHeight w:val="170"/>
        </w:trPr>
        <w:tc>
          <w:tcPr>
            <w:tcW w:w="7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and Industrial</w:t>
            </w: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42,751</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45,747</w:t>
            </w:r>
          </w:p>
        </w:tc>
      </w:tr>
      <w:tr>
        <w:trPr>
          <w:trHeight w:val="170"/>
        </w:trPr>
        <w:tc>
          <w:tcPr>
            <w:tcW w:w="7320" w:type="dxa"/>
            <w:vAlign w:val="bottom"/>
          </w:tcPr>
          <w:p>
            <w:pPr>
              <w:ind w:left="120"/>
              <w:spacing w:after="0" w:line="170" w:lineRule="exact"/>
              <w:rPr>
                <w:sz w:val="20"/>
                <w:szCs w:val="20"/>
                <w:color w:val="auto"/>
              </w:rPr>
            </w:pPr>
            <w:r>
              <w:rPr>
                <w:rFonts w:ascii="Arial" w:cs="Arial" w:eastAsia="Arial" w:hAnsi="Arial"/>
                <w:sz w:val="13"/>
                <w:szCs w:val="13"/>
                <w:color w:val="auto"/>
              </w:rPr>
              <w:t>Credit card</w:t>
            </w:r>
            <w:r>
              <w:rPr>
                <w:rFonts w:ascii="Arial" w:cs="Arial" w:eastAsia="Arial" w:hAnsi="Arial"/>
                <w:sz w:val="16"/>
                <w:szCs w:val="16"/>
                <w:color w:val="auto"/>
                <w:vertAlign w:val="superscript"/>
              </w:rPr>
              <w:t>(1)</w:t>
            </w:r>
          </w:p>
        </w:tc>
        <w:tc>
          <w:tcPr>
            <w:tcW w:w="4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114,882</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111,227</w:t>
            </w:r>
          </w:p>
        </w:tc>
      </w:tr>
      <w:tr>
        <w:trPr>
          <w:trHeight w:val="170"/>
        </w:trPr>
        <w:tc>
          <w:tcPr>
            <w:tcW w:w="7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consumer</w:t>
            </w:r>
          </w:p>
        </w:tc>
        <w:tc>
          <w:tcPr>
            <w:tcW w:w="4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310</w:t>
            </w:r>
          </w:p>
        </w:tc>
        <w:tc>
          <w:tcPr>
            <w:tcW w:w="12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w:t>
            </w:r>
          </w:p>
        </w:tc>
      </w:tr>
      <w:tr>
        <w:trPr>
          <w:trHeight w:val="139"/>
        </w:trPr>
        <w:tc>
          <w:tcPr>
            <w:tcW w:w="7320" w:type="dxa"/>
            <w:vAlign w:val="bottom"/>
          </w:tcPr>
          <w:p>
            <w:pPr>
              <w:ind w:left="20"/>
              <w:spacing w:after="0"/>
              <w:rPr>
                <w:sz w:val="20"/>
                <w:szCs w:val="20"/>
                <w:color w:val="auto"/>
              </w:rPr>
            </w:pPr>
            <w:r>
              <w:rPr>
                <w:rFonts w:ascii="Arial" w:cs="Arial" w:eastAsia="Arial" w:hAnsi="Arial"/>
                <w:sz w:val="11"/>
                <w:szCs w:val="11"/>
                <w:color w:val="auto"/>
              </w:rPr>
              <w:t>Total</w:t>
            </w:r>
          </w:p>
        </w:tc>
        <w:tc>
          <w:tcPr>
            <w:tcW w:w="440" w:type="dxa"/>
            <w:vAlign w:val="bottom"/>
            <w:tcBorders>
              <w:bottom w:val="single" w:sz="8" w:color="auto"/>
            </w:tcBorders>
          </w:tcPr>
          <w:p>
            <w:pPr>
              <w:jc w:val="right"/>
              <w:ind w:right="296"/>
              <w:spacing w:after="0" w:line="139" w:lineRule="exact"/>
              <w:rPr>
                <w:sz w:val="20"/>
                <w:szCs w:val="20"/>
                <w:color w:val="auto"/>
              </w:rPr>
            </w:pPr>
            <w:r>
              <w:rPr>
                <w:rFonts w:ascii="Arial" w:cs="Arial" w:eastAsia="Arial" w:hAnsi="Arial"/>
                <w:sz w:val="13"/>
                <w:szCs w:val="13"/>
                <w:b w:val="1"/>
                <w:bCs w:val="1"/>
                <w:color w:val="auto"/>
                <w:w w:val="82"/>
              </w:rPr>
              <w:t>$</w:t>
            </w:r>
          </w:p>
        </w:tc>
        <w:tc>
          <w:tcPr>
            <w:tcW w:w="14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336,472</w:t>
            </w: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436"/>
              <w:spacing w:after="0" w:line="139" w:lineRule="exact"/>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345,062</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31"/>
        </w:trPr>
        <w:tc>
          <w:tcPr>
            <w:tcW w:w="7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70"/>
        </w:trPr>
        <w:tc>
          <w:tcPr>
            <w:tcW w:w="7320" w:type="dxa"/>
            <w:vAlign w:val="bottom"/>
          </w:tcPr>
          <w:p>
            <w:pPr>
              <w:ind w:left="20"/>
              <w:spacing w:after="0"/>
              <w:rPr>
                <w:sz w:val="20"/>
                <w:szCs w:val="20"/>
                <w:color w:val="auto"/>
              </w:rPr>
            </w:pPr>
            <w:r>
              <w:rPr>
                <w:rFonts w:ascii="Arial" w:cs="Arial" w:eastAsia="Arial" w:hAnsi="Arial"/>
                <w:sz w:val="13"/>
                <w:szCs w:val="13"/>
                <w:color w:val="auto"/>
              </w:rPr>
              <w:t>Letters of credit</w:t>
            </w: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4,641</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5,105</w:t>
            </w:r>
          </w:p>
        </w:tc>
      </w:tr>
      <w:tr>
        <w:trPr>
          <w:trHeight w:val="20"/>
        </w:trPr>
        <w:tc>
          <w:tcPr>
            <w:tcW w:w="7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120" w:hanging="115"/>
        <w:spacing w:after="0" w:line="194" w:lineRule="auto"/>
        <w:tabs>
          <w:tab w:leader="none" w:pos="120" w:val="left"/>
        </w:tabs>
        <w:numPr>
          <w:ilvl w:val="0"/>
          <w:numId w:val="22"/>
        </w:numPr>
        <w:rPr>
          <w:rFonts w:ascii="Arial" w:cs="Arial" w:eastAsia="Arial" w:hAnsi="Arial"/>
          <w:sz w:val="14"/>
          <w:szCs w:val="14"/>
          <w:color w:val="auto"/>
          <w:vertAlign w:val="superscript"/>
        </w:rPr>
      </w:pPr>
      <w:r>
        <w:rPr>
          <w:rFonts w:ascii="Arial" w:cs="Arial" w:eastAsia="Arial" w:hAnsi="Arial"/>
          <w:sz w:val="9"/>
          <w:szCs w:val="9"/>
          <w:color w:val="auto"/>
        </w:rPr>
        <w:t>Outstanding loan commitments in the credit card portfolio include $98.2 million and $106.9 million in secured and partially secured balances as of December 31, 2023 and 2022, respectively.</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at any given time, draw upon their lines in full. Loan commitments generally have variable interest rates, fixed expiration dates, and may require payment of a fee.</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Company's maximum exposure to credit loss in the event of nonperformance by the customer is the contractual amount of the credit commitment. Loan commitments and lines of credit are generally made on the same terms, including with regard to collateral, as outstanding loans. Management is not aware of any accounting loss to be incurred by funding these loan commitments.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maintains an estimated reserve for unfunded commitments and certain off-balance sheet items such as unfunded lines of credit, which is reflected in other liabilities, with increases or decreases in the reserve being charged to or released from operating expense. Activity for this account is as follows for the periods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2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r>
      <w:tr>
        <w:trPr>
          <w:trHeight w:val="160"/>
        </w:trPr>
        <w:tc>
          <w:tcPr>
            <w:tcW w:w="7320" w:type="dxa"/>
            <w:vAlign w:val="bottom"/>
          </w:tcPr>
          <w:p>
            <w:pPr>
              <w:ind w:left="20"/>
              <w:spacing w:after="0"/>
              <w:rPr>
                <w:sz w:val="20"/>
                <w:szCs w:val="20"/>
                <w:color w:val="auto"/>
              </w:rPr>
            </w:pPr>
            <w:r>
              <w:rPr>
                <w:rFonts w:ascii="Arial" w:cs="Arial" w:eastAsia="Arial" w:hAnsi="Arial"/>
                <w:sz w:val="13"/>
                <w:szCs w:val="13"/>
                <w:color w:val="auto"/>
              </w:rPr>
              <w:t>Balance at beginning of period</w:t>
            </w:r>
          </w:p>
        </w:tc>
        <w:tc>
          <w:tcPr>
            <w:tcW w:w="440" w:type="dxa"/>
            <w:vAlign w:val="bottom"/>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1,682</w:t>
            </w:r>
          </w:p>
        </w:tc>
        <w:tc>
          <w:tcPr>
            <w:tcW w:w="120" w:type="dxa"/>
            <w:vAlign w:val="bottom"/>
          </w:tcPr>
          <w:p>
            <w:pPr>
              <w:spacing w:after="0"/>
              <w:rPr>
                <w:sz w:val="13"/>
                <w:szCs w:val="13"/>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1,736</w:t>
            </w:r>
          </w:p>
        </w:tc>
      </w:tr>
      <w:tr>
        <w:trPr>
          <w:trHeight w:val="170"/>
        </w:trPr>
        <w:tc>
          <w:tcPr>
            <w:tcW w:w="7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Impact of adopting the CECL standard on January 1, 2023</w:t>
            </w: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(775)</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3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Release of credit losses on unfunded commitments</w:t>
            </w: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(101)</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r>
      <w:tr>
        <w:trPr>
          <w:trHeight w:val="185"/>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end of period</w:t>
            </w: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806</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makes representations and warranties that loans sold to investors meet the investors’ program guidelines and that the information provided by the borrowers is accurate and complete. In the event of a default on a loan sold, the investor may have the right to make a claim for losses due to document deficiencies, program non-compliance, early payment default, and fraud or borrower misrepresentations.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02" w:name="page103"/>
    <w:bookmarkEnd w:id="102"/>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Portfolio Loans Receivable and Allowance for Credit Losses (continued)</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maintains a reserve for potential losses on mortgage loans sold, which is reflected in other liabilities, with changes being charged to or released from a provision for credit loss expense. During the year ended December 31, 2022, this increase or decrease in reserve activity was included in other operating expense. Activity in this reserve is as follows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2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r>
      <w:tr>
        <w:trPr>
          <w:trHeight w:val="160"/>
        </w:trPr>
        <w:tc>
          <w:tcPr>
            <w:tcW w:w="7320" w:type="dxa"/>
            <w:vAlign w:val="bottom"/>
          </w:tcPr>
          <w:p>
            <w:pPr>
              <w:ind w:left="20"/>
              <w:spacing w:after="0"/>
              <w:rPr>
                <w:sz w:val="20"/>
                <w:szCs w:val="20"/>
                <w:color w:val="auto"/>
              </w:rPr>
            </w:pPr>
            <w:r>
              <w:rPr>
                <w:rFonts w:ascii="Arial" w:cs="Arial" w:eastAsia="Arial" w:hAnsi="Arial"/>
                <w:sz w:val="13"/>
                <w:szCs w:val="13"/>
                <w:color w:val="auto"/>
              </w:rPr>
              <w:t>Balance at beginning of period</w:t>
            </w:r>
          </w:p>
        </w:tc>
        <w:tc>
          <w:tcPr>
            <w:tcW w:w="440" w:type="dxa"/>
            <w:vAlign w:val="bottom"/>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1,173</w:t>
            </w:r>
          </w:p>
        </w:tc>
        <w:tc>
          <w:tcPr>
            <w:tcW w:w="120" w:type="dxa"/>
            <w:vAlign w:val="bottom"/>
          </w:tcPr>
          <w:p>
            <w:pPr>
              <w:spacing w:after="0"/>
              <w:rPr>
                <w:sz w:val="13"/>
                <w:szCs w:val="13"/>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1,164</w:t>
            </w:r>
          </w:p>
        </w:tc>
      </w:tr>
      <w:tr>
        <w:trPr>
          <w:trHeight w:val="170"/>
        </w:trPr>
        <w:tc>
          <w:tcPr>
            <w:tcW w:w="7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(Release of) provision for mortgage loan put-back reserve</w:t>
            </w:r>
          </w:p>
        </w:tc>
        <w:tc>
          <w:tcPr>
            <w:tcW w:w="4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(188)</w:t>
            </w: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0"/>
        </w:trPr>
        <w:tc>
          <w:tcPr>
            <w:tcW w:w="7320" w:type="dxa"/>
            <w:vAlign w:val="bottom"/>
          </w:tcPr>
          <w:p>
            <w:pPr>
              <w:ind w:left="20"/>
              <w:spacing w:after="0"/>
              <w:rPr>
                <w:sz w:val="20"/>
                <w:szCs w:val="20"/>
                <w:color w:val="auto"/>
              </w:rPr>
            </w:pPr>
            <w:r>
              <w:rPr>
                <w:rFonts w:ascii="Arial" w:cs="Arial" w:eastAsia="Arial" w:hAnsi="Arial"/>
                <w:sz w:val="13"/>
                <w:szCs w:val="13"/>
                <w:color w:val="auto"/>
              </w:rPr>
              <w:t>Balance at end of period</w:t>
            </w: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985</w:t>
            </w:r>
          </w:p>
        </w:tc>
        <w:tc>
          <w:tcPr>
            <w:tcW w:w="12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1,173</w:t>
            </w:r>
          </w:p>
        </w:tc>
      </w:tr>
      <w:tr>
        <w:trPr>
          <w:trHeight w:val="20"/>
        </w:trPr>
        <w:tc>
          <w:tcPr>
            <w:tcW w:w="7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Premises and Equipment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Year end premises and equipment owned and utilized in the operations of the Company and the related depreciation and amortization expense were as follows:</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r>
      <w:tr>
        <w:trPr>
          <w:trHeight w:val="160"/>
        </w:trPr>
        <w:tc>
          <w:tcPr>
            <w:tcW w:w="7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Leasehold improvements</w:t>
            </w: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2,710</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1,683</w:t>
            </w:r>
          </w:p>
        </w:tc>
      </w:tr>
      <w:tr>
        <w:trPr>
          <w:trHeight w:val="170"/>
        </w:trPr>
        <w:tc>
          <w:tcPr>
            <w:tcW w:w="7340" w:type="dxa"/>
            <w:vAlign w:val="bottom"/>
          </w:tcPr>
          <w:p>
            <w:pPr>
              <w:ind w:left="20"/>
              <w:spacing w:after="0"/>
              <w:rPr>
                <w:sz w:val="20"/>
                <w:szCs w:val="20"/>
                <w:color w:val="auto"/>
              </w:rPr>
            </w:pPr>
            <w:r>
              <w:rPr>
                <w:rFonts w:ascii="Arial" w:cs="Arial" w:eastAsia="Arial" w:hAnsi="Arial"/>
                <w:sz w:val="13"/>
                <w:szCs w:val="13"/>
                <w:color w:val="auto"/>
              </w:rPr>
              <w:t>Furniture and equipment</w:t>
            </w: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4,926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4,775</w:t>
            </w:r>
          </w:p>
        </w:tc>
      </w:tr>
      <w:tr>
        <w:trPr>
          <w:trHeight w:val="170"/>
        </w:trPr>
        <w:tc>
          <w:tcPr>
            <w:tcW w:w="7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Vehicle</w:t>
            </w: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r>
      <w:tr>
        <w:trPr>
          <w:trHeight w:val="170"/>
        </w:trPr>
        <w:tc>
          <w:tcPr>
            <w:tcW w:w="7340" w:type="dxa"/>
            <w:vAlign w:val="bottom"/>
          </w:tcPr>
          <w:p>
            <w:pPr>
              <w:ind w:left="20"/>
              <w:spacing w:after="0"/>
              <w:rPr>
                <w:sz w:val="20"/>
                <w:szCs w:val="20"/>
                <w:color w:val="auto"/>
              </w:rPr>
            </w:pPr>
            <w:r>
              <w:rPr>
                <w:rFonts w:ascii="Arial" w:cs="Arial" w:eastAsia="Arial" w:hAnsi="Arial"/>
                <w:sz w:val="13"/>
                <w:szCs w:val="13"/>
                <w:color w:val="auto"/>
              </w:rPr>
              <w:t>Software</w:t>
            </w: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2,517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2,517</w:t>
            </w:r>
          </w:p>
        </w:tc>
      </w:tr>
      <w:tr>
        <w:trPr>
          <w:trHeight w:val="170"/>
        </w:trPr>
        <w:tc>
          <w:tcPr>
            <w:tcW w:w="7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Construction in progress</w:t>
            </w:r>
          </w:p>
        </w:tc>
        <w:tc>
          <w:tcPr>
            <w:tcW w:w="4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694</w:t>
            </w:r>
          </w:p>
        </w:tc>
      </w:tr>
      <w:tr>
        <w:trPr>
          <w:trHeight w:val="160"/>
        </w:trPr>
        <w:tc>
          <w:tcPr>
            <w:tcW w:w="7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10,240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9,723</w:t>
            </w:r>
          </w:p>
        </w:tc>
      </w:tr>
      <w:tr>
        <w:trPr>
          <w:trHeight w:val="170"/>
        </w:trPr>
        <w:tc>
          <w:tcPr>
            <w:tcW w:w="7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Less: Accumulated depreciation and amortization</w:t>
            </w:r>
          </w:p>
        </w:tc>
        <w:tc>
          <w:tcPr>
            <w:tcW w:w="4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(8,758)</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(8,434)</w:t>
            </w:r>
          </w:p>
        </w:tc>
      </w:tr>
      <w:tr>
        <w:trPr>
          <w:trHeight w:val="160"/>
        </w:trPr>
        <w:tc>
          <w:tcPr>
            <w:tcW w:w="7340" w:type="dxa"/>
            <w:vAlign w:val="bottom"/>
          </w:tcPr>
          <w:p>
            <w:pPr>
              <w:ind w:left="20"/>
              <w:spacing w:after="0"/>
              <w:rPr>
                <w:sz w:val="20"/>
                <w:szCs w:val="20"/>
                <w:color w:val="auto"/>
              </w:rPr>
            </w:pPr>
            <w:r>
              <w:rPr>
                <w:rFonts w:ascii="Arial" w:cs="Arial" w:eastAsia="Arial" w:hAnsi="Arial"/>
                <w:sz w:val="13"/>
                <w:szCs w:val="13"/>
                <w:color w:val="auto"/>
              </w:rPr>
              <w:t>Premises and equipment</w:t>
            </w:r>
          </w:p>
        </w:tc>
        <w:tc>
          <w:tcPr>
            <w:tcW w:w="4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1,482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1,289</w:t>
            </w:r>
          </w:p>
        </w:tc>
      </w:tr>
      <w:tr>
        <w:trPr>
          <w:trHeight w:val="170"/>
        </w:trPr>
        <w:tc>
          <w:tcPr>
            <w:tcW w:w="7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lease asset</w:t>
            </w:r>
          </w:p>
        </w:tc>
        <w:tc>
          <w:tcPr>
            <w:tcW w:w="4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3,587</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2,097</w:t>
            </w:r>
          </w:p>
        </w:tc>
      </w:tr>
      <w:tr>
        <w:trPr>
          <w:trHeight w:val="160"/>
        </w:trPr>
        <w:tc>
          <w:tcPr>
            <w:tcW w:w="7340" w:type="dxa"/>
            <w:vAlign w:val="bottom"/>
          </w:tcPr>
          <w:p>
            <w:pPr>
              <w:ind w:left="20"/>
              <w:spacing w:after="0"/>
              <w:rPr>
                <w:sz w:val="20"/>
                <w:szCs w:val="20"/>
                <w:color w:val="auto"/>
              </w:rPr>
            </w:pPr>
            <w:r>
              <w:rPr>
                <w:rFonts w:ascii="Arial" w:cs="Arial" w:eastAsia="Arial" w:hAnsi="Arial"/>
                <w:sz w:val="13"/>
                <w:szCs w:val="13"/>
                <w:color w:val="auto"/>
              </w:rPr>
              <w:t>Premises and equipment, net</w:t>
            </w: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5,069</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3,386</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31"/>
        </w:trPr>
        <w:tc>
          <w:tcPr>
            <w:tcW w:w="7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r>
      <w:tr>
        <w:trPr>
          <w:trHeight w:val="170"/>
        </w:trPr>
        <w:tc>
          <w:tcPr>
            <w:tcW w:w="7340" w:type="dxa"/>
            <w:vAlign w:val="bottom"/>
          </w:tcPr>
          <w:p>
            <w:pPr>
              <w:ind w:left="20"/>
              <w:spacing w:after="0"/>
              <w:rPr>
                <w:sz w:val="20"/>
                <w:szCs w:val="20"/>
                <w:color w:val="auto"/>
              </w:rPr>
            </w:pPr>
            <w:r>
              <w:rPr>
                <w:rFonts w:ascii="Arial" w:cs="Arial" w:eastAsia="Arial" w:hAnsi="Arial"/>
                <w:sz w:val="13"/>
                <w:szCs w:val="13"/>
                <w:color w:val="auto"/>
              </w:rPr>
              <w:t>Depreciation and amortization expense</w:t>
            </w: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324</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w:t>
            </w:r>
          </w:p>
        </w:tc>
      </w:tr>
      <w:tr>
        <w:trPr>
          <w:trHeight w:val="20"/>
        </w:trPr>
        <w:tc>
          <w:tcPr>
            <w:tcW w:w="7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Leases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Company’s primary leasing activities relate to certain real estate leases entered into in support of the Company’s branch operations and back office operations. The Company leases four of its full service branches and four other locations for corporate/administration activities, operations, and loan production. All property leases under lease agreements have been designated as operating leases. The Company does not have leases designated as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03" w:name="page104"/>
    <w:bookmarkEnd w:id="103"/>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Leases (continued)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 determines if an arrangement is a lease at inception. Operating lease right-of-use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historical weighted average discount rate used was 3.79% at December 31, 2023 and 1.94% at December 31, 2022.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spacing w:after="0" w:line="146"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As of December 31, 2023, the Company’s net lease ROU assets and related lease liabilities were $3.6 million and $3.8 million, respectively, and have remaining terms ranging from one to nine years, including extension options that the Company is reasonably certain will be exercised. As of December 31, 2023, the Company had not entered into any material leases that have not yet commenced. The Company’s lease information is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14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63"/>
              <w:spacing w:after="0"/>
              <w:rPr>
                <w:sz w:val="20"/>
                <w:szCs w:val="20"/>
                <w:color w:val="auto"/>
              </w:rPr>
            </w:pPr>
            <w:r>
              <w:rPr>
                <w:rFonts w:ascii="Arial" w:cs="Arial" w:eastAsia="Arial" w:hAnsi="Arial"/>
                <w:sz w:val="14"/>
                <w:szCs w:val="14"/>
                <w:b w:val="1"/>
                <w:bCs w:val="1"/>
                <w:color w:val="auto"/>
              </w:rPr>
              <w:t>2022</w:t>
            </w:r>
          </w:p>
        </w:tc>
      </w:tr>
      <w:tr>
        <w:trPr>
          <w:trHeight w:val="13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Lease Right-of-Use Asset</w:t>
            </w:r>
          </w:p>
        </w:tc>
        <w:tc>
          <w:tcPr>
            <w:tcW w:w="1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59"/>
        </w:trPr>
        <w:tc>
          <w:tcPr>
            <w:tcW w:w="7260" w:type="dxa"/>
            <w:vAlign w:val="bottom"/>
          </w:tcPr>
          <w:p>
            <w:pPr>
              <w:ind w:left="20"/>
              <w:spacing w:after="0"/>
              <w:rPr>
                <w:sz w:val="20"/>
                <w:szCs w:val="20"/>
                <w:color w:val="auto"/>
              </w:rPr>
            </w:pPr>
            <w:r>
              <w:rPr>
                <w:rFonts w:ascii="Arial" w:cs="Arial" w:eastAsia="Arial" w:hAnsi="Arial"/>
                <w:sz w:val="11"/>
                <w:szCs w:val="11"/>
                <w:color w:val="auto"/>
              </w:rPr>
              <w:t>Lease asset</w:t>
            </w:r>
          </w:p>
        </w:tc>
        <w:tc>
          <w:tcPr>
            <w:tcW w:w="1400" w:type="dxa"/>
            <w:vAlign w:val="bottom"/>
          </w:tcPr>
          <w:p>
            <w:pPr>
              <w:jc w:val="right"/>
              <w:ind w:right="1261"/>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6,810</w:t>
            </w:r>
          </w:p>
        </w:tc>
        <w:tc>
          <w:tcPr>
            <w:tcW w:w="80" w:type="dxa"/>
            <w:vAlign w:val="bottom"/>
          </w:tcPr>
          <w:p>
            <w:pPr>
              <w:spacing w:after="0"/>
              <w:rPr>
                <w:sz w:val="13"/>
                <w:szCs w:val="13"/>
                <w:color w:val="auto"/>
              </w:rPr>
            </w:pPr>
          </w:p>
        </w:tc>
        <w:tc>
          <w:tcPr>
            <w:tcW w:w="4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w w:val="97"/>
              </w:rPr>
              <w:t>$</w:t>
            </w:r>
          </w:p>
        </w:tc>
        <w:tc>
          <w:tcPr>
            <w:tcW w:w="1520" w:type="dxa"/>
            <w:vAlign w:val="bottom"/>
          </w:tcPr>
          <w:p>
            <w:pPr>
              <w:jc w:val="right"/>
              <w:spacing w:after="0"/>
              <w:rPr>
                <w:sz w:val="20"/>
                <w:szCs w:val="20"/>
                <w:color w:val="auto"/>
              </w:rPr>
            </w:pPr>
            <w:r>
              <w:rPr>
                <w:rFonts w:ascii="Arial" w:cs="Arial" w:eastAsia="Arial" w:hAnsi="Arial"/>
                <w:sz w:val="11"/>
                <w:szCs w:val="11"/>
                <w:b w:val="1"/>
                <w:bCs w:val="1"/>
                <w:color w:val="auto"/>
              </w:rPr>
              <w:t>5,171</w:t>
            </w:r>
          </w:p>
        </w:tc>
      </w:tr>
      <w:tr>
        <w:trPr>
          <w:trHeight w:val="159"/>
        </w:trPr>
        <w:tc>
          <w:tcPr>
            <w:tcW w:w="72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Accumulated amortization</w:t>
            </w:r>
          </w:p>
        </w:tc>
        <w:tc>
          <w:tcPr>
            <w:tcW w:w="14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(3,223)</w:t>
            </w: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(3,074)</w:t>
            </w:r>
          </w:p>
        </w:tc>
      </w:tr>
      <w:tr>
        <w:trPr>
          <w:trHeight w:val="150"/>
        </w:trPr>
        <w:tc>
          <w:tcPr>
            <w:tcW w:w="7260" w:type="dxa"/>
            <w:vAlign w:val="bottom"/>
          </w:tcPr>
          <w:p>
            <w:pPr>
              <w:ind w:left="20"/>
              <w:spacing w:after="0"/>
              <w:rPr>
                <w:sz w:val="20"/>
                <w:szCs w:val="20"/>
                <w:color w:val="auto"/>
              </w:rPr>
            </w:pPr>
            <w:r>
              <w:rPr>
                <w:rFonts w:ascii="Arial" w:cs="Arial" w:eastAsia="Arial" w:hAnsi="Arial"/>
                <w:sz w:val="11"/>
                <w:szCs w:val="11"/>
                <w:color w:val="auto"/>
              </w:rPr>
              <w:t>Net lease asset</w:t>
            </w:r>
          </w:p>
        </w:tc>
        <w:tc>
          <w:tcPr>
            <w:tcW w:w="1400" w:type="dxa"/>
            <w:vAlign w:val="bottom"/>
            <w:tcBorders>
              <w:bottom w:val="single" w:sz="8" w:color="auto"/>
            </w:tcBorders>
          </w:tcPr>
          <w:p>
            <w:pPr>
              <w:jc w:val="right"/>
              <w:ind w:right="1261"/>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3,587</w:t>
            </w:r>
          </w:p>
        </w:tc>
        <w:tc>
          <w:tcPr>
            <w:tcW w:w="80" w:type="dxa"/>
            <w:vAlign w:val="bottom"/>
          </w:tcPr>
          <w:p>
            <w:pPr>
              <w:spacing w:after="0"/>
              <w:rPr>
                <w:sz w:val="13"/>
                <w:szCs w:val="13"/>
                <w:color w:val="auto"/>
              </w:rPr>
            </w:pPr>
          </w:p>
        </w:tc>
        <w:tc>
          <w:tcPr>
            <w:tcW w:w="4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1"/>
                <w:szCs w:val="11"/>
                <w:b w:val="1"/>
                <w:bCs w:val="1"/>
                <w:color w:val="auto"/>
                <w:w w:val="97"/>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2,097</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31"/>
        </w:trPr>
        <w:tc>
          <w:tcPr>
            <w:tcW w:w="72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59"/>
        </w:trPr>
        <w:tc>
          <w:tcPr>
            <w:tcW w:w="7260" w:type="dxa"/>
            <w:vAlign w:val="bottom"/>
          </w:tcPr>
          <w:p>
            <w:pPr>
              <w:ind w:left="20"/>
              <w:spacing w:after="0"/>
              <w:rPr>
                <w:sz w:val="20"/>
                <w:szCs w:val="20"/>
                <w:color w:val="auto"/>
              </w:rPr>
            </w:pPr>
            <w:r>
              <w:rPr>
                <w:rFonts w:ascii="Arial" w:cs="Arial" w:eastAsia="Arial" w:hAnsi="Arial"/>
                <w:sz w:val="11"/>
                <w:szCs w:val="11"/>
                <w:b w:val="1"/>
                <w:bCs w:val="1"/>
                <w:color w:val="auto"/>
              </w:rPr>
              <w:t>Lease Liability</w:t>
            </w:r>
          </w:p>
        </w:tc>
        <w:tc>
          <w:tcPr>
            <w:tcW w:w="1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Lease liability</w:t>
            </w:r>
          </w:p>
        </w:tc>
        <w:tc>
          <w:tcPr>
            <w:tcW w:w="1400" w:type="dxa"/>
            <w:vAlign w:val="bottom"/>
            <w:shd w:val="clear" w:color="auto" w:fill="CCEEFF"/>
          </w:tcPr>
          <w:p>
            <w:pPr>
              <w:jc w:val="right"/>
              <w:ind w:right="1261"/>
              <w:spacing w:after="0"/>
              <w:rPr>
                <w:sz w:val="20"/>
                <w:szCs w:val="20"/>
                <w:color w:val="auto"/>
              </w:rPr>
            </w:pPr>
            <w:r>
              <w:rPr>
                <w:rFonts w:ascii="Arial" w:cs="Arial" w:eastAsia="Arial" w:hAnsi="Arial"/>
                <w:sz w:val="11"/>
                <w:szCs w:val="11"/>
                <w:b w:val="1"/>
                <w:bCs w:val="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6,892</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b w:val="1"/>
                <w:bCs w:val="1"/>
                <w:color w:val="auto"/>
                <w:w w:val="97"/>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5,327</w:t>
            </w:r>
          </w:p>
        </w:tc>
      </w:tr>
      <w:tr>
        <w:trPr>
          <w:trHeight w:val="159"/>
        </w:trPr>
        <w:tc>
          <w:tcPr>
            <w:tcW w:w="72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Less: Accumulated amortization</w:t>
            </w:r>
          </w:p>
        </w:tc>
        <w:tc>
          <w:tcPr>
            <w:tcW w:w="14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(3,101)</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(2,968)</w:t>
            </w:r>
          </w:p>
        </w:tc>
      </w:tr>
      <w:tr>
        <w:trPr>
          <w:trHeight w:val="175"/>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lease liability</w:t>
            </w:r>
          </w:p>
        </w:tc>
        <w:tc>
          <w:tcPr>
            <w:tcW w:w="1400" w:type="dxa"/>
            <w:vAlign w:val="bottom"/>
            <w:tcBorders>
              <w:bottom w:val="single" w:sz="8" w:color="auto"/>
            </w:tcBorders>
            <w:shd w:val="clear" w:color="auto" w:fill="CCEEFF"/>
          </w:tcPr>
          <w:p>
            <w:pPr>
              <w:jc w:val="right"/>
              <w:ind w:right="1261"/>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3,791</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1"/>
                <w:szCs w:val="11"/>
                <w:b w:val="1"/>
                <w:bCs w:val="1"/>
                <w:color w:val="auto"/>
                <w:w w:val="97"/>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2,359</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378"/>
        </w:trPr>
        <w:tc>
          <w:tcPr>
            <w:tcW w:w="8660" w:type="dxa"/>
            <w:vAlign w:val="bottom"/>
            <w:gridSpan w:val="2"/>
          </w:tcPr>
          <w:p>
            <w:pPr>
              <w:spacing w:after="0"/>
              <w:rPr>
                <w:sz w:val="20"/>
                <w:szCs w:val="20"/>
                <w:color w:val="auto"/>
              </w:rPr>
            </w:pPr>
            <w:r>
              <w:rPr>
                <w:rFonts w:ascii="Arial" w:cs="Arial" w:eastAsia="Arial" w:hAnsi="Arial"/>
                <w:sz w:val="14"/>
                <w:szCs w:val="14"/>
                <w:color w:val="auto"/>
              </w:rPr>
              <w:t>Future minimum payments for operating leases with initial or remaining terms of one year or more are as follows at December 31, 2023:</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14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803"/>
              <w:spacing w:after="0"/>
              <w:rPr>
                <w:sz w:val="20"/>
                <w:szCs w:val="20"/>
                <w:color w:val="auto"/>
              </w:rPr>
            </w:pPr>
            <w:r>
              <w:rPr>
                <w:rFonts w:ascii="Arial" w:cs="Arial" w:eastAsia="Arial" w:hAnsi="Arial"/>
                <w:sz w:val="11"/>
                <w:szCs w:val="11"/>
                <w:b w:val="1"/>
                <w:bCs w:val="1"/>
                <w:color w:val="auto"/>
              </w:rPr>
              <w:t>2023</w:t>
            </w:r>
          </w:p>
        </w:tc>
      </w:tr>
      <w:tr>
        <w:trPr>
          <w:trHeight w:val="13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Amounts due in:</w:t>
            </w:r>
          </w:p>
        </w:tc>
        <w:tc>
          <w:tcPr>
            <w:tcW w:w="1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59"/>
        </w:trPr>
        <w:tc>
          <w:tcPr>
            <w:tcW w:w="7260" w:type="dxa"/>
            <w:vAlign w:val="bottom"/>
          </w:tcPr>
          <w:p>
            <w:pPr>
              <w:ind w:left="20"/>
              <w:spacing w:after="0"/>
              <w:rPr>
                <w:sz w:val="20"/>
                <w:szCs w:val="20"/>
                <w:color w:val="auto"/>
              </w:rPr>
            </w:pPr>
            <w:r>
              <w:rPr>
                <w:rFonts w:ascii="Arial" w:cs="Arial" w:eastAsia="Arial" w:hAnsi="Arial"/>
                <w:sz w:val="11"/>
                <w:szCs w:val="11"/>
                <w:color w:val="auto"/>
              </w:rPr>
              <w:t>2024</w:t>
            </w:r>
          </w:p>
        </w:tc>
        <w:tc>
          <w:tcPr>
            <w:tcW w:w="1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1"/>
                <w:szCs w:val="11"/>
                <w:b w:val="1"/>
                <w:bCs w:val="1"/>
                <w:color w:val="auto"/>
              </w:rPr>
              <w:t>1,161</w:t>
            </w:r>
          </w:p>
        </w:tc>
      </w:tr>
      <w:tr>
        <w:trPr>
          <w:trHeight w:val="15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2025</w:t>
            </w:r>
          </w:p>
        </w:tc>
        <w:tc>
          <w:tcPr>
            <w:tcW w:w="1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715</w:t>
            </w:r>
          </w:p>
        </w:tc>
      </w:tr>
      <w:tr>
        <w:trPr>
          <w:trHeight w:val="159"/>
        </w:trPr>
        <w:tc>
          <w:tcPr>
            <w:tcW w:w="7260" w:type="dxa"/>
            <w:vAlign w:val="bottom"/>
          </w:tcPr>
          <w:p>
            <w:pPr>
              <w:ind w:left="20"/>
              <w:spacing w:after="0"/>
              <w:rPr>
                <w:sz w:val="20"/>
                <w:szCs w:val="20"/>
                <w:color w:val="auto"/>
              </w:rPr>
            </w:pPr>
            <w:r>
              <w:rPr>
                <w:rFonts w:ascii="Arial" w:cs="Arial" w:eastAsia="Arial" w:hAnsi="Arial"/>
                <w:sz w:val="11"/>
                <w:szCs w:val="11"/>
                <w:color w:val="auto"/>
              </w:rPr>
              <w:t>2026</w:t>
            </w:r>
          </w:p>
        </w:tc>
        <w:tc>
          <w:tcPr>
            <w:tcW w:w="1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b w:val="1"/>
                <w:bCs w:val="1"/>
                <w:color w:val="auto"/>
              </w:rPr>
              <w:t>665</w:t>
            </w:r>
          </w:p>
        </w:tc>
      </w:tr>
      <w:tr>
        <w:trPr>
          <w:trHeight w:val="15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2027</w:t>
            </w:r>
          </w:p>
        </w:tc>
        <w:tc>
          <w:tcPr>
            <w:tcW w:w="1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396</w:t>
            </w:r>
          </w:p>
        </w:tc>
      </w:tr>
      <w:tr>
        <w:trPr>
          <w:trHeight w:val="159"/>
        </w:trPr>
        <w:tc>
          <w:tcPr>
            <w:tcW w:w="7260" w:type="dxa"/>
            <w:vAlign w:val="bottom"/>
          </w:tcPr>
          <w:p>
            <w:pPr>
              <w:ind w:left="20"/>
              <w:spacing w:after="0"/>
              <w:rPr>
                <w:sz w:val="20"/>
                <w:szCs w:val="20"/>
                <w:color w:val="auto"/>
              </w:rPr>
            </w:pPr>
            <w:r>
              <w:rPr>
                <w:rFonts w:ascii="Arial" w:cs="Arial" w:eastAsia="Arial" w:hAnsi="Arial"/>
                <w:sz w:val="11"/>
                <w:szCs w:val="11"/>
                <w:color w:val="auto"/>
              </w:rPr>
              <w:t>2028</w:t>
            </w:r>
          </w:p>
        </w:tc>
        <w:tc>
          <w:tcPr>
            <w:tcW w:w="1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b w:val="1"/>
                <w:bCs w:val="1"/>
                <w:color w:val="auto"/>
              </w:rPr>
              <w:t>266</w:t>
            </w:r>
          </w:p>
        </w:tc>
      </w:tr>
      <w:tr>
        <w:trPr>
          <w:trHeight w:val="15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thereafter</w:t>
            </w:r>
          </w:p>
        </w:tc>
        <w:tc>
          <w:tcPr>
            <w:tcW w:w="1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1,182</w:t>
            </w:r>
          </w:p>
        </w:tc>
      </w:tr>
      <w:tr>
        <w:trPr>
          <w:trHeight w:val="150"/>
        </w:trPr>
        <w:tc>
          <w:tcPr>
            <w:tcW w:w="7260" w:type="dxa"/>
            <w:vAlign w:val="bottom"/>
          </w:tcPr>
          <w:p>
            <w:pPr>
              <w:ind w:left="120"/>
              <w:spacing w:after="0"/>
              <w:rPr>
                <w:sz w:val="20"/>
                <w:szCs w:val="20"/>
                <w:color w:val="auto"/>
              </w:rPr>
            </w:pPr>
            <w:r>
              <w:rPr>
                <w:rFonts w:ascii="Arial" w:cs="Arial" w:eastAsia="Arial" w:hAnsi="Arial"/>
                <w:sz w:val="11"/>
                <w:szCs w:val="11"/>
                <w:color w:val="auto"/>
              </w:rPr>
              <w:t>Total future lease payments</w:t>
            </w:r>
          </w:p>
        </w:tc>
        <w:tc>
          <w:tcPr>
            <w:tcW w:w="1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b w:val="1"/>
                <w:bCs w:val="1"/>
                <w:color w:val="auto"/>
              </w:rPr>
              <w:t>4,385</w:t>
            </w:r>
          </w:p>
        </w:tc>
      </w:tr>
      <w:tr>
        <w:trPr>
          <w:trHeight w:val="15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Discount of cash flows</w:t>
            </w:r>
          </w:p>
        </w:tc>
        <w:tc>
          <w:tcPr>
            <w:tcW w:w="1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(594)</w:t>
            </w:r>
          </w:p>
        </w:tc>
      </w:tr>
      <w:tr>
        <w:trPr>
          <w:trHeight w:val="150"/>
        </w:trPr>
        <w:tc>
          <w:tcPr>
            <w:tcW w:w="7260" w:type="dxa"/>
            <w:vAlign w:val="bottom"/>
          </w:tcPr>
          <w:p>
            <w:pPr>
              <w:ind w:left="120"/>
              <w:spacing w:after="0"/>
              <w:rPr>
                <w:sz w:val="20"/>
                <w:szCs w:val="20"/>
                <w:color w:val="auto"/>
              </w:rPr>
            </w:pPr>
            <w:r>
              <w:rPr>
                <w:rFonts w:ascii="Arial" w:cs="Arial" w:eastAsia="Arial" w:hAnsi="Arial"/>
                <w:sz w:val="11"/>
                <w:szCs w:val="11"/>
                <w:color w:val="auto"/>
              </w:rPr>
              <w:t>Present value of net future lease payments</w:t>
            </w:r>
          </w:p>
        </w:tc>
        <w:tc>
          <w:tcPr>
            <w:tcW w:w="1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1"/>
                <w:szCs w:val="11"/>
                <w:b w:val="1"/>
                <w:bCs w:val="1"/>
                <w:color w:val="auto"/>
              </w:rPr>
              <w:t>3,791</w:t>
            </w:r>
          </w:p>
        </w:tc>
      </w:tr>
      <w:tr>
        <w:trPr>
          <w:trHeight w:val="20"/>
        </w:trPr>
        <w:tc>
          <w:tcPr>
            <w:tcW w:w="7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Operating lease and rent expense totaled $1.3 million for both the years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04" w:name="page105"/>
    <w:bookmarkEnd w:id="104"/>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Derivative Financial Instruments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part of its mortgage banking activities, the Company enters into interest rate lock commitments, which are commitments to originate loans whereby the interest rate on the loan is determined prior to funding and customers have locked into that interest rate. The Company then locks the loan and rate in with an investor and commits to deliver the loan if settlement occurs (Best Efforts). Certain loans under rate lock commitments are covered under forward sales contracts. Forward sales contracts are recorded at fair value with changes in fair value recorded in mortgage banking revenue. Interest rate lock commitments and commitments to deliver loans to investors are considered to be derivatives. The market value of interest rate lock commitments and best efforts contracts are not readily ascertainable with precision because they are not actively traded in stand-alone markets. The Company determines the fair value of rate lock commitments by estimating the fair value of the underlying asset, which is impacted by current interest rates and takes into consideration the probability that the rate lock commitments will close or will be funded.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reports the commitment and fair value amounts on the outstanding derivatives: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(in thousands)</w:t>
            </w: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December 31, 2023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December 31, 2022</w:t>
            </w:r>
          </w:p>
        </w:tc>
      </w:tr>
      <w:tr>
        <w:trPr>
          <w:trHeight w:val="150"/>
        </w:trPr>
        <w:tc>
          <w:tcPr>
            <w:tcW w:w="7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Notional amount of open forward sales agreements</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800" w:type="dxa"/>
            <w:vAlign w:val="bottom"/>
            <w:gridSpan w:val="3"/>
            <w:shd w:val="clear" w:color="auto" w:fill="CCEEFF"/>
          </w:tcPr>
          <w:p>
            <w:pPr>
              <w:ind w:left="1320"/>
              <w:spacing w:after="0"/>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1"/>
                <w:szCs w:val="1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1,750</w:t>
            </w:r>
          </w:p>
        </w:tc>
      </w:tr>
      <w:tr>
        <w:trPr>
          <w:trHeight w:val="159"/>
        </w:trPr>
        <w:tc>
          <w:tcPr>
            <w:tcW w:w="7780" w:type="dxa"/>
            <w:vAlign w:val="bottom"/>
          </w:tcPr>
          <w:p>
            <w:pPr>
              <w:ind w:left="20"/>
              <w:spacing w:after="0"/>
              <w:rPr>
                <w:sz w:val="20"/>
                <w:szCs w:val="20"/>
                <w:color w:val="auto"/>
              </w:rPr>
            </w:pPr>
            <w:r>
              <w:rPr>
                <w:rFonts w:ascii="Arial" w:cs="Arial" w:eastAsia="Arial" w:hAnsi="Arial"/>
                <w:sz w:val="11"/>
                <w:szCs w:val="11"/>
                <w:color w:val="auto"/>
              </w:rPr>
              <w:t>Fair value of open forward delivery sales agreements</w:t>
            </w:r>
          </w:p>
        </w:tc>
        <w:tc>
          <w:tcPr>
            <w:tcW w:w="200" w:type="dxa"/>
            <w:vAlign w:val="bottom"/>
          </w:tcPr>
          <w:p>
            <w:pPr>
              <w:spacing w:after="0"/>
              <w:rPr>
                <w:sz w:val="13"/>
                <w:szCs w:val="13"/>
                <w:color w:val="auto"/>
              </w:rPr>
            </w:pPr>
          </w:p>
        </w:tc>
        <w:tc>
          <w:tcPr>
            <w:tcW w:w="1800" w:type="dxa"/>
            <w:vAlign w:val="bottom"/>
            <w:gridSpan w:val="3"/>
          </w:tcPr>
          <w:p>
            <w:pPr>
              <w:ind w:left="1320"/>
              <w:spacing w:after="0"/>
              <w:rPr>
                <w:sz w:val="20"/>
                <w:szCs w:val="20"/>
                <w:color w:val="auto"/>
              </w:rPr>
            </w:pPr>
            <w:r>
              <w:rPr>
                <w:rFonts w:ascii="Arial" w:cs="Arial" w:eastAsia="Arial" w:hAnsi="Arial"/>
                <w:sz w:val="11"/>
                <w:szCs w:val="11"/>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9</w:t>
            </w:r>
          </w:p>
        </w:tc>
      </w:tr>
      <w:tr>
        <w:trPr>
          <w:trHeight w:val="159"/>
        </w:trPr>
        <w:tc>
          <w:tcPr>
            <w:tcW w:w="7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Notional amount of interest rate lock commitments</w:t>
            </w:r>
          </w:p>
        </w:tc>
        <w:tc>
          <w:tcPr>
            <w:tcW w:w="200" w:type="dxa"/>
            <w:vAlign w:val="bottom"/>
            <w:shd w:val="clear" w:color="auto" w:fill="CCEEFF"/>
          </w:tcPr>
          <w:p>
            <w:pPr>
              <w:spacing w:after="0"/>
              <w:rPr>
                <w:sz w:val="13"/>
                <w:szCs w:val="13"/>
                <w:color w:val="auto"/>
              </w:rPr>
            </w:pPr>
          </w:p>
        </w:tc>
        <w:tc>
          <w:tcPr>
            <w:tcW w:w="1800" w:type="dxa"/>
            <w:vAlign w:val="bottom"/>
            <w:gridSpan w:val="3"/>
            <w:shd w:val="clear" w:color="auto" w:fill="CCEEFF"/>
          </w:tcPr>
          <w:p>
            <w:pPr>
              <w:ind w:left="1320"/>
              <w:spacing w:after="0"/>
              <w:rPr>
                <w:sz w:val="20"/>
                <w:szCs w:val="20"/>
                <w:color w:val="auto"/>
              </w:rPr>
            </w:pPr>
            <w:r>
              <w:rPr>
                <w:rFonts w:ascii="Arial" w:cs="Arial" w:eastAsia="Arial" w:hAnsi="Arial"/>
                <w:sz w:val="11"/>
                <w:szCs w:val="11"/>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626</w:t>
            </w:r>
          </w:p>
        </w:tc>
      </w:tr>
      <w:tr>
        <w:trPr>
          <w:trHeight w:val="159"/>
        </w:trPr>
        <w:tc>
          <w:tcPr>
            <w:tcW w:w="7780" w:type="dxa"/>
            <w:vAlign w:val="bottom"/>
          </w:tcPr>
          <w:p>
            <w:pPr>
              <w:ind w:left="20"/>
              <w:spacing w:after="0"/>
              <w:rPr>
                <w:sz w:val="20"/>
                <w:szCs w:val="20"/>
                <w:color w:val="auto"/>
              </w:rPr>
            </w:pPr>
            <w:r>
              <w:rPr>
                <w:rFonts w:ascii="Arial" w:cs="Arial" w:eastAsia="Arial" w:hAnsi="Arial"/>
                <w:sz w:val="11"/>
                <w:szCs w:val="11"/>
                <w:color w:val="auto"/>
              </w:rPr>
              <w:t>Fair value of interest rate lock commitments</w:t>
            </w:r>
          </w:p>
        </w:tc>
        <w:tc>
          <w:tcPr>
            <w:tcW w:w="200" w:type="dxa"/>
            <w:vAlign w:val="bottom"/>
          </w:tcPr>
          <w:p>
            <w:pPr>
              <w:spacing w:after="0"/>
              <w:rPr>
                <w:sz w:val="13"/>
                <w:szCs w:val="13"/>
                <w:color w:val="auto"/>
              </w:rPr>
            </w:pPr>
          </w:p>
        </w:tc>
        <w:tc>
          <w:tcPr>
            <w:tcW w:w="1800" w:type="dxa"/>
            <w:vAlign w:val="bottom"/>
            <w:gridSpan w:val="3"/>
          </w:tcPr>
          <w:p>
            <w:pPr>
              <w:ind w:left="1320"/>
              <w:spacing w:after="0"/>
              <w:rPr>
                <w:sz w:val="20"/>
                <w:szCs w:val="20"/>
                <w:color w:val="auto"/>
              </w:rPr>
            </w:pPr>
            <w:r>
              <w:rPr>
                <w:rFonts w:ascii="Arial" w:cs="Arial" w:eastAsia="Arial" w:hAnsi="Arial"/>
                <w:sz w:val="11"/>
                <w:szCs w:val="11"/>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1</w:t>
            </w:r>
          </w:p>
        </w:tc>
      </w:tr>
    </w:tbl>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Deposits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Time deposits that meet or exceed the FDIC Insurance Limit of $250,000 at year-end 2023 and 2022 were $124.7 million and $96.3 million.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Scheduled maturities of time deposits for the next five years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960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78"/>
        </w:trPr>
        <w:tc>
          <w:tcPr>
            <w:tcW w:w="9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62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350,658</w:t>
            </w:r>
          </w:p>
        </w:tc>
      </w:tr>
      <w:tr>
        <w:trPr>
          <w:trHeight w:val="170"/>
        </w:trPr>
        <w:tc>
          <w:tcPr>
            <w:tcW w:w="9600" w:type="dxa"/>
            <w:vAlign w:val="bottom"/>
          </w:tcPr>
          <w:p>
            <w:pPr>
              <w:ind w:left="20"/>
              <w:spacing w:after="0"/>
              <w:rPr>
                <w:sz w:val="20"/>
                <w:szCs w:val="20"/>
                <w:color w:val="auto"/>
              </w:rPr>
            </w:pPr>
            <w:r>
              <w:rPr>
                <w:rFonts w:ascii="Arial" w:cs="Arial" w:eastAsia="Arial" w:hAnsi="Arial"/>
                <w:sz w:val="13"/>
                <w:szCs w:val="13"/>
                <w:color w:val="auto"/>
              </w:rPr>
              <w:t>2025</w:t>
            </w:r>
          </w:p>
        </w:tc>
        <w:tc>
          <w:tcPr>
            <w:tcW w:w="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58,400</w:t>
            </w:r>
          </w:p>
        </w:tc>
      </w:tr>
      <w:tr>
        <w:trPr>
          <w:trHeight w:val="170"/>
        </w:trPr>
        <w:tc>
          <w:tcPr>
            <w:tcW w:w="9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6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1,425</w:t>
            </w:r>
          </w:p>
        </w:tc>
      </w:tr>
      <w:tr>
        <w:trPr>
          <w:trHeight w:val="170"/>
        </w:trPr>
        <w:tc>
          <w:tcPr>
            <w:tcW w:w="9600" w:type="dxa"/>
            <w:vAlign w:val="bottom"/>
          </w:tcPr>
          <w:p>
            <w:pPr>
              <w:ind w:left="20"/>
              <w:spacing w:after="0"/>
              <w:rPr>
                <w:sz w:val="20"/>
                <w:szCs w:val="20"/>
                <w:color w:val="auto"/>
              </w:rPr>
            </w:pPr>
            <w:r>
              <w:rPr>
                <w:rFonts w:ascii="Arial" w:cs="Arial" w:eastAsia="Arial" w:hAnsi="Arial"/>
                <w:sz w:val="13"/>
                <w:szCs w:val="13"/>
                <w:color w:val="auto"/>
              </w:rPr>
              <w:t>2027</w:t>
            </w:r>
          </w:p>
        </w:tc>
        <w:tc>
          <w:tcPr>
            <w:tcW w:w="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402</w:t>
            </w:r>
          </w:p>
        </w:tc>
      </w:tr>
      <w:tr>
        <w:trPr>
          <w:trHeight w:val="170"/>
        </w:trPr>
        <w:tc>
          <w:tcPr>
            <w:tcW w:w="9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6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69</w:t>
            </w:r>
          </w:p>
        </w:tc>
      </w:tr>
      <w:tr>
        <w:trPr>
          <w:trHeight w:val="160"/>
        </w:trPr>
        <w:tc>
          <w:tcPr>
            <w:tcW w:w="9600" w:type="dxa"/>
            <w:vAlign w:val="bottom"/>
          </w:tcPr>
          <w:p>
            <w:pPr>
              <w:ind w:left="100"/>
              <w:spacing w:after="0"/>
              <w:rPr>
                <w:sz w:val="20"/>
                <w:szCs w:val="20"/>
                <w:color w:val="auto"/>
              </w:rPr>
            </w:pPr>
            <w:r>
              <w:rPr>
                <w:rFonts w:ascii="Arial" w:cs="Arial" w:eastAsia="Arial" w:hAnsi="Arial"/>
                <w:sz w:val="13"/>
                <w:szCs w:val="13"/>
                <w:color w:val="auto"/>
              </w:rPr>
              <w:t>Total</w:t>
            </w:r>
          </w:p>
        </w:tc>
        <w:tc>
          <w:tcPr>
            <w:tcW w:w="6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410,954</w:t>
            </w:r>
          </w:p>
        </w:tc>
      </w:tr>
      <w:tr>
        <w:trPr>
          <w:trHeight w:val="20"/>
        </w:trPr>
        <w:tc>
          <w:tcPr>
            <w:tcW w:w="9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05" w:name="page106"/>
    <w:bookmarkEnd w:id="105"/>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Borrowed Funds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2023 and 2022, the Company was indebted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743"/>
              <w:spacing w:after="0"/>
              <w:rPr>
                <w:sz w:val="20"/>
                <w:szCs w:val="20"/>
                <w:color w:val="auto"/>
              </w:rPr>
            </w:pPr>
            <w:r>
              <w:rPr>
                <w:rFonts w:ascii="Arial" w:cs="Arial" w:eastAsia="Arial" w:hAnsi="Arial"/>
                <w:sz w:val="11"/>
                <w:szCs w:val="11"/>
                <w:b w:val="1"/>
                <w:bCs w:val="1"/>
                <w:color w:val="auto"/>
              </w:rPr>
              <w:t>2023</w:t>
            </w:r>
          </w:p>
        </w:tc>
        <w:tc>
          <w:tcPr>
            <w:tcW w:w="3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1"/>
                <w:szCs w:val="11"/>
                <w:b w:val="1"/>
                <w:bCs w:val="1"/>
                <w:color w:val="auto"/>
              </w:rPr>
              <w:t>2022</w:t>
            </w:r>
          </w:p>
        </w:tc>
        <w:tc>
          <w:tcPr>
            <w:tcW w:w="940" w:type="dxa"/>
            <w:vAlign w:val="bottom"/>
            <w:tcBorders>
              <w:bottom w:val="single" w:sz="8" w:color="auto"/>
            </w:tcBorders>
          </w:tcPr>
          <w:p>
            <w:pPr>
              <w:spacing w:after="0"/>
              <w:rPr>
                <w:sz w:val="13"/>
                <w:szCs w:val="13"/>
                <w:color w:val="auto"/>
              </w:rPr>
            </w:pPr>
          </w:p>
        </w:tc>
      </w:tr>
      <w:tr>
        <w:trPr>
          <w:trHeight w:val="150"/>
        </w:trPr>
        <w:tc>
          <w:tcPr>
            <w:tcW w:w="5900" w:type="dxa"/>
            <w:vAlign w:val="bottom"/>
          </w:tcPr>
          <w:p>
            <w:pPr>
              <w:ind w:left="20"/>
              <w:spacing w:after="0"/>
              <w:rPr>
                <w:sz w:val="20"/>
                <w:szCs w:val="20"/>
                <w:color w:val="auto"/>
              </w:rPr>
            </w:pPr>
            <w:r>
              <w:rPr>
                <w:rFonts w:ascii="Arial" w:cs="Arial" w:eastAsia="Arial" w:hAnsi="Arial"/>
                <w:sz w:val="8"/>
                <w:szCs w:val="8"/>
                <w:i w:val="1"/>
                <w:iCs w:val="1"/>
                <w:color w:val="auto"/>
              </w:rPr>
              <w:t>(dollars in thousands)</w:t>
            </w:r>
          </w:p>
        </w:tc>
        <w:tc>
          <w:tcPr>
            <w:tcW w:w="240" w:type="dxa"/>
            <w:vAlign w:val="bottom"/>
          </w:tcPr>
          <w:p>
            <w:pPr>
              <w:spacing w:after="0"/>
              <w:rPr>
                <w:sz w:val="13"/>
                <w:szCs w:val="13"/>
                <w:color w:val="auto"/>
              </w:rPr>
            </w:pPr>
          </w:p>
        </w:tc>
        <w:tc>
          <w:tcPr>
            <w:tcW w:w="920" w:type="dxa"/>
            <w:vAlign w:val="bottom"/>
          </w:tcPr>
          <w:p>
            <w:pPr>
              <w:jc w:val="right"/>
              <w:ind w:right="283"/>
              <w:spacing w:after="0"/>
              <w:rPr>
                <w:sz w:val="20"/>
                <w:szCs w:val="20"/>
                <w:color w:val="auto"/>
              </w:rPr>
            </w:pPr>
            <w:r>
              <w:rPr>
                <w:rFonts w:ascii="Arial" w:cs="Arial" w:eastAsia="Arial" w:hAnsi="Arial"/>
                <w:sz w:val="11"/>
                <w:szCs w:val="11"/>
                <w:b w:val="1"/>
                <w:bCs w:val="1"/>
                <w:color w:val="auto"/>
              </w:rPr>
              <w:t>Balance</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Interest</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3"/>
          </w:tcPr>
          <w:p>
            <w:pPr>
              <w:jc w:val="right"/>
              <w:ind w:right="760"/>
              <w:spacing w:after="0"/>
              <w:rPr>
                <w:sz w:val="20"/>
                <w:szCs w:val="20"/>
                <w:color w:val="auto"/>
              </w:rPr>
            </w:pPr>
            <w:r>
              <w:rPr>
                <w:rFonts w:ascii="Arial" w:cs="Arial" w:eastAsia="Arial" w:hAnsi="Arial"/>
                <w:sz w:val="11"/>
                <w:szCs w:val="11"/>
                <w:color w:val="auto"/>
              </w:rPr>
              <w:t>Balance</w:t>
            </w:r>
          </w:p>
        </w:tc>
        <w:tc>
          <w:tcPr>
            <w:tcW w:w="940" w:type="dxa"/>
            <w:vAlign w:val="bottom"/>
          </w:tcPr>
          <w:p>
            <w:pPr>
              <w:jc w:val="right"/>
              <w:ind w:right="323"/>
              <w:spacing w:after="0"/>
              <w:rPr>
                <w:sz w:val="20"/>
                <w:szCs w:val="20"/>
                <w:color w:val="auto"/>
              </w:rPr>
            </w:pPr>
            <w:r>
              <w:rPr>
                <w:rFonts w:ascii="Arial" w:cs="Arial" w:eastAsia="Arial" w:hAnsi="Arial"/>
                <w:sz w:val="11"/>
                <w:szCs w:val="11"/>
                <w:color w:val="auto"/>
              </w:rPr>
              <w:t>Interest</w:t>
            </w:r>
          </w:p>
        </w:tc>
      </w:tr>
      <w:tr>
        <w:trPr>
          <w:trHeight w:val="150"/>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FHLB fixed rate advance due October 16, 2025</w:t>
            </w: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22,000</w:t>
            </w:r>
          </w:p>
        </w:tc>
        <w:tc>
          <w:tcPr>
            <w:tcW w:w="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0.93 %</w:t>
            </w: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22,000</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0.93 %</w:t>
            </w:r>
          </w:p>
        </w:tc>
      </w:tr>
      <w:tr>
        <w:trPr>
          <w:trHeight w:val="159"/>
        </w:trPr>
        <w:tc>
          <w:tcPr>
            <w:tcW w:w="5900" w:type="dxa"/>
            <w:vAlign w:val="bottom"/>
          </w:tcPr>
          <w:p>
            <w:pPr>
              <w:ind w:left="20"/>
              <w:spacing w:after="0"/>
              <w:rPr>
                <w:sz w:val="20"/>
                <w:szCs w:val="20"/>
                <w:color w:val="auto"/>
              </w:rPr>
            </w:pPr>
            <w:r>
              <w:rPr>
                <w:rFonts w:ascii="Arial" w:cs="Arial" w:eastAsia="Arial" w:hAnsi="Arial"/>
                <w:sz w:val="11"/>
                <w:szCs w:val="11"/>
                <w:color w:val="auto"/>
              </w:rPr>
              <w:t>FHLB fixed rate advance due March 20, 2023</w:t>
            </w: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50,000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4.42</w:t>
            </w:r>
          </w:p>
        </w:tc>
      </w:tr>
      <w:tr>
        <w:trPr>
          <w:trHeight w:val="159"/>
        </w:trPr>
        <w:tc>
          <w:tcPr>
            <w:tcW w:w="5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FHLB daily rate advance due September 13, 2023</w:t>
            </w:r>
          </w:p>
        </w:tc>
        <w:tc>
          <w:tcPr>
            <w:tcW w:w="2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b w:val="1"/>
                <w:bCs w:val="1"/>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35,000</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4.57</w:t>
            </w:r>
          </w:p>
        </w:tc>
      </w:tr>
      <w:tr>
        <w:trPr>
          <w:trHeight w:val="150"/>
        </w:trPr>
        <w:tc>
          <w:tcPr>
            <w:tcW w:w="5900" w:type="dxa"/>
            <w:vAlign w:val="bottom"/>
          </w:tcPr>
          <w:p>
            <w:pPr>
              <w:ind w:left="280"/>
              <w:spacing w:after="0"/>
              <w:rPr>
                <w:sz w:val="20"/>
                <w:szCs w:val="20"/>
                <w:color w:val="auto"/>
              </w:rPr>
            </w:pPr>
            <w:r>
              <w:rPr>
                <w:rFonts w:ascii="Arial" w:cs="Arial" w:eastAsia="Arial" w:hAnsi="Arial"/>
                <w:sz w:val="11"/>
                <w:szCs w:val="11"/>
                <w:color w:val="auto"/>
              </w:rPr>
              <w:t>Total - FHLB advances</w:t>
            </w: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22,000</w:t>
            </w:r>
          </w:p>
        </w:tc>
        <w:tc>
          <w:tcPr>
            <w:tcW w:w="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b w:val="1"/>
                <w:bCs w:val="1"/>
                <w:color w:val="auto"/>
              </w:rPr>
              <w:t>0.93 %</w:t>
            </w:r>
          </w:p>
        </w:tc>
        <w:tc>
          <w:tcPr>
            <w:tcW w:w="26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107,000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3.75 %</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131"/>
        </w:trPr>
        <w:tc>
          <w:tcPr>
            <w:tcW w:w="5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59"/>
        </w:trPr>
        <w:tc>
          <w:tcPr>
            <w:tcW w:w="5900" w:type="dxa"/>
            <w:vAlign w:val="bottom"/>
          </w:tcPr>
          <w:p>
            <w:pPr>
              <w:ind w:left="20"/>
              <w:spacing w:after="0"/>
              <w:rPr>
                <w:sz w:val="20"/>
                <w:szCs w:val="20"/>
                <w:color w:val="auto"/>
              </w:rPr>
            </w:pPr>
            <w:r>
              <w:rPr>
                <w:rFonts w:ascii="Arial" w:cs="Arial" w:eastAsia="Arial" w:hAnsi="Arial"/>
                <w:sz w:val="11"/>
                <w:szCs w:val="11"/>
                <w:color w:val="auto"/>
              </w:rPr>
              <w:t>Junior subordinated debentures due June 15, 2036</w:t>
            </w: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2,062</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b w:val="1"/>
                <w:bCs w:val="1"/>
                <w:color w:val="auto"/>
              </w:rPr>
              <w:t>7.52 %</w:t>
            </w:r>
          </w:p>
        </w:tc>
        <w:tc>
          <w:tcPr>
            <w:tcW w:w="26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2,062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6.64 %</w:t>
            </w:r>
          </w:p>
        </w:tc>
      </w:tr>
      <w:tr>
        <w:trPr>
          <w:trHeight w:val="159"/>
        </w:trPr>
        <w:tc>
          <w:tcPr>
            <w:tcW w:w="5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subordinated notes due November 30, 2030</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10,000</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5.00</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10,000</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5.00</w:t>
            </w:r>
          </w:p>
        </w:tc>
      </w:tr>
      <w:tr>
        <w:trPr>
          <w:trHeight w:val="159"/>
        </w:trPr>
        <w:tc>
          <w:tcPr>
            <w:tcW w:w="5900" w:type="dxa"/>
            <w:vAlign w:val="bottom"/>
          </w:tcPr>
          <w:p>
            <w:pPr>
              <w:ind w:left="20"/>
              <w:spacing w:after="0"/>
              <w:rPr>
                <w:sz w:val="20"/>
                <w:szCs w:val="20"/>
                <w:color w:val="auto"/>
              </w:rPr>
            </w:pPr>
            <w:r>
              <w:rPr>
                <w:rFonts w:ascii="Arial" w:cs="Arial" w:eastAsia="Arial" w:hAnsi="Arial"/>
                <w:sz w:val="11"/>
                <w:szCs w:val="11"/>
                <w:color w:val="auto"/>
              </w:rPr>
              <w:t>Bank Term Funding Program borrowings</w:t>
            </w: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15,000</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jc w:val="right"/>
              <w:ind w:right="83"/>
              <w:spacing w:after="0"/>
              <w:rPr>
                <w:sz w:val="20"/>
                <w:szCs w:val="20"/>
                <w:color w:val="auto"/>
              </w:rPr>
            </w:pPr>
            <w:r>
              <w:rPr>
                <w:rFonts w:ascii="Arial" w:cs="Arial" w:eastAsia="Arial" w:hAnsi="Arial"/>
                <w:sz w:val="11"/>
                <w:szCs w:val="11"/>
                <w:b w:val="1"/>
                <w:bCs w:val="1"/>
                <w:color w:val="auto"/>
              </w:rPr>
              <w:t>4.84</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83"/>
              <w:spacing w:after="0"/>
              <w:rPr>
                <w:sz w:val="20"/>
                <w:szCs w:val="20"/>
                <w:color w:val="auto"/>
              </w:rPr>
            </w:pPr>
            <w:r>
              <w:rPr>
                <w:rFonts w:ascii="Arial" w:cs="Arial" w:eastAsia="Arial" w:hAnsi="Arial"/>
                <w:sz w:val="11"/>
                <w:szCs w:val="11"/>
                <w:b w:val="1"/>
                <w:bCs w:val="1"/>
                <w:color w:val="auto"/>
              </w:rPr>
              <w:t>—</w:t>
            </w:r>
          </w:p>
        </w:tc>
      </w:tr>
      <w:tr>
        <w:trPr>
          <w:trHeight w:val="175"/>
        </w:trPr>
        <w:tc>
          <w:tcPr>
            <w:tcW w:w="59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Total - Other borrowed funds</w:t>
            </w: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27,062</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5.10 %</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12,062</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5.28 %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The FHLB fixed rate advances accrue interest on a daily basis and are paid semi-annually.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Junior subordinated debentures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June 2006, the Company formed Capital Bancorp (MD) Statutory Trust I (the “Trust”) and on June 15, 2006, the Trust issued 2,000 floating rate capital securities (the “Capital Securities”) with an aggregate liquidation value of $2.0 million to a third party in a private placement. Concurrent with the issuance of the Capital Securities, the Trust issued trust common securities to the Company in the aggregate liquidation value of $62 thousand.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proceeds of the issuance of the Capital Securities and trust common securities were invested in the Company’s Floating Rate Junior Subordinated Deferrable Interest Debentures (the “Floating Rate Debentures”). The Floating Rate Debentures for the Trust will mature on June 15, 2036, which may be shortened if certain conditions are met (including the Company having received prior approval of the Board of Governors of the Federal Reserve System and any other required regulatory approvals). These Floating Rate Debentures, which are the only assets of the Trust, are subordinate and junior in right of payment to all present and future senior indebtedness (as defined in the Indenture dated June 15, 2006) of the Company. The Floating Rate Debentures for the Trust accrue interest at a floating rate equal to the three-month CME Term SOFR plus a spread adjustment of 0.26161% (or 26.161 basis points) plus 187 basis points, payable quarterly. As of December 31, 2023 and 2022, the rate for the Trust was 7.52% and 6.64%, respectively. The quarterly distributions on the Capital Securities will be paid at the same rate that interest is paid on the Floating Rate Debentures.</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has fully and unconditionally guaranteed the Trust’s obligation under the Capital Securities. The Trust must redeem the Capital Securities when the Floating Rate Debentures are paid at maturity or upon any earlier prepayment of the Floating Rate Debentures. The Floating Rate Debentures may be prepaid if certain events occur, including a change in the tax status or regulatory capital treatment of the Capital Securities, or a change in existing laws that requires the Trust to register as an investment company.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junior subordinated debentures are treated as Tier 1 capital by the Company, to a limited extent, by the Federal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06" w:name="page107"/>
    <w:bookmarkEnd w:id="106"/>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Borrowed Funds (continued)</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subordinated notes</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November 30, 2020, the Company issued $10.0 million of subordinated notes (the “Notes”). The Notes mature on November 30, 2030 and are redeemable in whole or part on November 30, 2025. The Notes bear interest at a fixed annual rate of 5.00% for the first five years, then adjust quarterly to an interest rate per annum equal to a benchmark rate, which is expected to be the three-month SOFR, plus 490 basis points. There were related debt issuance costs incurred totaling $50,000 which were fully expensed at the time of issuance. The Company used the proceeds from the Notes to redeem the outstanding $13.5 million, 6.95% fixed-to-floating rate subordinated notes issued in November 2015 and called on December 1, 2020.</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Federal Reserve’s Bank Term Funding Program</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March 12, 2023, in response to liquidity concerns in the banking system, the Federal Deposit Insurance Corporation, Federal Reserve and U.S. Department of Treasury, collaboratively approved certain actions with a stated intention to reduce stress across the financial system, support financial stability and minimize any impact on business, households, taxpayers, and the broader economy. Among other actions, the Federal Reserve Board has created the BTFP to make additional funding available to eligible depository institutions to help assure institutions can meet the needs of their depositors. Eligible institutions may obtain liquidity against a wide range of collateral, at par value. BTFP advances can be requested through at least March 11, 2024. At December 31, 2023, the Company had $15.0 million of BTFP borrowings. In January 2024, the Company paid off the $15.0 million of BTFP borrowings.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Available lines of credit</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has available lines of credit of $76.0 million with other correspondent banks. There were no outstanding line of credit balances at December 31, 2023 and December 31, 2022.</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may borrow up to 25% of its assets from the FHLB, based on collateral available to pledge to secure the borrowings. Borrowings from the FHLB are secured by a portion of the Company’s loan and/or investment portfolio. As of December 31, 2023 and 2022, the Company had pledged loans providing borrowing capacity of $313.5 million and $330.8 million, respectively. The Company did not have any pledged investment securities to the FHLB at December 31, 2023 or December 31, 2022. As of December 31, 2023 and 2022, the Company had available borrowing capacity, net of advances and amounts pledged for letters of credit, from the FHLB of $291.5 million and $223.8 million, respectively.</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December 31, 2023 and 2022, the Company had pledged commercial loans to the Federal Reserve Bank of Richmond to secure a borrowing capacity totaling $16.6 million and $21.4 million, respectively, under its discount window program.</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limits its certificate of deposit funding through financial networks to 15% of the Bank’s assets, or approximately $326.5 million and $310.5 million as of December 31, 2023 and 2022, respectively. The Company had $142.4 million outstanding as of December 31, 2023 and $131.8 million outstanding as of December 31, 2022.</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Retirement Plans</w:t>
      </w:r>
    </w:p>
    <w:p>
      <w:pPr>
        <w:spacing w:after="0" w:line="179" w:lineRule="exact"/>
        <w:rPr>
          <w:sz w:val="20"/>
          <w:szCs w:val="20"/>
          <w:color w:val="auto"/>
        </w:rPr>
      </w:pPr>
    </w:p>
    <w:p>
      <w:pPr>
        <w:jc w:val="both"/>
        <w:spacing w:after="0" w:line="176" w:lineRule="exact"/>
        <w:rPr>
          <w:sz w:val="20"/>
          <w:szCs w:val="20"/>
          <w:color w:val="auto"/>
        </w:rPr>
      </w:pPr>
      <w:r>
        <w:rPr>
          <w:rFonts w:ascii="Arial" w:cs="Arial" w:eastAsia="Arial" w:hAnsi="Arial"/>
          <w:sz w:val="14"/>
          <w:szCs w:val="14"/>
          <w:color w:val="auto"/>
        </w:rPr>
        <w:t>The Company provides a defined contribution plan qualifying under Section 401(k) of the Internal Revenue Code to eligible employees. The Company contributes 3% of eligible compensation on behalf of all full</w:t>
      </w:r>
      <w:r>
        <w:rPr>
          <w:rFonts w:ascii="MS PGothic" w:cs="MS PGothic" w:eastAsia="MS PGothic" w:hAnsi="MS PGothic"/>
          <w:sz w:val="14"/>
          <w:szCs w:val="14"/>
          <w:color w:val="auto"/>
        </w:rPr>
        <w:t>‑</w:t>
      </w:r>
      <w:r>
        <w:rPr>
          <w:rFonts w:ascii="Arial" w:cs="Arial" w:eastAsia="Arial" w:hAnsi="Arial"/>
          <w:sz w:val="14"/>
          <w:szCs w:val="14"/>
          <w:color w:val="auto"/>
        </w:rPr>
        <w:t>time employees up to limits prescribed by the Internal Revenue Code. The Company’s contribution to the plan was $1.0 million in 2023 and $850 thousand in 2022.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07" w:name="page108"/>
    <w:bookmarkEnd w:id="107"/>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Retirement Plans (continued)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Bank adopted a Long-Term Incentive Plan (“LTIP”) for executive management members in 2021. The LTIP is in the form of a nonqualified deferred compensation plan and complies with Internal Revenue Code Section 409A as well as related guidance and regulations. The LTIP was introduced in order to align long-term interests of the Bank with the Bank’s key executive management members. Under the LTIP, the CEO is eligible to earn an annual contribution of 20% of salary for achieving targeted performance levels while other executive management members are eligible to earn an annual contribution of 15% of salary for achieving targeted performance levels. The Compensation Committee may award more for overachievement of the targets, and all targets are set for participants at the beginning of a fiscal year. All participants are subject to the following vesting schedule for any earnings (or losses) on the investment of the contribution: 100% vesting following completion of either (i) ten years of service by the applicable executive from the later of the effective date of the LTIP or the executive’s hire date or (ii) ten years of continuous, full-time employment with the Bank by the applicable executive (to include continuous employment prior to the effective date of the LTIP) and retirement, which is defined in the LTIP as the later of a participant’s separation from service or the executive attaining 67 years of age. In the event of a change in control, the LTIP will accelerate vesting. Any executive not fulfilling either vesting requirement will forfeit any employer contributions.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Related-Party Transactions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Certain executive officers and directors of the Company and Bank, and companies with which they are affiliated, are clients of and have banking transactions with the Company in the ordinary course of business. These transactions are conducted on substantially the same terms, including interest rates and collateral, as those prevailing at the time for comparable transactions with persons not related to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Activity in related-party loans during 2023 and 2022 is shown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b w:val="1"/>
                <w:bCs w:val="1"/>
                <w:color w:val="auto"/>
              </w:rPr>
              <w:t>2023</w:t>
            </w:r>
          </w:p>
        </w:tc>
        <w:tc>
          <w:tcPr>
            <w:tcW w:w="1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r>
      <w:tr>
        <w:trPr>
          <w:trHeight w:val="160"/>
        </w:trPr>
        <w:tc>
          <w:tcPr>
            <w:tcW w:w="7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year</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36,305</w:t>
            </w: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center"/>
              <w:ind w:left="916"/>
              <w:spacing w:after="0"/>
              <w:rPr>
                <w:sz w:val="20"/>
                <w:szCs w:val="20"/>
                <w:color w:val="auto"/>
              </w:rPr>
            </w:pPr>
            <w:r>
              <w:rPr>
                <w:rFonts w:ascii="Arial" w:cs="Arial" w:eastAsia="Arial" w:hAnsi="Arial"/>
                <w:sz w:val="13"/>
                <w:szCs w:val="13"/>
                <w:color w:val="auto"/>
                <w:w w:val="95"/>
              </w:rPr>
              <w:t>32,524</w:t>
            </w:r>
          </w:p>
        </w:tc>
      </w:tr>
      <w:tr>
        <w:trPr>
          <w:trHeight w:val="170"/>
        </w:trPr>
        <w:tc>
          <w:tcPr>
            <w:tcW w:w="7240" w:type="dxa"/>
            <w:vAlign w:val="bottom"/>
          </w:tcPr>
          <w:p>
            <w:pPr>
              <w:ind w:left="120"/>
              <w:spacing w:after="0"/>
              <w:rPr>
                <w:sz w:val="20"/>
                <w:szCs w:val="20"/>
                <w:color w:val="auto"/>
              </w:rPr>
            </w:pPr>
            <w:r>
              <w:rPr>
                <w:rFonts w:ascii="Arial" w:cs="Arial" w:eastAsia="Arial" w:hAnsi="Arial"/>
                <w:sz w:val="13"/>
                <w:szCs w:val="13"/>
                <w:color w:val="auto"/>
              </w:rPr>
              <w:t>Add: New loans</w:t>
            </w:r>
          </w:p>
        </w:tc>
        <w:tc>
          <w:tcPr>
            <w:tcW w:w="46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4"/>
                <w:szCs w:val="14"/>
                <w:color w:val="auto"/>
              </w:rPr>
            </w:pPr>
          </w:p>
        </w:tc>
        <w:tc>
          <w:tcPr>
            <w:tcW w:w="1480" w:type="dxa"/>
            <w:vAlign w:val="bottom"/>
          </w:tcPr>
          <w:p>
            <w:pPr>
              <w:jc w:val="center"/>
              <w:ind w:left="916"/>
              <w:spacing w:after="0"/>
              <w:rPr>
                <w:sz w:val="20"/>
                <w:szCs w:val="20"/>
                <w:color w:val="auto"/>
              </w:rPr>
            </w:pPr>
            <w:r>
              <w:rPr>
                <w:rFonts w:ascii="Arial" w:cs="Arial" w:eastAsia="Arial" w:hAnsi="Arial"/>
                <w:sz w:val="13"/>
                <w:szCs w:val="13"/>
                <w:color w:val="auto"/>
                <w:w w:val="95"/>
              </w:rPr>
              <w:t>18,326</w:t>
            </w:r>
          </w:p>
        </w:tc>
      </w:tr>
      <w:tr>
        <w:trPr>
          <w:trHeight w:val="170"/>
        </w:trPr>
        <w:tc>
          <w:tcPr>
            <w:tcW w:w="7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Less: Amounts collected</w:t>
            </w:r>
          </w:p>
        </w:tc>
        <w:tc>
          <w:tcPr>
            <w:tcW w:w="4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(4,231)</w:t>
            </w:r>
          </w:p>
        </w:tc>
        <w:tc>
          <w:tcPr>
            <w:tcW w:w="1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center"/>
              <w:ind w:left="896"/>
              <w:spacing w:after="0"/>
              <w:rPr>
                <w:sz w:val="20"/>
                <w:szCs w:val="20"/>
                <w:color w:val="auto"/>
              </w:rPr>
            </w:pPr>
            <w:r>
              <w:rPr>
                <w:rFonts w:ascii="Arial" w:cs="Arial" w:eastAsia="Arial" w:hAnsi="Arial"/>
                <w:sz w:val="13"/>
                <w:szCs w:val="13"/>
                <w:color w:val="auto"/>
                <w:w w:val="99"/>
              </w:rPr>
              <w:t>(14,545)</w:t>
            </w:r>
          </w:p>
        </w:tc>
      </w:tr>
      <w:tr>
        <w:trPr>
          <w:trHeight w:val="160"/>
        </w:trPr>
        <w:tc>
          <w:tcPr>
            <w:tcW w:w="7240" w:type="dxa"/>
            <w:vAlign w:val="bottom"/>
          </w:tcPr>
          <w:p>
            <w:pPr>
              <w:ind w:left="20"/>
              <w:spacing w:after="0"/>
              <w:rPr>
                <w:sz w:val="20"/>
                <w:szCs w:val="20"/>
                <w:color w:val="auto"/>
              </w:rPr>
            </w:pPr>
            <w:r>
              <w:rPr>
                <w:rFonts w:ascii="Arial" w:cs="Arial" w:eastAsia="Arial" w:hAnsi="Arial"/>
                <w:sz w:val="13"/>
                <w:szCs w:val="13"/>
                <w:color w:val="auto"/>
              </w:rPr>
              <w:t>Balance at end of year</w:t>
            </w: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32,074</w:t>
            </w:r>
          </w:p>
        </w:tc>
        <w:tc>
          <w:tcPr>
            <w:tcW w:w="18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center"/>
              <w:ind w:left="916"/>
              <w:spacing w:after="0"/>
              <w:rPr>
                <w:sz w:val="20"/>
                <w:szCs w:val="20"/>
                <w:color w:val="auto"/>
              </w:rPr>
            </w:pPr>
            <w:r>
              <w:rPr>
                <w:rFonts w:ascii="Arial" w:cs="Arial" w:eastAsia="Arial" w:hAnsi="Arial"/>
                <w:sz w:val="13"/>
                <w:szCs w:val="13"/>
                <w:color w:val="auto"/>
                <w:w w:val="95"/>
              </w:rPr>
              <w:t>36,305</w:t>
            </w:r>
          </w:p>
        </w:tc>
      </w:tr>
      <w:tr>
        <w:trPr>
          <w:trHeight w:val="20"/>
        </w:trPr>
        <w:tc>
          <w:tcPr>
            <w:tcW w:w="7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Deposits from officers and directors and their related interests were $81.3 million at December 31, 2023, and $92.0 million at December 31, 2022.</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 director of the Company owns an interest in an entity from which the Company leases space for one of its Rockville, Maryland locations. Payments made in accordance with the lease were $85 thousand and $82 thousand in 2023 and 2022, respectively.</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Company directors, or their related interests, held $2.5 million of the subordinated notes outstanding as of December 31, 2023. These notes hold a fixed rate of interest until November 30, 2025, after which it converts to variable rate.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08" w:name="page109"/>
    <w:bookmarkEnd w:id="108"/>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Income Taxes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was as follows:</w:t>
      </w:r>
    </w:p>
    <w:p>
      <w:pPr>
        <w:spacing w:after="0" w:line="215" w:lineRule="exact"/>
        <w:rPr>
          <w:sz w:val="20"/>
          <w:szCs w:val="20"/>
          <w:color w:val="auto"/>
        </w:rPr>
      </w:pPr>
    </w:p>
    <w:p>
      <w:pPr>
        <w:ind w:left="8260"/>
        <w:spacing w:after="0"/>
        <w:rPr>
          <w:sz w:val="20"/>
          <w:szCs w:val="20"/>
          <w:color w:val="auto"/>
        </w:rPr>
      </w:pPr>
      <w:r>
        <w:rPr>
          <w:rFonts w:ascii="Arial" w:cs="Arial" w:eastAsia="Arial" w:hAnsi="Arial"/>
          <w:sz w:val="13"/>
          <w:szCs w:val="13"/>
          <w:b w:val="1"/>
          <w:bCs w:val="1"/>
          <w:color w:val="auto"/>
        </w:rPr>
        <w:t>For the Years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44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top w:val="single" w:sz="8" w:color="auto"/>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r>
      <w:tr>
        <w:trPr>
          <w:trHeight w:val="150"/>
        </w:trPr>
        <w:tc>
          <w:tcPr>
            <w:tcW w:w="73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Current expense</w:t>
            </w: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0"/>
        </w:trPr>
        <w:tc>
          <w:tcPr>
            <w:tcW w:w="7320" w:type="dxa"/>
            <w:vAlign w:val="bottom"/>
          </w:tcPr>
          <w:p>
            <w:pPr>
              <w:ind w:left="120"/>
              <w:spacing w:after="0"/>
              <w:rPr>
                <w:sz w:val="20"/>
                <w:szCs w:val="20"/>
                <w:color w:val="auto"/>
              </w:rPr>
            </w:pPr>
            <w:r>
              <w:rPr>
                <w:rFonts w:ascii="Arial" w:cs="Arial" w:eastAsia="Arial" w:hAnsi="Arial"/>
                <w:sz w:val="13"/>
                <w:szCs w:val="13"/>
                <w:color w:val="auto"/>
              </w:rPr>
              <w:t>Federal</w:t>
            </w:r>
          </w:p>
        </w:tc>
        <w:tc>
          <w:tcPr>
            <w:tcW w:w="440" w:type="dxa"/>
            <w:vAlign w:val="bottom"/>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8,192</w:t>
            </w:r>
          </w:p>
        </w:tc>
        <w:tc>
          <w:tcPr>
            <w:tcW w:w="12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9,906</w:t>
            </w:r>
          </w:p>
        </w:tc>
      </w:tr>
      <w:tr>
        <w:trPr>
          <w:trHeight w:val="170"/>
        </w:trPr>
        <w:tc>
          <w:tcPr>
            <w:tcW w:w="7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State</w:t>
            </w:r>
          </w:p>
        </w:tc>
        <w:tc>
          <w:tcPr>
            <w:tcW w:w="4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1,284</w:t>
            </w:r>
          </w:p>
        </w:tc>
      </w:tr>
      <w:tr>
        <w:trPr>
          <w:trHeight w:val="160"/>
        </w:trPr>
        <w:tc>
          <w:tcPr>
            <w:tcW w:w="7320" w:type="dxa"/>
            <w:vAlign w:val="bottom"/>
          </w:tcPr>
          <w:p>
            <w:pPr>
              <w:ind w:left="180"/>
              <w:spacing w:after="0"/>
              <w:rPr>
                <w:sz w:val="20"/>
                <w:szCs w:val="20"/>
                <w:color w:val="auto"/>
              </w:rPr>
            </w:pPr>
            <w:r>
              <w:rPr>
                <w:rFonts w:ascii="Arial" w:cs="Arial" w:eastAsia="Arial" w:hAnsi="Arial"/>
                <w:sz w:val="13"/>
                <w:szCs w:val="13"/>
                <w:color w:val="auto"/>
              </w:rPr>
              <w:t>Total current expense</w:t>
            </w:r>
          </w:p>
        </w:tc>
        <w:tc>
          <w:tcPr>
            <w:tcW w:w="4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10,212</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11,190</w:t>
            </w:r>
          </w:p>
        </w:tc>
      </w:tr>
      <w:tr>
        <w:trPr>
          <w:trHeight w:val="170"/>
        </w:trPr>
        <w:tc>
          <w:tcPr>
            <w:tcW w:w="7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expense (benefit)</w:t>
            </w:r>
          </w:p>
        </w:tc>
        <w:tc>
          <w:tcPr>
            <w:tcW w:w="4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142</w:t>
            </w: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1,240</w:t>
            </w:r>
          </w:p>
        </w:tc>
      </w:tr>
      <w:tr>
        <w:trPr>
          <w:trHeight w:val="160"/>
        </w:trPr>
        <w:tc>
          <w:tcPr>
            <w:tcW w:w="7320" w:type="dxa"/>
            <w:vAlign w:val="bottom"/>
          </w:tcPr>
          <w:p>
            <w:pPr>
              <w:ind w:left="280"/>
              <w:spacing w:after="0"/>
              <w:rPr>
                <w:sz w:val="20"/>
                <w:szCs w:val="20"/>
                <w:color w:val="auto"/>
              </w:rPr>
            </w:pPr>
            <w:r>
              <w:rPr>
                <w:rFonts w:ascii="Arial" w:cs="Arial" w:eastAsia="Arial" w:hAnsi="Arial"/>
                <w:sz w:val="13"/>
                <w:szCs w:val="13"/>
                <w:color w:val="auto"/>
              </w:rPr>
              <w:t>Total income tax expense</w:t>
            </w: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10,354</w:t>
            </w:r>
          </w:p>
        </w:tc>
        <w:tc>
          <w:tcPr>
            <w:tcW w:w="12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12,430</w:t>
            </w:r>
          </w:p>
        </w:tc>
      </w:tr>
      <w:tr>
        <w:trPr>
          <w:trHeight w:val="20"/>
        </w:trPr>
        <w:tc>
          <w:tcPr>
            <w:tcW w:w="7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the net deferred tax asset at December 31, 2023 and 2022 were: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8"/>
                <w:szCs w:val="8"/>
                <w:i w:val="1"/>
                <w:iCs w:val="1"/>
                <w:color w:val="auto"/>
              </w:rPr>
              <w:t>(in thousands)</w:t>
            </w:r>
          </w:p>
        </w:tc>
        <w:tc>
          <w:tcPr>
            <w:tcW w:w="4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2023</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r>
      <w:tr>
        <w:trPr>
          <w:trHeight w:val="150"/>
        </w:trPr>
        <w:tc>
          <w:tcPr>
            <w:tcW w:w="72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Deferred tax assets:</w:t>
            </w:r>
          </w:p>
        </w:tc>
        <w:tc>
          <w:tcPr>
            <w:tcW w:w="4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70"/>
        </w:trPr>
        <w:tc>
          <w:tcPr>
            <w:tcW w:w="7280" w:type="dxa"/>
            <w:vAlign w:val="bottom"/>
            <w:gridSpan w:val="2"/>
          </w:tcPr>
          <w:p>
            <w:pPr>
              <w:ind w:left="120"/>
              <w:spacing w:after="0"/>
              <w:rPr>
                <w:sz w:val="20"/>
                <w:szCs w:val="20"/>
                <w:color w:val="auto"/>
              </w:rPr>
            </w:pPr>
            <w:r>
              <w:rPr>
                <w:rFonts w:ascii="Arial" w:cs="Arial" w:eastAsia="Arial" w:hAnsi="Arial"/>
                <w:sz w:val="13"/>
                <w:szCs w:val="13"/>
                <w:color w:val="auto"/>
              </w:rPr>
              <w:t>Allowance for credit losses</w:t>
            </w:r>
          </w:p>
        </w:tc>
        <w:tc>
          <w:tcPr>
            <w:tcW w:w="460" w:type="dxa"/>
            <w:vAlign w:val="bottom"/>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14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7,230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7,073</w:t>
            </w:r>
          </w:p>
        </w:tc>
      </w:tr>
      <w:tr>
        <w:trPr>
          <w:trHeight w:val="170"/>
        </w:trPr>
        <w:tc>
          <w:tcPr>
            <w:tcW w:w="72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Reserve for recourse on mortgage loans sold</w:t>
            </w:r>
          </w:p>
        </w:tc>
        <w:tc>
          <w:tcPr>
            <w:tcW w:w="4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242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r>
      <w:tr>
        <w:trPr>
          <w:trHeight w:val="170"/>
        </w:trPr>
        <w:tc>
          <w:tcPr>
            <w:tcW w:w="7280" w:type="dxa"/>
            <w:vAlign w:val="bottom"/>
            <w:gridSpan w:val="2"/>
          </w:tcPr>
          <w:p>
            <w:pPr>
              <w:ind w:left="120"/>
              <w:spacing w:after="0"/>
              <w:rPr>
                <w:sz w:val="20"/>
                <w:szCs w:val="20"/>
                <w:color w:val="auto"/>
              </w:rPr>
            </w:pPr>
            <w:r>
              <w:rPr>
                <w:rFonts w:ascii="Arial" w:cs="Arial" w:eastAsia="Arial" w:hAnsi="Arial"/>
                <w:sz w:val="13"/>
                <w:szCs w:val="13"/>
                <w:color w:val="auto"/>
              </w:rPr>
              <w:t>Deferred loan fees - PPP</w:t>
            </w:r>
          </w:p>
        </w:tc>
        <w:tc>
          <w:tcPr>
            <w:tcW w:w="460" w:type="dxa"/>
            <w:vAlign w:val="bottom"/>
          </w:tcPr>
          <w:p>
            <w:pPr>
              <w:spacing w:after="0"/>
              <w:rPr>
                <w:sz w:val="14"/>
                <w:szCs w:val="14"/>
                <w:color w:val="auto"/>
              </w:rPr>
            </w:pPr>
          </w:p>
        </w:tc>
        <w:tc>
          <w:tcPr>
            <w:tcW w:w="162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0"/>
        </w:trPr>
        <w:tc>
          <w:tcPr>
            <w:tcW w:w="72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Stock-based compensation</w:t>
            </w:r>
          </w:p>
        </w:tc>
        <w:tc>
          <w:tcPr>
            <w:tcW w:w="4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309</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r>
      <w:tr>
        <w:trPr>
          <w:trHeight w:val="170"/>
        </w:trPr>
        <w:tc>
          <w:tcPr>
            <w:tcW w:w="7280" w:type="dxa"/>
            <w:vAlign w:val="bottom"/>
            <w:gridSpan w:val="2"/>
          </w:tcPr>
          <w:p>
            <w:pPr>
              <w:ind w:left="120"/>
              <w:spacing w:after="0"/>
              <w:rPr>
                <w:sz w:val="20"/>
                <w:szCs w:val="20"/>
                <w:color w:val="auto"/>
              </w:rPr>
            </w:pPr>
            <w:r>
              <w:rPr>
                <w:rFonts w:ascii="Arial" w:cs="Arial" w:eastAsia="Arial" w:hAnsi="Arial"/>
                <w:sz w:val="13"/>
                <w:szCs w:val="13"/>
                <w:color w:val="auto"/>
              </w:rPr>
              <w:t>Long-term incentive program</w:t>
            </w:r>
          </w:p>
        </w:tc>
        <w:tc>
          <w:tcPr>
            <w:tcW w:w="46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372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428</w:t>
            </w:r>
          </w:p>
        </w:tc>
      </w:tr>
      <w:tr>
        <w:trPr>
          <w:trHeight w:val="170"/>
        </w:trPr>
        <w:tc>
          <w:tcPr>
            <w:tcW w:w="72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Unrealized loss on investment securities available for sale</w:t>
            </w:r>
          </w:p>
        </w:tc>
        <w:tc>
          <w:tcPr>
            <w:tcW w:w="4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4,253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5,665</w:t>
            </w:r>
          </w:p>
        </w:tc>
      </w:tr>
      <w:tr>
        <w:trPr>
          <w:trHeight w:val="170"/>
        </w:trPr>
        <w:tc>
          <w:tcPr>
            <w:tcW w:w="7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Other</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61</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r>
      <w:tr>
        <w:trPr>
          <w:trHeight w:val="160"/>
        </w:trPr>
        <w:tc>
          <w:tcPr>
            <w:tcW w:w="7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12,467</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13,813</w:t>
            </w:r>
          </w:p>
        </w:tc>
      </w:tr>
      <w:tr>
        <w:trPr>
          <w:trHeight w:val="149"/>
        </w:trPr>
        <w:tc>
          <w:tcPr>
            <w:tcW w:w="72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Deferred tax liabilities:</w:t>
            </w: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82"/>
        </w:trPr>
        <w:tc>
          <w:tcPr>
            <w:tcW w:w="72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Accumulated depreciation</w:t>
            </w:r>
          </w:p>
        </w:tc>
        <w:tc>
          <w:tcPr>
            <w:tcW w:w="46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214</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70"/>
        </w:trPr>
        <w:tc>
          <w:tcPr>
            <w:tcW w:w="7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Other</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1</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160"/>
        </w:trPr>
        <w:tc>
          <w:tcPr>
            <w:tcW w:w="7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215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60"/>
        </w:trPr>
        <w:tc>
          <w:tcPr>
            <w:tcW w:w="7280" w:type="dxa"/>
            <w:vAlign w:val="bottom"/>
            <w:gridSpan w:val="2"/>
          </w:tcPr>
          <w:p>
            <w:pPr>
              <w:ind w:left="20"/>
              <w:spacing w:after="0"/>
              <w:rPr>
                <w:sz w:val="20"/>
                <w:szCs w:val="20"/>
                <w:color w:val="auto"/>
              </w:rPr>
            </w:pPr>
            <w:r>
              <w:rPr>
                <w:rFonts w:ascii="Arial" w:cs="Arial" w:eastAsia="Arial" w:hAnsi="Arial"/>
                <w:sz w:val="13"/>
                <w:szCs w:val="13"/>
                <w:color w:val="auto"/>
              </w:rPr>
              <w:t>Net deferred tax asset</w:t>
            </w: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12,252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13,777</w:t>
            </w:r>
          </w:p>
        </w:tc>
      </w:tr>
      <w:tr>
        <w:trPr>
          <w:trHeight w:val="20"/>
        </w:trPr>
        <w:tc>
          <w:tcPr>
            <w:tcW w:w="7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87"/>
        </w:trPr>
        <w:tc>
          <w:tcPr>
            <w:tcW w:w="7740" w:type="dxa"/>
            <w:vAlign w:val="bottom"/>
            <w:gridSpan w:val="3"/>
          </w:tcPr>
          <w:p>
            <w:pPr>
              <w:spacing w:after="0"/>
              <w:rPr>
                <w:sz w:val="20"/>
                <w:szCs w:val="20"/>
                <w:color w:val="auto"/>
              </w:rPr>
            </w:pPr>
            <w:r>
              <w:rPr>
                <w:rFonts w:ascii="Arial" w:cs="Arial" w:eastAsia="Arial" w:hAnsi="Arial"/>
                <w:sz w:val="14"/>
                <w:szCs w:val="14"/>
                <w:color w:val="auto"/>
              </w:rPr>
              <w:t>The differences between the federal income tax rate and the effective tax rate for the Company are reconciled as follows: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9"/>
        </w:trPr>
        <w:tc>
          <w:tcPr>
            <w:tcW w:w="70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816"/>
              <w:spacing w:after="0"/>
              <w:rPr>
                <w:sz w:val="20"/>
                <w:szCs w:val="20"/>
                <w:color w:val="auto"/>
              </w:rPr>
            </w:pPr>
            <w:r>
              <w:rPr>
                <w:rFonts w:ascii="Arial" w:cs="Arial" w:eastAsia="Arial" w:hAnsi="Arial"/>
                <w:sz w:val="13"/>
                <w:szCs w:val="13"/>
                <w:b w:val="1"/>
                <w:bCs w:val="1"/>
                <w:color w:val="auto"/>
              </w:rPr>
              <w:t>2023</w:t>
            </w: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816"/>
              <w:spacing w:after="0"/>
              <w:rPr>
                <w:sz w:val="20"/>
                <w:szCs w:val="20"/>
                <w:color w:val="auto"/>
              </w:rPr>
            </w:pPr>
            <w:r>
              <w:rPr>
                <w:rFonts w:ascii="Arial" w:cs="Arial" w:eastAsia="Arial" w:hAnsi="Arial"/>
                <w:sz w:val="13"/>
                <w:szCs w:val="13"/>
                <w:b w:val="1"/>
                <w:bCs w:val="1"/>
                <w:color w:val="auto"/>
              </w:rPr>
              <w:t>2022</w:t>
            </w:r>
          </w:p>
        </w:tc>
      </w:tr>
      <w:tr>
        <w:trPr>
          <w:trHeight w:val="16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Statutory federal income tax rate</w:t>
            </w:r>
          </w:p>
        </w:tc>
        <w:tc>
          <w:tcPr>
            <w:tcW w:w="4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21.00 %</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21.00 %</w:t>
            </w:r>
          </w:p>
        </w:tc>
      </w:tr>
      <w:tr>
        <w:trPr>
          <w:trHeight w:val="169"/>
        </w:trPr>
        <w:tc>
          <w:tcPr>
            <w:tcW w:w="7280" w:type="dxa"/>
            <w:vAlign w:val="bottom"/>
            <w:gridSpan w:val="2"/>
          </w:tcPr>
          <w:p>
            <w:pPr>
              <w:ind w:left="20"/>
              <w:spacing w:after="0"/>
              <w:rPr>
                <w:sz w:val="20"/>
                <w:szCs w:val="20"/>
                <w:color w:val="auto"/>
              </w:rPr>
            </w:pPr>
            <w:r>
              <w:rPr>
                <w:rFonts w:ascii="Arial" w:cs="Arial" w:eastAsia="Arial" w:hAnsi="Arial"/>
                <w:sz w:val="13"/>
                <w:szCs w:val="13"/>
                <w:color w:val="auto"/>
              </w:rPr>
              <w:t>Increase (decrease) resulting from:</w:t>
            </w: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72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State income taxes, net of federal income tax benefit</w:t>
            </w:r>
          </w:p>
        </w:tc>
        <w:tc>
          <w:tcPr>
            <w:tcW w:w="46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3.13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2.58</w:t>
            </w:r>
          </w:p>
        </w:tc>
      </w:tr>
      <w:tr>
        <w:trPr>
          <w:trHeight w:val="170"/>
        </w:trPr>
        <w:tc>
          <w:tcPr>
            <w:tcW w:w="7280" w:type="dxa"/>
            <w:vAlign w:val="bottom"/>
            <w:gridSpan w:val="2"/>
          </w:tcPr>
          <w:p>
            <w:pPr>
              <w:ind w:left="120"/>
              <w:spacing w:after="0"/>
              <w:rPr>
                <w:sz w:val="20"/>
                <w:szCs w:val="20"/>
                <w:color w:val="auto"/>
              </w:rPr>
            </w:pPr>
            <w:r>
              <w:rPr>
                <w:rFonts w:ascii="Arial" w:cs="Arial" w:eastAsia="Arial" w:hAnsi="Arial"/>
                <w:sz w:val="13"/>
                <w:szCs w:val="13"/>
                <w:color w:val="auto"/>
              </w:rPr>
              <w:t>Nondeductible expenses</w:t>
            </w:r>
          </w:p>
        </w:tc>
        <w:tc>
          <w:tcPr>
            <w:tcW w:w="460" w:type="dxa"/>
            <w:vAlign w:val="bottom"/>
          </w:tcPr>
          <w:p>
            <w:pPr>
              <w:spacing w:after="0"/>
              <w:rPr>
                <w:sz w:val="14"/>
                <w:szCs w:val="14"/>
                <w:color w:val="auto"/>
              </w:rPr>
            </w:pPr>
          </w:p>
        </w:tc>
        <w:tc>
          <w:tcPr>
            <w:tcW w:w="1340" w:type="dxa"/>
            <w:vAlign w:val="bottom"/>
          </w:tcPr>
          <w:p>
            <w:pPr>
              <w:jc w:val="right"/>
              <w:ind w:right="96"/>
              <w:spacing w:after="0"/>
              <w:rPr>
                <w:sz w:val="20"/>
                <w:szCs w:val="20"/>
                <w:color w:val="auto"/>
              </w:rPr>
            </w:pPr>
            <w:r>
              <w:rPr>
                <w:rFonts w:ascii="Arial" w:cs="Arial" w:eastAsia="Arial" w:hAnsi="Arial"/>
                <w:sz w:val="13"/>
                <w:szCs w:val="13"/>
                <w:b w:val="1"/>
                <w:bCs w:val="1"/>
                <w:color w:val="auto"/>
              </w:rPr>
              <w:t>0.73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Pr>
          <w:p>
            <w:pPr>
              <w:jc w:val="right"/>
              <w:ind w:right="96"/>
              <w:spacing w:after="0"/>
              <w:rPr>
                <w:sz w:val="20"/>
                <w:szCs w:val="20"/>
                <w:color w:val="auto"/>
              </w:rPr>
            </w:pPr>
            <w:r>
              <w:rPr>
                <w:rFonts w:ascii="Arial" w:cs="Arial" w:eastAsia="Arial" w:hAnsi="Arial"/>
                <w:sz w:val="13"/>
                <w:szCs w:val="13"/>
                <w:color w:val="auto"/>
              </w:rPr>
              <w:t>0.56</w:t>
            </w:r>
          </w:p>
        </w:tc>
      </w:tr>
      <w:tr>
        <w:trPr>
          <w:trHeight w:val="170"/>
        </w:trPr>
        <w:tc>
          <w:tcPr>
            <w:tcW w:w="72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Tax-exempt interest income and dividend income</w:t>
            </w:r>
          </w:p>
        </w:tc>
        <w:tc>
          <w:tcPr>
            <w:tcW w:w="46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(0.55)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(0.41)</w:t>
            </w:r>
          </w:p>
        </w:tc>
      </w:tr>
      <w:tr>
        <w:trPr>
          <w:trHeight w:val="170"/>
        </w:trPr>
        <w:tc>
          <w:tcPr>
            <w:tcW w:w="7280" w:type="dxa"/>
            <w:vAlign w:val="bottom"/>
            <w:gridSpan w:val="2"/>
          </w:tcPr>
          <w:p>
            <w:pPr>
              <w:ind w:left="120"/>
              <w:spacing w:after="0"/>
              <w:rPr>
                <w:sz w:val="20"/>
                <w:szCs w:val="20"/>
                <w:color w:val="auto"/>
              </w:rPr>
            </w:pPr>
            <w:r>
              <w:rPr>
                <w:rFonts w:ascii="Arial" w:cs="Arial" w:eastAsia="Arial" w:hAnsi="Arial"/>
                <w:sz w:val="13"/>
                <w:szCs w:val="13"/>
                <w:color w:val="auto"/>
              </w:rPr>
              <w:t>Stock-based compensation expense</w:t>
            </w:r>
          </w:p>
        </w:tc>
        <w:tc>
          <w:tcPr>
            <w:tcW w:w="460" w:type="dxa"/>
            <w:vAlign w:val="bottom"/>
          </w:tcPr>
          <w:p>
            <w:pPr>
              <w:spacing w:after="0"/>
              <w:rPr>
                <w:sz w:val="14"/>
                <w:szCs w:val="14"/>
                <w:color w:val="auto"/>
              </w:rPr>
            </w:pPr>
          </w:p>
        </w:tc>
        <w:tc>
          <w:tcPr>
            <w:tcW w:w="1340" w:type="dxa"/>
            <w:vAlign w:val="bottom"/>
          </w:tcPr>
          <w:p>
            <w:pPr>
              <w:jc w:val="right"/>
              <w:ind w:right="76"/>
              <w:spacing w:after="0"/>
              <w:rPr>
                <w:sz w:val="20"/>
                <w:szCs w:val="20"/>
                <w:color w:val="auto"/>
              </w:rPr>
            </w:pPr>
            <w:r>
              <w:rPr>
                <w:rFonts w:ascii="Arial" w:cs="Arial" w:eastAsia="Arial" w:hAnsi="Arial"/>
                <w:sz w:val="13"/>
                <w:szCs w:val="13"/>
                <w:b w:val="1"/>
                <w:bCs w:val="1"/>
                <w:color w:val="auto"/>
              </w:rPr>
              <w:t>(0.68)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(0.48)</w:t>
            </w:r>
          </w:p>
        </w:tc>
      </w:tr>
      <w:tr>
        <w:trPr>
          <w:trHeight w:val="170"/>
        </w:trPr>
        <w:tc>
          <w:tcPr>
            <w:tcW w:w="72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Bank-owned life insurance</w:t>
            </w:r>
          </w:p>
        </w:tc>
        <w:tc>
          <w:tcPr>
            <w:tcW w:w="46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(0.54)</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(0.40)</w:t>
            </w:r>
          </w:p>
        </w:tc>
      </w:tr>
      <w:tr>
        <w:trPr>
          <w:trHeight w:val="170"/>
        </w:trPr>
        <w:tc>
          <w:tcPr>
            <w:tcW w:w="70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net</w:t>
            </w: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(0.69)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0.10</w:t>
            </w:r>
          </w:p>
        </w:tc>
      </w:tr>
      <w:tr>
        <w:trPr>
          <w:trHeight w:val="18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4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22.40 %</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22.95 %</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Deferred tax assets represent the future tax benefit of deductible differences and, if it is more likely than not that a tax asset will not be realized, a valuation allowance is required to reduce the net deferred tax assets to net realizable value. As of December 31, 2023, management has determined that it is more likely than not that the majority of the deferred tax asset from continuing operations will be realized. At December 31, 2023 and December 31, 2022, no valuation allowance was recognized.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09" w:name="page110"/>
    <w:bookmarkEnd w:id="109"/>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Income Taxes (continued)</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does not have material uncertain tax positions and did not recognize any adjustments for unrecognized tax benefits. The Company remains subject to examination of income tax returns for the years ending after December 31, 2019.</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Regulatory Capital Matters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and Bank are subject to regulatory capital requirements administered by federal banking agencies. Capital adequacy guidelines and, additionally for banks,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The net unrealized gain or loss on available for sale securities is not included in computing regulatory capital. Management believes as of December 31, 2023, the Company and Bank meet all capital adequacy requirements to which they are subject.</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not adequately capitalized, regulatory approval is required to accept brokered deposits. If undercapitalized, capital distributions are limited, as is asset growth and expansion, and capital restoration plans are required. At year-end 2023 and 2022, the most recent regulatory notifications categorized the Bank as well capitalized under the regulatory framework for prompt corrective action. There are no conditions or events since that notification that management believes have changed the institution’s category.</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Based on recent changes to the Federal Reserve’s definition of a “Small Bank Holding Company” that increased the threshold to $3 billion in assets, the Company is not currently subject to separate minimum capital measurements. At such time as the Company reaches the $3 billion asset level, it will again be subject to capital measurements independent of the Bank. For comparison purposes, the Company’s ratios are presented in the following table as well, all of which would have exceeded the “well-capitalized” level had the Company been subject to separate capital minimums.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Actual and required capital amounts and ratios are presented below at year-end.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10" w:name="page111"/>
    <w:bookmarkEnd w:id="110"/>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Regulatory Capital Matters (continued)</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Regulatory Capital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vMerge w:val="restart"/>
          </w:tcPr>
          <w:p>
            <w:pPr>
              <w:ind w:left="740"/>
              <w:spacing w:after="0"/>
              <w:rPr>
                <w:sz w:val="20"/>
                <w:szCs w:val="20"/>
                <w:color w:val="auto"/>
              </w:rPr>
            </w:pPr>
            <w:r>
              <w:rPr>
                <w:rFonts w:ascii="Arial" w:cs="Arial" w:eastAsia="Arial" w:hAnsi="Arial"/>
                <w:sz w:val="10"/>
                <w:szCs w:val="10"/>
                <w:b w:val="1"/>
                <w:bCs w:val="1"/>
                <w:color w:val="auto"/>
              </w:rPr>
              <w:t>Actual</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3"/>
          </w:tcPr>
          <w:p>
            <w:pPr>
              <w:jc w:val="center"/>
              <w:ind w:left="371"/>
              <w:spacing w:after="0"/>
              <w:rPr>
                <w:sz w:val="20"/>
                <w:szCs w:val="20"/>
                <w:color w:val="auto"/>
              </w:rPr>
            </w:pPr>
            <w:r>
              <w:rPr>
                <w:rFonts w:ascii="Arial" w:cs="Arial" w:eastAsia="Arial" w:hAnsi="Arial"/>
                <w:sz w:val="10"/>
                <w:szCs w:val="10"/>
                <w:b w:val="1"/>
                <w:bCs w:val="1"/>
                <w:color w:val="auto"/>
                <w:w w:val="97"/>
              </w:rPr>
              <w:t>Minimum Capital</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3"/>
          </w:tcPr>
          <w:p>
            <w:pPr>
              <w:ind w:left="640"/>
              <w:spacing w:after="0"/>
              <w:rPr>
                <w:sz w:val="20"/>
                <w:szCs w:val="20"/>
                <w:color w:val="auto"/>
              </w:rPr>
            </w:pPr>
            <w:r>
              <w:rPr>
                <w:rFonts w:ascii="Arial" w:cs="Arial" w:eastAsia="Arial" w:hAnsi="Arial"/>
                <w:sz w:val="10"/>
                <w:szCs w:val="10"/>
                <w:b w:val="1"/>
                <w:bCs w:val="1"/>
                <w:color w:val="auto"/>
              </w:rPr>
              <w:t>To Be Well</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center"/>
              <w:ind w:left="371"/>
              <w:spacing w:after="0"/>
              <w:rPr>
                <w:sz w:val="20"/>
                <w:szCs w:val="20"/>
                <w:color w:val="auto"/>
              </w:rPr>
            </w:pPr>
            <w:r>
              <w:rPr>
                <w:rFonts w:ascii="Arial" w:cs="Arial" w:eastAsia="Arial" w:hAnsi="Arial"/>
                <w:sz w:val="10"/>
                <w:szCs w:val="10"/>
                <w:b w:val="1"/>
                <w:bCs w:val="1"/>
                <w:color w:val="auto"/>
                <w:w w:val="96"/>
              </w:rPr>
              <w:t>Adequacy</w:t>
            </w: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ind w:left="620"/>
              <w:spacing w:after="0"/>
              <w:rPr>
                <w:sz w:val="20"/>
                <w:szCs w:val="20"/>
                <w:color w:val="auto"/>
              </w:rPr>
            </w:pPr>
            <w:r>
              <w:rPr>
                <w:rFonts w:ascii="Arial" w:cs="Arial" w:eastAsia="Arial" w:hAnsi="Arial"/>
                <w:sz w:val="10"/>
                <w:szCs w:val="10"/>
                <w:b w:val="1"/>
                <w:bCs w:val="1"/>
                <w:color w:val="auto"/>
              </w:rPr>
              <w:t>Capitalized</w:t>
            </w: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480" w:type="dxa"/>
            <w:vAlign w:val="bottom"/>
            <w:gridSpan w:val="2"/>
          </w:tcPr>
          <w:p>
            <w:pPr>
              <w:spacing w:after="0"/>
              <w:rPr>
                <w:sz w:val="20"/>
                <w:szCs w:val="20"/>
                <w:color w:val="auto"/>
              </w:rPr>
            </w:pPr>
            <w:r>
              <w:rPr>
                <w:rFonts w:ascii="Arial" w:cs="Arial" w:eastAsia="Arial" w:hAnsi="Arial"/>
                <w:sz w:val="8"/>
                <w:szCs w:val="8"/>
                <w:i w:val="1"/>
                <w:iCs w:val="1"/>
                <w:color w:val="auto"/>
              </w:rPr>
              <w:t>(dollars in thousands)</w:t>
            </w:r>
          </w:p>
        </w:tc>
        <w:tc>
          <w:tcPr>
            <w:tcW w:w="220" w:type="dxa"/>
            <w:vAlign w:val="bottom"/>
          </w:tcPr>
          <w:p>
            <w:pPr>
              <w:spacing w:after="0"/>
              <w:rPr>
                <w:sz w:val="11"/>
                <w:szCs w:val="11"/>
                <w:color w:val="auto"/>
              </w:rPr>
            </w:pPr>
          </w:p>
        </w:tc>
        <w:tc>
          <w:tcPr>
            <w:tcW w:w="1200" w:type="dxa"/>
            <w:vAlign w:val="bottom"/>
            <w:gridSpan w:val="3"/>
          </w:tcPr>
          <w:p>
            <w:pPr>
              <w:ind w:left="140"/>
              <w:spacing w:after="0"/>
              <w:rPr>
                <w:sz w:val="20"/>
                <w:szCs w:val="20"/>
                <w:color w:val="auto"/>
              </w:rPr>
            </w:pPr>
            <w:r>
              <w:rPr>
                <w:rFonts w:ascii="Arial" w:cs="Arial" w:eastAsia="Arial" w:hAnsi="Arial"/>
                <w:sz w:val="10"/>
                <w:szCs w:val="10"/>
                <w:b w:val="1"/>
                <w:bCs w:val="1"/>
                <w:color w:val="auto"/>
              </w:rPr>
              <w:t>Amount</w:t>
            </w:r>
          </w:p>
        </w:tc>
        <w:tc>
          <w:tcPr>
            <w:tcW w:w="820" w:type="dxa"/>
            <w:vAlign w:val="bottom"/>
          </w:tcPr>
          <w:p>
            <w:pPr>
              <w:jc w:val="right"/>
              <w:ind w:right="351"/>
              <w:spacing w:after="0"/>
              <w:rPr>
                <w:sz w:val="20"/>
                <w:szCs w:val="20"/>
                <w:color w:val="auto"/>
              </w:rPr>
            </w:pPr>
            <w:r>
              <w:rPr>
                <w:rFonts w:ascii="Arial" w:cs="Arial" w:eastAsia="Arial" w:hAnsi="Arial"/>
                <w:sz w:val="10"/>
                <w:szCs w:val="10"/>
                <w:b w:val="1"/>
                <w:bCs w:val="1"/>
                <w:color w:val="auto"/>
              </w:rPr>
              <w:t>Ratio</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3"/>
          </w:tcPr>
          <w:p>
            <w:pPr>
              <w:ind w:left="140"/>
              <w:spacing w:after="0"/>
              <w:rPr>
                <w:sz w:val="20"/>
                <w:szCs w:val="20"/>
                <w:color w:val="auto"/>
              </w:rPr>
            </w:pPr>
            <w:r>
              <w:rPr>
                <w:rFonts w:ascii="Arial" w:cs="Arial" w:eastAsia="Arial" w:hAnsi="Arial"/>
                <w:sz w:val="10"/>
                <w:szCs w:val="10"/>
                <w:b w:val="1"/>
                <w:bCs w:val="1"/>
                <w:color w:val="auto"/>
              </w:rPr>
              <w:t>Amount</w:t>
            </w:r>
          </w:p>
        </w:tc>
        <w:tc>
          <w:tcPr>
            <w:tcW w:w="660" w:type="dxa"/>
            <w:vAlign w:val="bottom"/>
          </w:tcPr>
          <w:p>
            <w:pPr>
              <w:jc w:val="right"/>
              <w:ind w:right="311"/>
              <w:spacing w:after="0"/>
              <w:rPr>
                <w:sz w:val="20"/>
                <w:szCs w:val="20"/>
                <w:color w:val="auto"/>
              </w:rPr>
            </w:pPr>
            <w:r>
              <w:rPr>
                <w:rFonts w:ascii="Arial" w:cs="Arial" w:eastAsia="Arial" w:hAnsi="Arial"/>
                <w:sz w:val="10"/>
                <w:szCs w:val="10"/>
                <w:b w:val="1"/>
                <w:bCs w:val="1"/>
                <w:color w:val="auto"/>
              </w:rPr>
              <w:t>Ratio</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3"/>
          </w:tcPr>
          <w:p>
            <w:pPr>
              <w:jc w:val="center"/>
              <w:ind w:right="600"/>
              <w:spacing w:after="0"/>
              <w:rPr>
                <w:sz w:val="20"/>
                <w:szCs w:val="20"/>
                <w:color w:val="auto"/>
              </w:rPr>
            </w:pPr>
            <w:r>
              <w:rPr>
                <w:rFonts w:ascii="Arial" w:cs="Arial" w:eastAsia="Arial" w:hAnsi="Arial"/>
                <w:sz w:val="10"/>
                <w:szCs w:val="10"/>
                <w:b w:val="1"/>
                <w:bCs w:val="1"/>
                <w:color w:val="auto"/>
              </w:rPr>
              <w:t>Amount</w:t>
            </w:r>
          </w:p>
        </w:tc>
        <w:tc>
          <w:tcPr>
            <w:tcW w:w="740" w:type="dxa"/>
            <w:vAlign w:val="bottom"/>
          </w:tcPr>
          <w:p>
            <w:pPr>
              <w:jc w:val="right"/>
              <w:ind w:right="351"/>
              <w:spacing w:after="0"/>
              <w:rPr>
                <w:sz w:val="20"/>
                <w:szCs w:val="20"/>
                <w:color w:val="auto"/>
              </w:rPr>
            </w:pPr>
            <w:r>
              <w:rPr>
                <w:rFonts w:ascii="Arial" w:cs="Arial" w:eastAsia="Arial" w:hAnsi="Arial"/>
                <w:sz w:val="10"/>
                <w:szCs w:val="10"/>
                <w:b w:val="1"/>
                <w:bCs w:val="1"/>
                <w:color w:val="auto"/>
              </w:rPr>
              <w:t>Ratio</w:t>
            </w:r>
          </w:p>
        </w:tc>
        <w:tc>
          <w:tcPr>
            <w:tcW w:w="0" w:type="dxa"/>
            <w:vAlign w:val="bottom"/>
          </w:tcPr>
          <w:p>
            <w:pPr>
              <w:spacing w:after="0"/>
              <w:rPr>
                <w:sz w:val="1"/>
                <w:szCs w:val="1"/>
                <w:color w:val="auto"/>
              </w:rPr>
            </w:pPr>
          </w:p>
        </w:tc>
      </w:tr>
      <w:tr>
        <w:trPr>
          <w:trHeight w:val="99"/>
        </w:trPr>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900" w:type="dxa"/>
            <w:vAlign w:val="bottom"/>
            <w:tcBorders>
              <w:top w:val="single" w:sz="8" w:color="CCEEFF"/>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b w:val="1"/>
                <w:bCs w:val="1"/>
                <w:color w:val="auto"/>
                <w:w w:val="97"/>
              </w:rPr>
              <w:t>December 31, 2023</w:t>
            </w:r>
          </w:p>
        </w:tc>
        <w:tc>
          <w:tcPr>
            <w:tcW w:w="3580" w:type="dxa"/>
            <w:vAlign w:val="bottom"/>
            <w:tcBorders>
              <w:top w:val="single" w:sz="8" w:color="CCEEFF"/>
              <w:bottom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CCEEFF"/>
            </w:tcBorders>
            <w:shd w:val="clear" w:color="auto" w:fill="CCEEFF"/>
          </w:tcPr>
          <w:p>
            <w:pPr>
              <w:spacing w:after="0"/>
              <w:rPr>
                <w:sz w:val="8"/>
                <w:szCs w:val="8"/>
                <w:color w:val="auto"/>
              </w:rPr>
            </w:pPr>
          </w:p>
        </w:tc>
        <w:tc>
          <w:tcPr>
            <w:tcW w:w="88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CCEEFF"/>
            </w:tcBorders>
            <w:shd w:val="clear" w:color="auto" w:fill="CCEEFF"/>
          </w:tcPr>
          <w:p>
            <w:pPr>
              <w:spacing w:after="0"/>
              <w:rPr>
                <w:sz w:val="8"/>
                <w:szCs w:val="8"/>
                <w:color w:val="auto"/>
              </w:rPr>
            </w:pPr>
          </w:p>
        </w:tc>
        <w:tc>
          <w:tcPr>
            <w:tcW w:w="82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CCEEFF"/>
            </w:tcBorders>
            <w:shd w:val="clear" w:color="auto" w:fill="CCEEFF"/>
          </w:tcPr>
          <w:p>
            <w:pPr>
              <w:spacing w:after="0"/>
              <w:rPr>
                <w:sz w:val="8"/>
                <w:szCs w:val="8"/>
                <w:color w:val="auto"/>
              </w:rPr>
            </w:pPr>
          </w:p>
        </w:tc>
        <w:tc>
          <w:tcPr>
            <w:tcW w:w="88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320" w:type="dxa"/>
            <w:vAlign w:val="bottom"/>
            <w:tcBorders>
              <w:top w:val="single" w:sz="8" w:color="auto"/>
              <w:bottom w:val="single" w:sz="8" w:color="CCEEFF"/>
            </w:tcBorders>
            <w:shd w:val="clear" w:color="auto" w:fill="CCEEFF"/>
          </w:tcPr>
          <w:p>
            <w:pPr>
              <w:spacing w:after="0"/>
              <w:rPr>
                <w:sz w:val="8"/>
                <w:szCs w:val="8"/>
                <w:color w:val="auto"/>
              </w:rPr>
            </w:pPr>
          </w:p>
        </w:tc>
        <w:tc>
          <w:tcPr>
            <w:tcW w:w="66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CCEEFF"/>
            </w:tcBorders>
            <w:shd w:val="clear" w:color="auto" w:fill="CCEEFF"/>
          </w:tcPr>
          <w:p>
            <w:pPr>
              <w:spacing w:after="0"/>
              <w:rPr>
                <w:sz w:val="8"/>
                <w:szCs w:val="8"/>
                <w:color w:val="auto"/>
              </w:rPr>
            </w:pPr>
          </w:p>
        </w:tc>
        <w:tc>
          <w:tcPr>
            <w:tcW w:w="88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300" w:type="dxa"/>
            <w:vAlign w:val="bottom"/>
            <w:tcBorders>
              <w:top w:val="single" w:sz="8" w:color="auto"/>
              <w:bottom w:val="single" w:sz="8" w:color="CCEEFF"/>
            </w:tcBorders>
            <w:shd w:val="clear" w:color="auto" w:fill="CCEEFF"/>
          </w:tcPr>
          <w:p>
            <w:pPr>
              <w:spacing w:after="0"/>
              <w:rPr>
                <w:sz w:val="8"/>
                <w:szCs w:val="8"/>
                <w:color w:val="auto"/>
              </w:rPr>
            </w:pPr>
          </w:p>
        </w:tc>
        <w:tc>
          <w:tcPr>
            <w:tcW w:w="740" w:type="dxa"/>
            <w:vAlign w:val="bottom"/>
            <w:tcBorders>
              <w:top w:val="single" w:sz="8" w:color="auto"/>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480" w:type="dxa"/>
            <w:vAlign w:val="bottom"/>
            <w:gridSpan w:val="2"/>
          </w:tcPr>
          <w:p>
            <w:pPr>
              <w:spacing w:after="0"/>
              <w:rPr>
                <w:sz w:val="20"/>
                <w:szCs w:val="20"/>
                <w:color w:val="auto"/>
              </w:rPr>
            </w:pPr>
            <w:r>
              <w:rPr>
                <w:rFonts w:ascii="Arial" w:cs="Arial" w:eastAsia="Arial" w:hAnsi="Arial"/>
                <w:sz w:val="10"/>
                <w:szCs w:val="10"/>
                <w:b w:val="1"/>
                <w:bCs w:val="1"/>
                <w:color w:val="auto"/>
              </w:rPr>
              <w:t>The Company</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Tier 1 leverage ratio (to average assets)</w:t>
            </w:r>
          </w:p>
        </w:tc>
        <w:tc>
          <w:tcPr>
            <w:tcW w:w="2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270,019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12.14 %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89,004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4.00 %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center"/>
              <w:ind w:right="620"/>
              <w:spacing w:after="0"/>
              <w:rPr>
                <w:sz w:val="20"/>
                <w:szCs w:val="20"/>
                <w:color w:val="auto"/>
              </w:rPr>
            </w:pPr>
            <w:r>
              <w:rPr>
                <w:rFonts w:ascii="Arial" w:cs="Arial" w:eastAsia="Arial" w:hAnsi="Arial"/>
                <w:sz w:val="10"/>
                <w:szCs w:val="10"/>
                <w:color w:val="auto"/>
                <w:w w:val="95"/>
              </w:rPr>
              <w:t>N/A</w:t>
            </w:r>
          </w:p>
        </w:tc>
        <w:tc>
          <w:tcPr>
            <w:tcW w:w="74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80" w:type="dxa"/>
            <w:vAlign w:val="bottom"/>
            <w:gridSpan w:val="2"/>
          </w:tcPr>
          <w:p>
            <w:pPr>
              <w:ind w:left="100"/>
              <w:spacing w:after="0"/>
              <w:rPr>
                <w:sz w:val="20"/>
                <w:szCs w:val="20"/>
                <w:color w:val="auto"/>
              </w:rPr>
            </w:pPr>
            <w:r>
              <w:rPr>
                <w:rFonts w:ascii="Arial" w:cs="Arial" w:eastAsia="Arial" w:hAnsi="Arial"/>
                <w:sz w:val="10"/>
                <w:szCs w:val="10"/>
                <w:color w:val="auto"/>
              </w:rPr>
              <w:t>Tier 1 capital (to risk-weighted assets)</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270,019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15.55 %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104,175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6.00 %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3"/>
          </w:tcPr>
          <w:p>
            <w:pPr>
              <w:jc w:val="center"/>
              <w:ind w:right="620"/>
              <w:spacing w:after="0"/>
              <w:rPr>
                <w:sz w:val="20"/>
                <w:szCs w:val="20"/>
                <w:color w:val="auto"/>
              </w:rPr>
            </w:pPr>
            <w:r>
              <w:rPr>
                <w:rFonts w:ascii="Arial" w:cs="Arial" w:eastAsia="Arial" w:hAnsi="Arial"/>
                <w:sz w:val="10"/>
                <w:szCs w:val="10"/>
                <w:color w:val="auto"/>
                <w:w w:val="95"/>
              </w:rPr>
              <w:t>N/A</w:t>
            </w:r>
          </w:p>
        </w:tc>
        <w:tc>
          <w:tcPr>
            <w:tcW w:w="740" w:type="dxa"/>
            <w:vAlign w:val="bottom"/>
          </w:tcPr>
          <w:p>
            <w:pPr>
              <w:jc w:val="right"/>
              <w:ind w:right="391"/>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Common equity tier 1 capital ratio (to risk-weighted assets)</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267,957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15.43 %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78,132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4.50 %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center"/>
              <w:ind w:right="620"/>
              <w:spacing w:after="0"/>
              <w:rPr>
                <w:sz w:val="20"/>
                <w:szCs w:val="20"/>
                <w:color w:val="auto"/>
              </w:rPr>
            </w:pPr>
            <w:r>
              <w:rPr>
                <w:rFonts w:ascii="Arial" w:cs="Arial" w:eastAsia="Arial" w:hAnsi="Arial"/>
                <w:sz w:val="10"/>
                <w:szCs w:val="10"/>
                <w:color w:val="auto"/>
                <w:w w:val="95"/>
              </w:rPr>
              <w:t>N/A</w:t>
            </w:r>
          </w:p>
        </w:tc>
        <w:tc>
          <w:tcPr>
            <w:tcW w:w="74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80" w:type="dxa"/>
            <w:vAlign w:val="bottom"/>
            <w:gridSpan w:val="2"/>
          </w:tcPr>
          <w:p>
            <w:pPr>
              <w:ind w:left="100"/>
              <w:spacing w:after="0"/>
              <w:rPr>
                <w:sz w:val="20"/>
                <w:szCs w:val="20"/>
                <w:color w:val="auto"/>
              </w:rPr>
            </w:pPr>
            <w:r>
              <w:rPr>
                <w:rFonts w:ascii="Arial" w:cs="Arial" w:eastAsia="Arial" w:hAnsi="Arial"/>
                <w:sz w:val="10"/>
                <w:szCs w:val="10"/>
                <w:color w:val="auto"/>
              </w:rPr>
              <w:t>Total capital ratio (to risk-weighted assets)</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301,817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17.38 %</w:t>
            </w:r>
          </w:p>
        </w:tc>
        <w:tc>
          <w:tcPr>
            <w:tcW w:w="8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138,900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8.00 %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3"/>
          </w:tcPr>
          <w:p>
            <w:pPr>
              <w:jc w:val="center"/>
              <w:ind w:right="620"/>
              <w:spacing w:after="0"/>
              <w:rPr>
                <w:sz w:val="20"/>
                <w:szCs w:val="20"/>
                <w:color w:val="auto"/>
              </w:rPr>
            </w:pPr>
            <w:r>
              <w:rPr>
                <w:rFonts w:ascii="Arial" w:cs="Arial" w:eastAsia="Arial" w:hAnsi="Arial"/>
                <w:sz w:val="10"/>
                <w:szCs w:val="10"/>
                <w:color w:val="auto"/>
                <w:w w:val="95"/>
              </w:rPr>
              <w:t>N/A</w:t>
            </w:r>
          </w:p>
        </w:tc>
        <w:tc>
          <w:tcPr>
            <w:tcW w:w="740" w:type="dxa"/>
            <w:vAlign w:val="bottom"/>
          </w:tcPr>
          <w:p>
            <w:pPr>
              <w:jc w:val="right"/>
              <w:ind w:right="391"/>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480" w:type="dxa"/>
            <w:vAlign w:val="bottom"/>
            <w:gridSpan w:val="2"/>
          </w:tcPr>
          <w:p>
            <w:pPr>
              <w:spacing w:after="0"/>
              <w:rPr>
                <w:sz w:val="20"/>
                <w:szCs w:val="20"/>
                <w:color w:val="auto"/>
              </w:rPr>
            </w:pPr>
            <w:r>
              <w:rPr>
                <w:rFonts w:ascii="Arial" w:cs="Arial" w:eastAsia="Arial" w:hAnsi="Arial"/>
                <w:sz w:val="10"/>
                <w:szCs w:val="10"/>
                <w:b w:val="1"/>
                <w:bCs w:val="1"/>
                <w:color w:val="auto"/>
              </w:rPr>
              <w:t>The Bank</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Tier 1 leverage ratio (to average assets)</w:t>
            </w:r>
          </w:p>
        </w:tc>
        <w:tc>
          <w:tcPr>
            <w:tcW w:w="2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228,794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10.51 %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87,068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4.00 %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108,835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5.00 %</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80" w:type="dxa"/>
            <w:vAlign w:val="bottom"/>
            <w:gridSpan w:val="2"/>
          </w:tcPr>
          <w:p>
            <w:pPr>
              <w:ind w:left="100"/>
              <w:spacing w:after="0"/>
              <w:rPr>
                <w:sz w:val="20"/>
                <w:szCs w:val="20"/>
                <w:color w:val="auto"/>
              </w:rPr>
            </w:pPr>
            <w:r>
              <w:rPr>
                <w:rFonts w:ascii="Arial" w:cs="Arial" w:eastAsia="Arial" w:hAnsi="Arial"/>
                <w:sz w:val="10"/>
                <w:szCs w:val="10"/>
                <w:color w:val="auto"/>
              </w:rPr>
              <w:t>Tier 1 capital (to risk-weighted assets)</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228,794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13.56 %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101,251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6.00 %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135,001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8.00 %</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Common equity tier 1 capital ratio (to risk-weighted assets)</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228,794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13.56 %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75,938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4.50 %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109,688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6.50 %</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80" w:type="dxa"/>
            <w:vAlign w:val="bottom"/>
            <w:gridSpan w:val="2"/>
          </w:tcPr>
          <w:p>
            <w:pPr>
              <w:ind w:left="100"/>
              <w:spacing w:after="0"/>
              <w:rPr>
                <w:sz w:val="20"/>
                <w:szCs w:val="20"/>
                <w:color w:val="auto"/>
              </w:rPr>
            </w:pPr>
            <w:r>
              <w:rPr>
                <w:rFonts w:ascii="Arial" w:cs="Arial" w:eastAsia="Arial" w:hAnsi="Arial"/>
                <w:sz w:val="10"/>
                <w:szCs w:val="10"/>
                <w:color w:val="auto"/>
              </w:rPr>
              <w:t>Total capital ratio (to risk-weighted assets)</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249,984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14.81 %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135,001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8.00 %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168,751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10.00 %</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Borders>
              <w:bottom w:val="single" w:sz="8" w:color="auto"/>
            </w:tcBorders>
          </w:tcPr>
          <w:p>
            <w:pPr>
              <w:spacing w:after="0" w:line="106" w:lineRule="exact"/>
              <w:rPr>
                <w:sz w:val="20"/>
                <w:szCs w:val="20"/>
                <w:color w:val="auto"/>
              </w:rPr>
            </w:pPr>
            <w:r>
              <w:rPr>
                <w:rFonts w:ascii="Arial" w:cs="Arial" w:eastAsia="Arial" w:hAnsi="Arial"/>
                <w:sz w:val="10"/>
                <w:szCs w:val="10"/>
                <w:b w:val="1"/>
                <w:bCs w:val="1"/>
                <w:color w:val="auto"/>
                <w:w w:val="97"/>
              </w:rPr>
              <w:t>December 31, 2022</w:t>
            </w: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The Company</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80" w:type="dxa"/>
            <w:vAlign w:val="bottom"/>
            <w:gridSpan w:val="2"/>
          </w:tcPr>
          <w:p>
            <w:pPr>
              <w:ind w:left="100"/>
              <w:spacing w:after="0"/>
              <w:rPr>
                <w:sz w:val="20"/>
                <w:szCs w:val="20"/>
                <w:color w:val="auto"/>
              </w:rPr>
            </w:pPr>
            <w:r>
              <w:rPr>
                <w:rFonts w:ascii="Arial" w:cs="Arial" w:eastAsia="Arial" w:hAnsi="Arial"/>
                <w:sz w:val="10"/>
                <w:szCs w:val="10"/>
                <w:color w:val="auto"/>
              </w:rPr>
              <w:t>Tier 1 leverage ratio (to average assets)</w:t>
            </w:r>
          </w:p>
        </w:tc>
        <w:tc>
          <w:tcPr>
            <w:tcW w:w="2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242,829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11.24 %</w:t>
            </w:r>
          </w:p>
        </w:tc>
        <w:tc>
          <w:tcPr>
            <w:tcW w:w="8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86,442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4.00 %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3"/>
          </w:tcPr>
          <w:p>
            <w:pPr>
              <w:jc w:val="center"/>
              <w:ind w:right="620"/>
              <w:spacing w:after="0"/>
              <w:rPr>
                <w:sz w:val="20"/>
                <w:szCs w:val="20"/>
                <w:color w:val="auto"/>
              </w:rPr>
            </w:pPr>
            <w:r>
              <w:rPr>
                <w:rFonts w:ascii="Arial" w:cs="Arial" w:eastAsia="Arial" w:hAnsi="Arial"/>
                <w:sz w:val="10"/>
                <w:szCs w:val="10"/>
                <w:color w:val="auto"/>
                <w:w w:val="95"/>
              </w:rPr>
              <w:t>N/A</w:t>
            </w:r>
          </w:p>
        </w:tc>
        <w:tc>
          <w:tcPr>
            <w:tcW w:w="740" w:type="dxa"/>
            <w:vAlign w:val="bottom"/>
          </w:tcPr>
          <w:p>
            <w:pPr>
              <w:jc w:val="right"/>
              <w:ind w:right="391"/>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Tier 1 capital (to risk-weighted assets)</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242,829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15.13 %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96,315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6.00 %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center"/>
              <w:ind w:right="620"/>
              <w:spacing w:after="0"/>
              <w:rPr>
                <w:sz w:val="20"/>
                <w:szCs w:val="20"/>
                <w:color w:val="auto"/>
              </w:rPr>
            </w:pPr>
            <w:r>
              <w:rPr>
                <w:rFonts w:ascii="Arial" w:cs="Arial" w:eastAsia="Arial" w:hAnsi="Arial"/>
                <w:sz w:val="10"/>
                <w:szCs w:val="10"/>
                <w:color w:val="auto"/>
                <w:w w:val="95"/>
              </w:rPr>
              <w:t>N/A</w:t>
            </w:r>
          </w:p>
        </w:tc>
        <w:tc>
          <w:tcPr>
            <w:tcW w:w="74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80" w:type="dxa"/>
            <w:vAlign w:val="bottom"/>
            <w:gridSpan w:val="2"/>
          </w:tcPr>
          <w:p>
            <w:pPr>
              <w:ind w:left="100"/>
              <w:spacing w:after="0"/>
              <w:rPr>
                <w:sz w:val="20"/>
                <w:szCs w:val="20"/>
                <w:color w:val="auto"/>
              </w:rPr>
            </w:pPr>
            <w:r>
              <w:rPr>
                <w:rFonts w:ascii="Arial" w:cs="Arial" w:eastAsia="Arial" w:hAnsi="Arial"/>
                <w:sz w:val="10"/>
                <w:szCs w:val="10"/>
                <w:color w:val="auto"/>
              </w:rPr>
              <w:t>Common equity tier 1 capital ratio (to risk-weighted assets)</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240,767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15.00 %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72,237</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4.50 %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3"/>
          </w:tcPr>
          <w:p>
            <w:pPr>
              <w:jc w:val="center"/>
              <w:ind w:right="620"/>
              <w:spacing w:after="0"/>
              <w:rPr>
                <w:sz w:val="20"/>
                <w:szCs w:val="20"/>
                <w:color w:val="auto"/>
              </w:rPr>
            </w:pPr>
            <w:r>
              <w:rPr>
                <w:rFonts w:ascii="Arial" w:cs="Arial" w:eastAsia="Arial" w:hAnsi="Arial"/>
                <w:sz w:val="10"/>
                <w:szCs w:val="10"/>
                <w:color w:val="auto"/>
                <w:w w:val="95"/>
              </w:rPr>
              <w:t>N/A</w:t>
            </w:r>
          </w:p>
        </w:tc>
        <w:tc>
          <w:tcPr>
            <w:tcW w:w="740" w:type="dxa"/>
            <w:vAlign w:val="bottom"/>
          </w:tcPr>
          <w:p>
            <w:pPr>
              <w:jc w:val="right"/>
              <w:ind w:right="391"/>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Total capital ratio (to risk-weighted assets)</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262,217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16.33 %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128,421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8.00 %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center"/>
              <w:ind w:right="620"/>
              <w:spacing w:after="0"/>
              <w:rPr>
                <w:sz w:val="20"/>
                <w:szCs w:val="20"/>
                <w:color w:val="auto"/>
              </w:rPr>
            </w:pPr>
            <w:r>
              <w:rPr>
                <w:rFonts w:ascii="Arial" w:cs="Arial" w:eastAsia="Arial" w:hAnsi="Arial"/>
                <w:sz w:val="10"/>
                <w:szCs w:val="10"/>
                <w:color w:val="auto"/>
                <w:w w:val="95"/>
              </w:rPr>
              <w:t>N/A</w:t>
            </w:r>
          </w:p>
        </w:tc>
        <w:tc>
          <w:tcPr>
            <w:tcW w:w="74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The Bank</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80" w:type="dxa"/>
            <w:vAlign w:val="bottom"/>
            <w:gridSpan w:val="2"/>
          </w:tcPr>
          <w:p>
            <w:pPr>
              <w:ind w:left="100"/>
              <w:spacing w:after="0"/>
              <w:rPr>
                <w:sz w:val="20"/>
                <w:szCs w:val="20"/>
                <w:color w:val="auto"/>
              </w:rPr>
            </w:pPr>
            <w:r>
              <w:rPr>
                <w:rFonts w:ascii="Arial" w:cs="Arial" w:eastAsia="Arial" w:hAnsi="Arial"/>
                <w:sz w:val="10"/>
                <w:szCs w:val="10"/>
                <w:color w:val="auto"/>
              </w:rPr>
              <w:t>Tier 1 leverage ratio (to average assets)</w:t>
            </w:r>
          </w:p>
        </w:tc>
        <w:tc>
          <w:tcPr>
            <w:tcW w:w="2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199,846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9.47 %</w:t>
            </w:r>
          </w:p>
        </w:tc>
        <w:tc>
          <w:tcPr>
            <w:tcW w:w="8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84,416</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4.00 %</w:t>
            </w:r>
          </w:p>
        </w:tc>
        <w:tc>
          <w:tcPr>
            <w:tcW w:w="8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105,521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5.00 %</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Tier 1 capital (to risk-weighted assets)</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199,846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12.95 %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92,574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6.00 %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123,432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8.00 %</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80" w:type="dxa"/>
            <w:vAlign w:val="bottom"/>
            <w:gridSpan w:val="2"/>
          </w:tcPr>
          <w:p>
            <w:pPr>
              <w:ind w:left="100"/>
              <w:spacing w:after="0"/>
              <w:rPr>
                <w:sz w:val="20"/>
                <w:szCs w:val="20"/>
                <w:color w:val="auto"/>
              </w:rPr>
            </w:pPr>
            <w:r>
              <w:rPr>
                <w:rFonts w:ascii="Arial" w:cs="Arial" w:eastAsia="Arial" w:hAnsi="Arial"/>
                <w:sz w:val="10"/>
                <w:szCs w:val="10"/>
                <w:color w:val="auto"/>
              </w:rPr>
              <w:t>Common equity tier 1 capital ratio (to risk-weighted assets)</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199,846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12.95 %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69,431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4.50 %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100,289</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6.50 %</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Total capital ratio (to risk-weighted assets)</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219,234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14.21 %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123,432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8.00 %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154,290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11" w:name="page112"/>
    <w:bookmarkEnd w:id="111"/>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 Stock-Based Compensation</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Compensation cost is recognized for stock options and restricted stock awards issued to employees. Compensation cost is measured as the fair value of these awards on their date of grant. A Black-Scholes model is utilized to estimate the fair value of stock options, while the market price of the Company’s common stock at the date of grant is used as the fair value of restricted stock awards. Compensation cost is recognized over the required service period, generally defined as the vesting period for stock option awards and as the restriction period for restricted stock awards. For awards with graded vesting, compensation cost is recognized on a straight-line basis over the requisite service period for the entire award.</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expense recognition of employee stock option and restricted stock awards resulted in net expense of approximately $1.8 million and $1.8 million during the years ended December 31, 2023 and 2022,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Stock options: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currently has two incentive compensation plans with outstanding stock options, the 2002 Stock Option Plan and the 2017 Stock and Incentive Compensation Plan (the “Plan”). Only the Plan, which authorizes the use of stock options, stock appreciation rights, restricted stock and/or restricted stock, is available to grant options and shares to employees and directors. At inception the Plan allowed for up to 1,120,000 shares of common stock to be issued. In 2021, an additional 900,000 shares were authorized for a total of 2,020,000. As of December 31, 2023, there are 792,846 shares available for future grant. Shares of common stock related to any unexercised or unvested award granted under the Plan that terminate or expire, or are subsequently forfeited or cancelled for any reason, become available for re-grant under the Plan. Option prices are equal to or greater than the estimated fair value of the common stock at the date of grant. Options outstanding vest over a four-year period, whereby 25% of the options become exercisable on each anniversary of the grant date.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Information with respect to options outstanding during the years ended December 31, 2023 and 2022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60" w:type="dxa"/>
            <w:vAlign w:val="bottom"/>
          </w:tcPr>
          <w:p>
            <w:pPr>
              <w:spacing w:after="0"/>
              <w:rPr>
                <w:sz w:val="13"/>
                <w:szCs w:val="1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2023</w:t>
            </w:r>
          </w:p>
        </w:tc>
        <w:tc>
          <w:tcPr>
            <w:tcW w:w="11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2022</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060" w:type="dxa"/>
            <w:vAlign w:val="bottom"/>
          </w:tcPr>
          <w:p>
            <w:pPr>
              <w:spacing w:after="0"/>
              <w:rPr>
                <w:sz w:val="9"/>
                <w:szCs w:val="9"/>
                <w:color w:val="auto"/>
              </w:rPr>
            </w:pPr>
          </w:p>
        </w:tc>
        <w:tc>
          <w:tcPr>
            <w:tcW w:w="136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1260" w:type="dxa"/>
            <w:vAlign w:val="bottom"/>
            <w:gridSpan w:val="2"/>
          </w:tcPr>
          <w:p>
            <w:pPr>
              <w:jc w:val="center"/>
              <w:ind w:right="240"/>
              <w:spacing w:after="0" w:line="112" w:lineRule="exact"/>
              <w:rPr>
                <w:sz w:val="20"/>
                <w:szCs w:val="20"/>
                <w:color w:val="auto"/>
              </w:rPr>
            </w:pPr>
            <w:r>
              <w:rPr>
                <w:rFonts w:ascii="Arial" w:cs="Arial" w:eastAsia="Arial" w:hAnsi="Arial"/>
                <w:sz w:val="11"/>
                <w:szCs w:val="11"/>
                <w:b w:val="1"/>
                <w:bCs w:val="1"/>
                <w:color w:val="auto"/>
              </w:rPr>
              <w:t>Weighted Average</w:t>
            </w:r>
          </w:p>
        </w:tc>
        <w:tc>
          <w:tcPr>
            <w:tcW w:w="1320" w:type="dxa"/>
            <w:vAlign w:val="bottom"/>
            <w:gridSpan w:val="2"/>
            <w:vMerge w:val="restart"/>
          </w:tcPr>
          <w:p>
            <w:pPr>
              <w:ind w:left="420"/>
              <w:spacing w:after="0"/>
              <w:rPr>
                <w:sz w:val="20"/>
                <w:szCs w:val="20"/>
                <w:color w:val="auto"/>
              </w:rPr>
            </w:pPr>
            <w:r>
              <w:rPr>
                <w:rFonts w:ascii="Arial" w:cs="Arial" w:eastAsia="Arial" w:hAnsi="Arial"/>
                <w:sz w:val="11"/>
                <w:szCs w:val="11"/>
                <w:color w:val="auto"/>
              </w:rPr>
              <w:t>Shares</w:t>
            </w:r>
          </w:p>
        </w:tc>
        <w:tc>
          <w:tcPr>
            <w:tcW w:w="100" w:type="dxa"/>
            <w:vAlign w:val="bottom"/>
          </w:tcPr>
          <w:p>
            <w:pPr>
              <w:spacing w:after="0"/>
              <w:rPr>
                <w:sz w:val="9"/>
                <w:szCs w:val="9"/>
                <w:color w:val="auto"/>
              </w:rPr>
            </w:pPr>
          </w:p>
        </w:tc>
        <w:tc>
          <w:tcPr>
            <w:tcW w:w="1100" w:type="dxa"/>
            <w:vAlign w:val="bottom"/>
          </w:tcPr>
          <w:p>
            <w:pPr>
              <w:jc w:val="right"/>
              <w:ind w:right="83"/>
              <w:spacing w:after="0" w:line="112" w:lineRule="exact"/>
              <w:rPr>
                <w:sz w:val="20"/>
                <w:szCs w:val="20"/>
                <w:color w:val="auto"/>
              </w:rPr>
            </w:pPr>
            <w:r>
              <w:rPr>
                <w:rFonts w:ascii="Arial" w:cs="Arial" w:eastAsia="Arial" w:hAnsi="Arial"/>
                <w:sz w:val="11"/>
                <w:szCs w:val="11"/>
                <w:color w:val="auto"/>
              </w:rPr>
              <w:t>Weighted Average</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Exercise Price</w:t>
            </w: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183"/>
              <w:spacing w:after="0"/>
              <w:rPr>
                <w:sz w:val="20"/>
                <w:szCs w:val="20"/>
                <w:color w:val="auto"/>
              </w:rPr>
            </w:pPr>
            <w:r>
              <w:rPr>
                <w:rFonts w:ascii="Arial" w:cs="Arial" w:eastAsia="Arial" w:hAnsi="Arial"/>
                <w:sz w:val="11"/>
                <w:szCs w:val="11"/>
                <w:color w:val="auto"/>
              </w:rPr>
              <w:t>Exercise Price</w:t>
            </w:r>
          </w:p>
        </w:tc>
        <w:tc>
          <w:tcPr>
            <w:tcW w:w="0" w:type="dxa"/>
            <w:vAlign w:val="bottom"/>
          </w:tcPr>
          <w:p>
            <w:pPr>
              <w:spacing w:after="0"/>
              <w:rPr>
                <w:sz w:val="1"/>
                <w:szCs w:val="1"/>
                <w:color w:val="auto"/>
              </w:rPr>
            </w:pPr>
          </w:p>
        </w:tc>
      </w:tr>
      <w:tr>
        <w:trPr>
          <w:trHeight w:val="150"/>
        </w:trPr>
        <w:tc>
          <w:tcPr>
            <w:tcW w:w="6060" w:type="dxa"/>
            <w:vAlign w:val="bottom"/>
          </w:tcPr>
          <w:p>
            <w:pPr>
              <w:ind w:left="20"/>
              <w:spacing w:after="0"/>
              <w:rPr>
                <w:sz w:val="20"/>
                <w:szCs w:val="20"/>
                <w:color w:val="auto"/>
              </w:rPr>
            </w:pPr>
            <w:r>
              <w:rPr>
                <w:rFonts w:ascii="Arial" w:cs="Arial" w:eastAsia="Arial" w:hAnsi="Arial"/>
                <w:sz w:val="11"/>
                <w:szCs w:val="11"/>
                <w:color w:val="auto"/>
              </w:rPr>
              <w:t>Outstanding at beginning of year</w:t>
            </w:r>
          </w:p>
        </w:tc>
        <w:tc>
          <w:tcPr>
            <w:tcW w:w="12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811,160</w:t>
            </w:r>
          </w:p>
        </w:tc>
        <w:tc>
          <w:tcPr>
            <w:tcW w:w="1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15.37</w:t>
            </w:r>
          </w:p>
        </w:tc>
        <w:tc>
          <w:tcPr>
            <w:tcW w:w="140" w:type="dxa"/>
            <w:vAlign w:val="bottom"/>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1,060,023</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14.77</w:t>
            </w:r>
          </w:p>
        </w:tc>
        <w:tc>
          <w:tcPr>
            <w:tcW w:w="0" w:type="dxa"/>
            <w:vAlign w:val="bottom"/>
          </w:tcPr>
          <w:p>
            <w:pPr>
              <w:spacing w:after="0"/>
              <w:rPr>
                <w:sz w:val="1"/>
                <w:szCs w:val="1"/>
                <w:color w:val="auto"/>
              </w:rPr>
            </w:pPr>
          </w:p>
        </w:tc>
      </w:tr>
      <w:tr>
        <w:trPr>
          <w:trHeight w:val="159"/>
        </w:trPr>
        <w:tc>
          <w:tcPr>
            <w:tcW w:w="60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Add: Granted</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168,819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23.34</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24.25</w:t>
            </w:r>
          </w:p>
        </w:tc>
        <w:tc>
          <w:tcPr>
            <w:tcW w:w="0" w:type="dxa"/>
            <w:vAlign w:val="bottom"/>
          </w:tcPr>
          <w:p>
            <w:pPr>
              <w:spacing w:after="0"/>
              <w:rPr>
                <w:sz w:val="1"/>
                <w:szCs w:val="1"/>
                <w:color w:val="auto"/>
              </w:rPr>
            </w:pPr>
          </w:p>
        </w:tc>
      </w:tr>
      <w:tr>
        <w:trPr>
          <w:trHeight w:val="159"/>
        </w:trPr>
        <w:tc>
          <w:tcPr>
            <w:tcW w:w="6060" w:type="dxa"/>
            <w:vAlign w:val="bottom"/>
          </w:tcPr>
          <w:p>
            <w:pPr>
              <w:ind w:left="120"/>
              <w:spacing w:after="0"/>
              <w:rPr>
                <w:sz w:val="20"/>
                <w:szCs w:val="20"/>
                <w:color w:val="auto"/>
              </w:rPr>
            </w:pPr>
            <w:r>
              <w:rPr>
                <w:rFonts w:ascii="Arial" w:cs="Arial" w:eastAsia="Arial" w:hAnsi="Arial"/>
                <w:sz w:val="11"/>
                <w:szCs w:val="11"/>
                <w:color w:val="auto"/>
              </w:rPr>
              <w:t>Less: Exercised</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(228,405)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b w:val="1"/>
                <w:bCs w:val="1"/>
                <w:color w:val="auto"/>
              </w:rPr>
              <w:t>11.96</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(160,590)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12.46</w:t>
            </w:r>
          </w:p>
        </w:tc>
        <w:tc>
          <w:tcPr>
            <w:tcW w:w="0" w:type="dxa"/>
            <w:vAlign w:val="bottom"/>
          </w:tcPr>
          <w:p>
            <w:pPr>
              <w:spacing w:after="0"/>
              <w:rPr>
                <w:sz w:val="1"/>
                <w:szCs w:val="1"/>
                <w:color w:val="auto"/>
              </w:rPr>
            </w:pPr>
          </w:p>
        </w:tc>
      </w:tr>
      <w:tr>
        <w:trPr>
          <w:trHeight w:val="159"/>
        </w:trPr>
        <w:tc>
          <w:tcPr>
            <w:tcW w:w="60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Less: Retired on exercise</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(124,939)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12.29</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(63,697)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12.52</w:t>
            </w:r>
          </w:p>
        </w:tc>
        <w:tc>
          <w:tcPr>
            <w:tcW w:w="0" w:type="dxa"/>
            <w:vAlign w:val="bottom"/>
          </w:tcPr>
          <w:p>
            <w:pPr>
              <w:spacing w:after="0"/>
              <w:rPr>
                <w:sz w:val="1"/>
                <w:szCs w:val="1"/>
                <w:color w:val="auto"/>
              </w:rPr>
            </w:pPr>
          </w:p>
        </w:tc>
      </w:tr>
      <w:tr>
        <w:trPr>
          <w:trHeight w:val="159"/>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Less: Expired/cancelled/forfeited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(75,917)</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20.49</w:t>
            </w:r>
          </w:p>
        </w:tc>
        <w:tc>
          <w:tcPr>
            <w:tcW w:w="14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(26,576)</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12.82</w:t>
            </w:r>
          </w:p>
        </w:tc>
        <w:tc>
          <w:tcPr>
            <w:tcW w:w="0" w:type="dxa"/>
            <w:vAlign w:val="bottom"/>
          </w:tcPr>
          <w:p>
            <w:pPr>
              <w:spacing w:after="0"/>
              <w:rPr>
                <w:sz w:val="1"/>
                <w:szCs w:val="1"/>
                <w:color w:val="auto"/>
              </w:rPr>
            </w:pPr>
          </w:p>
        </w:tc>
      </w:tr>
      <w:tr>
        <w:trPr>
          <w:trHeight w:val="21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Outstanding at end of year</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550,718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19.21</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811,160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15.37</w:t>
            </w:r>
          </w:p>
        </w:tc>
        <w:tc>
          <w:tcPr>
            <w:tcW w:w="0" w:type="dxa"/>
            <w:vAlign w:val="bottom"/>
          </w:tcPr>
          <w:p>
            <w:pPr>
              <w:spacing w:after="0"/>
              <w:rPr>
                <w:sz w:val="1"/>
                <w:szCs w:val="1"/>
                <w:color w:val="auto"/>
              </w:rPr>
            </w:pPr>
          </w:p>
        </w:tc>
      </w:tr>
      <w:tr>
        <w:trPr>
          <w:trHeight w:val="122"/>
        </w:trPr>
        <w:tc>
          <w:tcPr>
            <w:tcW w:w="6060" w:type="dxa"/>
            <w:vAlign w:val="bottom"/>
            <w:tcBorders>
              <w:top w:val="single" w:sz="8" w:color="CCEEFF"/>
            </w:tcBorders>
          </w:tcPr>
          <w:p>
            <w:pPr>
              <w:ind w:left="20"/>
              <w:spacing w:after="0" w:line="122" w:lineRule="exact"/>
              <w:rPr>
                <w:sz w:val="20"/>
                <w:szCs w:val="20"/>
                <w:color w:val="auto"/>
              </w:rPr>
            </w:pPr>
            <w:r>
              <w:rPr>
                <w:rFonts w:ascii="Arial" w:cs="Arial" w:eastAsia="Arial" w:hAnsi="Arial"/>
                <w:sz w:val="11"/>
                <w:szCs w:val="11"/>
                <w:color w:val="auto"/>
              </w:rPr>
              <w:t>Exercisable at end of year</w:t>
            </w:r>
          </w:p>
        </w:tc>
        <w:tc>
          <w:tcPr>
            <w:tcW w:w="1220" w:type="dxa"/>
            <w:vAlign w:val="bottom"/>
            <w:tcBorders>
              <w:top w:val="single" w:sz="8" w:color="auto"/>
              <w:bottom w:val="single" w:sz="8" w:color="auto"/>
            </w:tcBorders>
          </w:tcPr>
          <w:p>
            <w:pPr>
              <w:jc w:val="right"/>
              <w:ind w:right="3"/>
              <w:spacing w:after="0" w:line="122" w:lineRule="exact"/>
              <w:rPr>
                <w:sz w:val="20"/>
                <w:szCs w:val="20"/>
                <w:color w:val="auto"/>
              </w:rPr>
            </w:pPr>
            <w:r>
              <w:rPr>
                <w:rFonts w:ascii="Arial" w:cs="Arial" w:eastAsia="Arial" w:hAnsi="Arial"/>
                <w:sz w:val="11"/>
                <w:szCs w:val="11"/>
                <w:b w:val="1"/>
                <w:bCs w:val="1"/>
                <w:color w:val="auto"/>
              </w:rPr>
              <w:t>295,450</w:t>
            </w: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bottom w:val="single" w:sz="8" w:color="auto"/>
            </w:tcBorders>
          </w:tcPr>
          <w:p>
            <w:pPr>
              <w:jc w:val="right"/>
              <w:ind w:right="3"/>
              <w:spacing w:after="0" w:line="122" w:lineRule="exact"/>
              <w:rPr>
                <w:sz w:val="20"/>
                <w:szCs w:val="20"/>
                <w:color w:val="auto"/>
              </w:rPr>
            </w:pPr>
            <w:r>
              <w:rPr>
                <w:rFonts w:ascii="Arial" w:cs="Arial" w:eastAsia="Arial" w:hAnsi="Arial"/>
                <w:sz w:val="11"/>
                <w:szCs w:val="11"/>
                <w:b w:val="1"/>
                <w:bCs w:val="1"/>
                <w:color w:val="auto"/>
              </w:rPr>
              <w:t>16.69</w:t>
            </w:r>
          </w:p>
        </w:tc>
        <w:tc>
          <w:tcPr>
            <w:tcW w:w="140" w:type="dxa"/>
            <w:vAlign w:val="bottom"/>
            <w:tcBorders>
              <w:top w:val="single" w:sz="8" w:color="CCEEFF"/>
            </w:tcBorders>
          </w:tcPr>
          <w:p>
            <w:pPr>
              <w:spacing w:after="0"/>
              <w:rPr>
                <w:sz w:val="10"/>
                <w:szCs w:val="10"/>
                <w:color w:val="auto"/>
              </w:rPr>
            </w:pPr>
          </w:p>
        </w:tc>
        <w:tc>
          <w:tcPr>
            <w:tcW w:w="12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538,066</w:t>
            </w: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13.63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The weighted average fair value of options granted during the years ended December 31, 2023 and 2022, was $10.81 and $11.49,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12" w:name="page113"/>
    <w:bookmarkEnd w:id="112"/>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 Stock-Based Compensation (continued)</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 summary of information about stock options outstanding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3"/>
                <w:szCs w:val="13"/>
                <w:b w:val="1"/>
                <w:bCs w:val="1"/>
                <w:color w:val="auto"/>
              </w:rPr>
              <w:t>Exercise Price Range</w:t>
            </w:r>
          </w:p>
        </w:tc>
        <w:tc>
          <w:tcPr>
            <w:tcW w:w="120" w:type="dxa"/>
            <w:vAlign w:val="bottom"/>
          </w:tcPr>
          <w:p>
            <w:pPr>
              <w:spacing w:after="0"/>
              <w:rPr>
                <w:sz w:val="13"/>
                <w:szCs w:val="13"/>
                <w:color w:val="auto"/>
              </w:rPr>
            </w:pPr>
          </w:p>
        </w:tc>
        <w:tc>
          <w:tcPr>
            <w:tcW w:w="1840" w:type="dxa"/>
            <w:vAlign w:val="bottom"/>
          </w:tcPr>
          <w:p>
            <w:pPr>
              <w:jc w:val="right"/>
              <w:ind w:right="76"/>
              <w:spacing w:after="0"/>
              <w:rPr>
                <w:sz w:val="20"/>
                <w:szCs w:val="20"/>
                <w:color w:val="auto"/>
              </w:rPr>
            </w:pPr>
            <w:r>
              <w:rPr>
                <w:rFonts w:ascii="Arial" w:cs="Arial" w:eastAsia="Arial" w:hAnsi="Arial"/>
                <w:sz w:val="13"/>
                <w:szCs w:val="13"/>
                <w:b w:val="1"/>
                <w:bCs w:val="1"/>
                <w:color w:val="auto"/>
                <w:w w:val="98"/>
              </w:rPr>
              <w:t>Weighted Average Exercise</w:t>
            </w:r>
          </w:p>
        </w:tc>
        <w:tc>
          <w:tcPr>
            <w:tcW w:w="100" w:type="dxa"/>
            <w:vAlign w:val="bottom"/>
          </w:tcPr>
          <w:p>
            <w:pPr>
              <w:spacing w:after="0"/>
              <w:rPr>
                <w:sz w:val="13"/>
                <w:szCs w:val="13"/>
                <w:color w:val="auto"/>
              </w:rPr>
            </w:pPr>
          </w:p>
        </w:tc>
        <w:tc>
          <w:tcPr>
            <w:tcW w:w="158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Average Remaining</w:t>
            </w:r>
          </w:p>
        </w:tc>
        <w:tc>
          <w:tcPr>
            <w:tcW w:w="16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Outstanding Shares</w:t>
            </w:r>
          </w:p>
        </w:tc>
        <w:tc>
          <w:tcPr>
            <w:tcW w:w="180" w:type="dxa"/>
            <w:vAlign w:val="bottom"/>
          </w:tcPr>
          <w:p>
            <w:pPr>
              <w:spacing w:after="0"/>
              <w:rPr>
                <w:sz w:val="13"/>
                <w:szCs w:val="13"/>
                <w:color w:val="auto"/>
              </w:rPr>
            </w:pPr>
          </w:p>
        </w:tc>
        <w:tc>
          <w:tcPr>
            <w:tcW w:w="1500" w:type="dxa"/>
            <w:vAlign w:val="bottom"/>
            <w:vMerge w:val="restart"/>
          </w:tcPr>
          <w:p>
            <w:pPr>
              <w:jc w:val="right"/>
              <w:ind w:right="196"/>
              <w:spacing w:after="0"/>
              <w:rPr>
                <w:sz w:val="20"/>
                <w:szCs w:val="20"/>
                <w:color w:val="auto"/>
              </w:rPr>
            </w:pPr>
            <w:r>
              <w:rPr>
                <w:rFonts w:ascii="Arial" w:cs="Arial" w:eastAsia="Arial" w:hAnsi="Arial"/>
                <w:sz w:val="13"/>
                <w:szCs w:val="13"/>
                <w:b w:val="1"/>
                <w:bCs w:val="1"/>
                <w:color w:val="auto"/>
              </w:rPr>
              <w:t>Exercisable Shares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right"/>
              <w:ind w:right="756"/>
              <w:spacing w:after="0"/>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4"/>
                <w:szCs w:val="14"/>
                <w:color w:val="auto"/>
              </w:rPr>
            </w:pPr>
          </w:p>
        </w:tc>
        <w:tc>
          <w:tcPr>
            <w:tcW w:w="1580" w:type="dxa"/>
            <w:vAlign w:val="bottom"/>
            <w:gridSpan w:val="3"/>
          </w:tcPr>
          <w:p>
            <w:pPr>
              <w:jc w:val="right"/>
              <w:ind w:right="580"/>
              <w:spacing w:after="0"/>
              <w:rPr>
                <w:sz w:val="20"/>
                <w:szCs w:val="20"/>
                <w:color w:val="auto"/>
              </w:rPr>
            </w:pPr>
            <w:r>
              <w:rPr>
                <w:rFonts w:ascii="Arial" w:cs="Arial" w:eastAsia="Arial" w:hAnsi="Arial"/>
                <w:sz w:val="13"/>
                <w:szCs w:val="13"/>
                <w:b w:val="1"/>
                <w:bCs w:val="1"/>
                <w:color w:val="auto"/>
              </w:rPr>
              <w:t>Life (years)</w:t>
            </w:r>
          </w:p>
        </w:tc>
        <w:tc>
          <w:tcPr>
            <w:tcW w:w="1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Borders>
              <w:top w:val="single" w:sz="8" w:color="CCEEFF"/>
            </w:tcBorders>
            <w:shd w:val="clear" w:color="auto" w:fill="CCEEFF"/>
          </w:tcPr>
          <w:p>
            <w:pPr>
              <w:spacing w:after="0"/>
              <w:rPr>
                <w:sz w:val="11"/>
                <w:szCs w:val="11"/>
                <w:color w:val="auto"/>
              </w:rPr>
            </w:pPr>
          </w:p>
        </w:tc>
        <w:tc>
          <w:tcPr>
            <w:tcW w:w="2280" w:type="dxa"/>
            <w:vAlign w:val="bottom"/>
            <w:tcBorders>
              <w:top w:val="single" w:sz="8" w:color="CCEEFF"/>
            </w:tcBorders>
            <w:gridSpan w:val="2"/>
            <w:shd w:val="clear" w:color="auto" w:fill="CCEEFF"/>
          </w:tcPr>
          <w:p>
            <w:pPr>
              <w:spacing w:after="0" w:line="118" w:lineRule="exact"/>
              <w:rPr>
                <w:sz w:val="20"/>
                <w:szCs w:val="20"/>
                <w:color w:val="auto"/>
              </w:rPr>
            </w:pPr>
            <w:r>
              <w:rPr>
                <w:rFonts w:ascii="Arial" w:cs="Arial" w:eastAsia="Arial" w:hAnsi="Arial"/>
                <w:sz w:val="13"/>
                <w:szCs w:val="13"/>
                <w:b w:val="1"/>
                <w:bCs w:val="1"/>
                <w:color w:val="auto"/>
              </w:rPr>
              <w:t>December 31, 2023</w:t>
            </w:r>
          </w:p>
        </w:tc>
        <w:tc>
          <w:tcPr>
            <w:tcW w:w="15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100" w:type="dxa"/>
            <w:vAlign w:val="bottom"/>
            <w:tcBorders>
              <w:top w:val="single" w:sz="8" w:color="CCEEFF"/>
            </w:tcBorders>
            <w:gridSpan w:val="3"/>
          </w:tcPr>
          <w:p>
            <w:pPr>
              <w:jc w:val="right"/>
              <w:spacing w:after="0"/>
              <w:rPr>
                <w:sz w:val="20"/>
                <w:szCs w:val="20"/>
                <w:color w:val="auto"/>
              </w:rPr>
            </w:pPr>
            <w:r>
              <w:rPr>
                <w:rFonts w:ascii="Arial" w:cs="Arial" w:eastAsia="Arial" w:hAnsi="Arial"/>
                <w:sz w:val="13"/>
                <w:szCs w:val="13"/>
                <w:b w:val="1"/>
                <w:bCs w:val="1"/>
                <w:color w:val="auto"/>
              </w:rPr>
              <w:t>$10.70 - 14.63</w:t>
            </w: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84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rPr>
              <w:t>14.18</w:t>
            </w:r>
          </w:p>
        </w:tc>
        <w:tc>
          <w:tcPr>
            <w:tcW w:w="1420" w:type="dxa"/>
            <w:vAlign w:val="bottom"/>
            <w:tcBorders>
              <w:top w:val="single" w:sz="8" w:color="CCEEFF"/>
            </w:tcBorders>
            <w:gridSpan w:val="2"/>
          </w:tcPr>
          <w:p>
            <w:pPr>
              <w:jc w:val="right"/>
              <w:spacing w:after="0"/>
              <w:rPr>
                <w:sz w:val="20"/>
                <w:szCs w:val="20"/>
                <w:color w:val="auto"/>
              </w:rPr>
            </w:pPr>
            <w:r>
              <w:rPr>
                <w:rFonts w:ascii="Arial" w:cs="Arial" w:eastAsia="Arial" w:hAnsi="Arial"/>
                <w:sz w:val="13"/>
                <w:szCs w:val="13"/>
                <w:b w:val="1"/>
                <w:bCs w:val="1"/>
                <w:color w:val="auto"/>
              </w:rPr>
              <w:t>1.52</w:t>
            </w: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52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rPr>
              <w:t>267,527</w:t>
            </w: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50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rPr>
              <w:t>221,460</w:t>
            </w:r>
          </w:p>
        </w:tc>
        <w:tc>
          <w:tcPr>
            <w:tcW w:w="0" w:type="dxa"/>
            <w:vAlign w:val="bottom"/>
          </w:tcPr>
          <w:p>
            <w:pPr>
              <w:spacing w:after="0"/>
              <w:rPr>
                <w:sz w:val="1"/>
                <w:szCs w:val="1"/>
                <w:color w:val="auto"/>
              </w:rPr>
            </w:pPr>
          </w:p>
        </w:tc>
      </w:tr>
      <w:tr>
        <w:trPr>
          <w:trHeight w:val="170"/>
        </w:trPr>
        <w:tc>
          <w:tcPr>
            <w:tcW w:w="384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14.64</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- 18.56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15.27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1.57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15,000</w:t>
            </w:r>
          </w:p>
        </w:tc>
        <w:tc>
          <w:tcPr>
            <w:tcW w:w="0" w:type="dxa"/>
            <w:vAlign w:val="bottom"/>
          </w:tcPr>
          <w:p>
            <w:pPr>
              <w:spacing w:after="0"/>
              <w:rPr>
                <w:sz w:val="1"/>
                <w:szCs w:val="1"/>
                <w:color w:val="auto"/>
              </w:rPr>
            </w:pPr>
          </w:p>
        </w:tc>
      </w:tr>
      <w:tr>
        <w:trPr>
          <w:trHeight w:val="170"/>
        </w:trPr>
        <w:tc>
          <w:tcPr>
            <w:tcW w:w="3840" w:type="dxa"/>
            <w:vAlign w:val="bottom"/>
            <w:gridSpan w:val="4"/>
          </w:tcPr>
          <w:p>
            <w:pPr>
              <w:jc w:val="right"/>
              <w:spacing w:after="0"/>
              <w:rPr>
                <w:sz w:val="20"/>
                <w:szCs w:val="20"/>
                <w:color w:val="auto"/>
              </w:rPr>
            </w:pPr>
            <w:r>
              <w:rPr>
                <w:rFonts w:ascii="Arial" w:cs="Arial" w:eastAsia="Arial" w:hAnsi="Arial"/>
                <w:sz w:val="13"/>
                <w:szCs w:val="13"/>
                <w:b w:val="1"/>
                <w:bCs w:val="1"/>
                <w:color w:val="auto"/>
              </w:rPr>
              <w:t>18.57</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w w:val="93"/>
              </w:rPr>
              <w:t>- 22.49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b w:val="1"/>
                <w:bCs w:val="1"/>
                <w:color w:val="auto"/>
              </w:rPr>
              <w:t>20.15</w:t>
            </w:r>
          </w:p>
        </w:tc>
        <w:tc>
          <w:tcPr>
            <w:tcW w:w="1420" w:type="dxa"/>
            <w:vAlign w:val="bottom"/>
            <w:gridSpan w:val="2"/>
          </w:tcPr>
          <w:p>
            <w:pPr>
              <w:jc w:val="right"/>
              <w:spacing w:after="0"/>
              <w:rPr>
                <w:sz w:val="20"/>
                <w:szCs w:val="20"/>
                <w:color w:val="auto"/>
              </w:rPr>
            </w:pPr>
            <w:r>
              <w:rPr>
                <w:rFonts w:ascii="Arial" w:cs="Arial" w:eastAsia="Arial" w:hAnsi="Arial"/>
                <w:sz w:val="13"/>
                <w:szCs w:val="13"/>
                <w:b w:val="1"/>
                <w:bCs w:val="1"/>
                <w:color w:val="auto"/>
              </w:rPr>
              <w:t>3.98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3,250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1,250</w:t>
            </w:r>
          </w:p>
        </w:tc>
        <w:tc>
          <w:tcPr>
            <w:tcW w:w="0" w:type="dxa"/>
            <w:vAlign w:val="bottom"/>
          </w:tcPr>
          <w:p>
            <w:pPr>
              <w:spacing w:after="0"/>
              <w:rPr>
                <w:sz w:val="1"/>
                <w:szCs w:val="1"/>
                <w:color w:val="auto"/>
              </w:rPr>
            </w:pPr>
          </w:p>
        </w:tc>
      </w:tr>
      <w:tr>
        <w:trPr>
          <w:trHeight w:val="170"/>
        </w:trPr>
        <w:tc>
          <w:tcPr>
            <w:tcW w:w="384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22.50</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- 26.41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24.82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3.56</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255,941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57,740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20" w:type="dxa"/>
            <w:vAlign w:val="bottom"/>
            <w:gridSpan w:val="3"/>
          </w:tcPr>
          <w:p>
            <w:pPr>
              <w:spacing w:after="0"/>
              <w:rPr>
                <w:sz w:val="20"/>
                <w:szCs w:val="20"/>
                <w:color w:val="auto"/>
              </w:rPr>
            </w:pPr>
            <w:r>
              <w:rPr>
                <w:rFonts w:ascii="Arial" w:cs="Arial" w:eastAsia="Arial" w:hAnsi="Arial"/>
                <w:sz w:val="13"/>
                <w:szCs w:val="13"/>
                <w:b w:val="1"/>
                <w:bCs w:val="1"/>
                <w:color w:val="auto"/>
              </w:rPr>
              <w:t>Total outstanding options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840" w:type="dxa"/>
            <w:vAlign w:val="bottom"/>
          </w:tcPr>
          <w:p>
            <w:pPr>
              <w:jc w:val="right"/>
              <w:spacing w:after="0"/>
              <w:rPr>
                <w:sz w:val="20"/>
                <w:szCs w:val="20"/>
                <w:color w:val="auto"/>
              </w:rPr>
            </w:pPr>
            <w:r>
              <w:rPr>
                <w:rFonts w:ascii="Arial" w:cs="Arial" w:eastAsia="Arial" w:hAnsi="Arial"/>
                <w:sz w:val="13"/>
                <w:szCs w:val="13"/>
                <w:b w:val="1"/>
                <w:bCs w:val="1"/>
                <w:color w:val="auto"/>
              </w:rPr>
              <w:t>19.21</w:t>
            </w:r>
          </w:p>
        </w:tc>
        <w:tc>
          <w:tcPr>
            <w:tcW w:w="1420" w:type="dxa"/>
            <w:vAlign w:val="bottom"/>
            <w:gridSpan w:val="2"/>
          </w:tcPr>
          <w:p>
            <w:pPr>
              <w:jc w:val="right"/>
              <w:spacing w:after="0"/>
              <w:rPr>
                <w:sz w:val="20"/>
                <w:szCs w:val="20"/>
                <w:color w:val="auto"/>
              </w:rPr>
            </w:pPr>
            <w:r>
              <w:rPr>
                <w:rFonts w:ascii="Arial" w:cs="Arial" w:eastAsia="Arial" w:hAnsi="Arial"/>
                <w:sz w:val="13"/>
                <w:szCs w:val="13"/>
                <w:b w:val="1"/>
                <w:bCs w:val="1"/>
                <w:color w:val="auto"/>
              </w:rPr>
              <w:t>2.48</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550,718</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295,450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shd w:val="clear" w:color="auto" w:fill="CCEEFF"/>
          </w:tcPr>
          <w:p>
            <w:pPr>
              <w:spacing w:after="0"/>
              <w:rPr>
                <w:sz w:val="7"/>
                <w:szCs w:val="7"/>
                <w:color w:val="auto"/>
              </w:rPr>
            </w:pPr>
          </w:p>
        </w:tc>
        <w:tc>
          <w:tcPr>
            <w:tcW w:w="3820" w:type="dxa"/>
            <w:vAlign w:val="bottom"/>
            <w:gridSpan w:val="3"/>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Intrinsic value on December 31,</w:t>
            </w: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68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2,999,807</w:t>
            </w:r>
          </w:p>
        </w:tc>
        <w:tc>
          <w:tcPr>
            <w:tcW w:w="100" w:type="dxa"/>
            <w:vAlign w:val="bottom"/>
            <w:shd w:val="clear" w:color="auto" w:fill="CCEEFF"/>
          </w:tcPr>
          <w:p>
            <w:pPr>
              <w:spacing w:after="0"/>
              <w:rPr>
                <w:sz w:val="7"/>
                <w:szCs w:val="7"/>
                <w:color w:val="auto"/>
              </w:rPr>
            </w:pPr>
          </w:p>
        </w:tc>
        <w:tc>
          <w:tcPr>
            <w:tcW w:w="18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2,346,106</w:t>
            </w:r>
          </w:p>
        </w:tc>
        <w:tc>
          <w:tcPr>
            <w:tcW w:w="0" w:type="dxa"/>
            <w:vAlign w:val="bottom"/>
          </w:tcPr>
          <w:p>
            <w:pPr>
              <w:spacing w:after="0"/>
              <w:rPr>
                <w:sz w:val="1"/>
                <w:szCs w:val="1"/>
                <w:color w:val="auto"/>
              </w:rPr>
            </w:pPr>
          </w:p>
        </w:tc>
      </w:tr>
      <w:tr>
        <w:trPr>
          <w:trHeight w:val="168"/>
        </w:trPr>
        <w:tc>
          <w:tcPr>
            <w:tcW w:w="11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3"/>
                <w:szCs w:val="13"/>
                <w:b w:val="1"/>
                <w:bCs w:val="1"/>
                <w:color w:val="auto"/>
              </w:rPr>
              <w:t>2023</w:t>
            </w:r>
          </w:p>
        </w:tc>
        <w:tc>
          <w:tcPr>
            <w:tcW w:w="11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80" w:type="dxa"/>
            <w:vAlign w:val="bottom"/>
            <w:gridSpan w:val="4"/>
            <w:vMerge w:val="continue"/>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5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382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December 31, 2022</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100" w:type="dxa"/>
            <w:vAlign w:val="bottom"/>
            <w:tcBorders>
              <w:top w:val="single" w:sz="8" w:color="CCEEFF"/>
            </w:tcBorders>
            <w:gridSpan w:val="3"/>
          </w:tcPr>
          <w:p>
            <w:pPr>
              <w:jc w:val="right"/>
              <w:spacing w:after="0"/>
              <w:rPr>
                <w:sz w:val="20"/>
                <w:szCs w:val="20"/>
                <w:color w:val="auto"/>
              </w:rPr>
            </w:pPr>
            <w:r>
              <w:rPr>
                <w:rFonts w:ascii="Arial" w:cs="Arial" w:eastAsia="Arial" w:hAnsi="Arial"/>
                <w:sz w:val="13"/>
                <w:szCs w:val="13"/>
                <w:color w:val="auto"/>
              </w:rPr>
              <w:t>$10.70 - 14.63</w:t>
            </w: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18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13.02</w:t>
            </w:r>
          </w:p>
        </w:tc>
        <w:tc>
          <w:tcPr>
            <w:tcW w:w="1420" w:type="dxa"/>
            <w:vAlign w:val="bottom"/>
            <w:tcBorders>
              <w:top w:val="single" w:sz="8" w:color="CCEEFF"/>
            </w:tcBorders>
            <w:gridSpan w:val="2"/>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52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648,651</w:t>
            </w: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5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492,909</w:t>
            </w:r>
          </w:p>
        </w:tc>
        <w:tc>
          <w:tcPr>
            <w:tcW w:w="0" w:type="dxa"/>
            <w:vAlign w:val="bottom"/>
          </w:tcPr>
          <w:p>
            <w:pPr>
              <w:spacing w:after="0"/>
              <w:rPr>
                <w:sz w:val="1"/>
                <w:szCs w:val="1"/>
                <w:color w:val="auto"/>
              </w:rPr>
            </w:pPr>
          </w:p>
        </w:tc>
      </w:tr>
      <w:tr>
        <w:trPr>
          <w:trHeight w:val="171"/>
        </w:trPr>
        <w:tc>
          <w:tcPr>
            <w:tcW w:w="426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14.64 - 18.56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10,688</w:t>
            </w:r>
          </w:p>
        </w:tc>
        <w:tc>
          <w:tcPr>
            <w:tcW w:w="0" w:type="dxa"/>
            <w:vAlign w:val="bottom"/>
          </w:tcPr>
          <w:p>
            <w:pPr>
              <w:spacing w:after="0"/>
              <w:rPr>
                <w:sz w:val="1"/>
                <w:szCs w:val="1"/>
                <w:color w:val="auto"/>
              </w:rPr>
            </w:pPr>
          </w:p>
        </w:tc>
      </w:tr>
      <w:tr>
        <w:trPr>
          <w:trHeight w:val="169"/>
        </w:trPr>
        <w:tc>
          <w:tcPr>
            <w:tcW w:w="4260" w:type="dxa"/>
            <w:vAlign w:val="bottom"/>
            <w:gridSpan w:val="5"/>
          </w:tcPr>
          <w:p>
            <w:pPr>
              <w:jc w:val="right"/>
              <w:spacing w:after="0"/>
              <w:rPr>
                <w:sz w:val="20"/>
                <w:szCs w:val="20"/>
                <w:color w:val="auto"/>
              </w:rPr>
            </w:pPr>
            <w:r>
              <w:rPr>
                <w:rFonts w:ascii="Arial" w:cs="Arial" w:eastAsia="Arial" w:hAnsi="Arial"/>
                <w:sz w:val="13"/>
                <w:szCs w:val="13"/>
                <w:color w:val="auto"/>
              </w:rPr>
              <w:t>18.57 - 22.49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21.86</w:t>
            </w: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3.07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625</w:t>
            </w:r>
          </w:p>
        </w:tc>
        <w:tc>
          <w:tcPr>
            <w:tcW w:w="0" w:type="dxa"/>
            <w:vAlign w:val="bottom"/>
          </w:tcPr>
          <w:p>
            <w:pPr>
              <w:spacing w:after="0"/>
              <w:rPr>
                <w:sz w:val="1"/>
                <w:szCs w:val="1"/>
                <w:color w:val="auto"/>
              </w:rPr>
            </w:pPr>
          </w:p>
        </w:tc>
      </w:tr>
      <w:tr>
        <w:trPr>
          <w:trHeight w:val="170"/>
        </w:trPr>
        <w:tc>
          <w:tcPr>
            <w:tcW w:w="426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22.50 - 26.41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137,259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33,844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gridSpan w:val="3"/>
          </w:tcPr>
          <w:p>
            <w:pPr>
              <w:spacing w:after="0"/>
              <w:rPr>
                <w:sz w:val="20"/>
                <w:szCs w:val="20"/>
                <w:color w:val="auto"/>
              </w:rPr>
            </w:pPr>
            <w:r>
              <w:rPr>
                <w:rFonts w:ascii="Arial" w:cs="Arial" w:eastAsia="Arial" w:hAnsi="Arial"/>
                <w:sz w:val="13"/>
                <w:szCs w:val="13"/>
                <w:color w:val="auto"/>
              </w:rPr>
              <w:t>Total outstanding options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840" w:type="dxa"/>
            <w:vAlign w:val="bottom"/>
          </w:tcPr>
          <w:p>
            <w:pPr>
              <w:jc w:val="right"/>
              <w:spacing w:after="0"/>
              <w:rPr>
                <w:sz w:val="20"/>
                <w:szCs w:val="20"/>
                <w:color w:val="auto"/>
              </w:rPr>
            </w:pPr>
            <w:r>
              <w:rPr>
                <w:rFonts w:ascii="Arial" w:cs="Arial" w:eastAsia="Arial" w:hAnsi="Arial"/>
                <w:sz w:val="13"/>
                <w:szCs w:val="13"/>
                <w:color w:val="auto"/>
              </w:rPr>
              <w:t>15.37</w:t>
            </w: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811,160</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538,066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Intrinsic value on December 31, 2022</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8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7,020,560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5,428,713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aggregate intrinsic value as presented in the preceding tables is the difference between the estimated fair value of the stock as of December 31, 2023 and 2022, and the exercise price of the option multiplied by the number of options outstanding. Stock options with exercise prices greater than the estimated fair value of the stock are not included in this calculation.</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Total unrecognized compensation expense related to stock options to be recognized over the next five years was $1.4 million and $1.2 million at December 31, 2023 and 2022,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The intrinsic value of stock options exercised was $1.9 million and $1.9 million during the years ended December 31, 2023 and 2022, respectively.</w:t>
      </w:r>
    </w:p>
    <w:p>
      <w:pPr>
        <w:spacing w:after="0" w:line="179" w:lineRule="exact"/>
        <w:rPr>
          <w:sz w:val="20"/>
          <w:szCs w:val="20"/>
          <w:color w:val="auto"/>
        </w:rPr>
      </w:pPr>
    </w:p>
    <w:p>
      <w:pPr>
        <w:ind w:right="540"/>
        <w:spacing w:after="0" w:line="290" w:lineRule="auto"/>
        <w:rPr>
          <w:sz w:val="20"/>
          <w:szCs w:val="20"/>
          <w:color w:val="auto"/>
        </w:rPr>
      </w:pPr>
      <w:r>
        <w:rPr>
          <w:rFonts w:ascii="Arial" w:cs="Arial" w:eastAsia="Arial" w:hAnsi="Arial"/>
          <w:sz w:val="14"/>
          <w:szCs w:val="14"/>
          <w:color w:val="auto"/>
        </w:rPr>
        <w:t>The weighted average fair value of options granted during 2023 and 2022 were estimated using the Black-Scholes option-pricing model with the following weighted average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2023</w:t>
            </w:r>
          </w:p>
        </w:tc>
        <w:tc>
          <w:tcPr>
            <w:tcW w:w="16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r>
      <w:tr>
        <w:trPr>
          <w:trHeight w:val="160"/>
        </w:trPr>
        <w:tc>
          <w:tcPr>
            <w:tcW w:w="7260" w:type="dxa"/>
            <w:vAlign w:val="bottom"/>
          </w:tcPr>
          <w:p>
            <w:pPr>
              <w:ind w:left="20"/>
              <w:spacing w:after="0"/>
              <w:rPr>
                <w:sz w:val="20"/>
                <w:szCs w:val="20"/>
                <w:color w:val="auto"/>
              </w:rPr>
            </w:pPr>
            <w:r>
              <w:rPr>
                <w:rFonts w:ascii="Arial" w:cs="Arial" w:eastAsia="Arial" w:hAnsi="Arial"/>
                <w:sz w:val="13"/>
                <w:szCs w:val="13"/>
                <w:color w:val="auto"/>
              </w:rPr>
              <w:t>Dividend yield</w:t>
            </w: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97"/>
              </w:rPr>
              <w:t>1.04%</w:t>
            </w:r>
          </w:p>
        </w:tc>
        <w:tc>
          <w:tcPr>
            <w:tcW w:w="1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Arial" w:cs="Arial" w:eastAsia="Arial" w:hAnsi="Arial"/>
                <w:sz w:val="13"/>
                <w:szCs w:val="13"/>
                <w:color w:val="auto"/>
                <w:w w:val="97"/>
              </w:rPr>
              <w:t>0.99%</w:t>
            </w: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Risk free interest rate</w:t>
            </w:r>
          </w:p>
        </w:tc>
        <w:tc>
          <w:tcPr>
            <w:tcW w:w="194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97"/>
              </w:rPr>
              <w:t>4.52%</w:t>
            </w:r>
          </w:p>
        </w:tc>
        <w:tc>
          <w:tcPr>
            <w:tcW w:w="160" w:type="dxa"/>
            <w:vAlign w:val="bottom"/>
            <w:shd w:val="clear" w:color="auto" w:fill="CCEEFF"/>
          </w:tcPr>
          <w:p>
            <w:pPr>
              <w:spacing w:after="0"/>
              <w:rPr>
                <w:sz w:val="14"/>
                <w:szCs w:val="14"/>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3.25%</w:t>
            </w:r>
          </w:p>
        </w:tc>
      </w:tr>
      <w:tr>
        <w:trPr>
          <w:trHeight w:val="170"/>
        </w:trPr>
        <w:tc>
          <w:tcPr>
            <w:tcW w:w="7260" w:type="dxa"/>
            <w:vAlign w:val="bottom"/>
          </w:tcPr>
          <w:p>
            <w:pPr>
              <w:ind w:left="20"/>
              <w:spacing w:after="0"/>
              <w:rPr>
                <w:sz w:val="20"/>
                <w:szCs w:val="20"/>
                <w:color w:val="auto"/>
              </w:rPr>
            </w:pPr>
            <w:r>
              <w:rPr>
                <w:rFonts w:ascii="Arial" w:cs="Arial" w:eastAsia="Arial" w:hAnsi="Arial"/>
                <w:sz w:val="13"/>
                <w:szCs w:val="13"/>
                <w:color w:val="auto"/>
              </w:rPr>
              <w:t>Expected volatility</w:t>
            </w: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95"/>
              </w:rPr>
              <w:t>54.64%</w:t>
            </w:r>
          </w:p>
        </w:tc>
        <w:tc>
          <w:tcPr>
            <w:tcW w:w="1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3"/>
                <w:szCs w:val="13"/>
                <w:color w:val="auto"/>
                <w:w w:val="99"/>
              </w:rPr>
              <w:t>55.91%</w:t>
            </w: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life in years</w:t>
            </w:r>
          </w:p>
        </w:tc>
        <w:tc>
          <w:tcPr>
            <w:tcW w:w="194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2"/>
              </w:rPr>
              <w:t>5</w:t>
            </w:r>
          </w:p>
        </w:tc>
        <w:tc>
          <w:tcPr>
            <w:tcW w:w="160" w:type="dxa"/>
            <w:vAlign w:val="bottom"/>
            <w:shd w:val="clear" w:color="auto" w:fill="CCEEFF"/>
          </w:tcPr>
          <w:p>
            <w:pPr>
              <w:spacing w:after="0"/>
              <w:rPr>
                <w:sz w:val="14"/>
                <w:szCs w:val="14"/>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13" w:name="page114"/>
    <w:bookmarkEnd w:id="113"/>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 Stock-Based Compensation (continued)</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Restricted stock:</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from time-to-time also grants shares of restricted stock to key employees. These awards help align the interests of these employees with the interests of the stockholders of the Company by providing economic value directly related to increases in the value of the Company’s stock. These awards typically hold service requirements over various vesting periods. The value of the stock awarded is established as the fair market value of the stock at the time of the grant. The Company recognizes expense, equal to the total value of such awards, ratably over the vesting period of the stock grants.</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All restricted stock agreements are conditioned upon continued employment. Termination of employment prior to a vesting date, as described below, would terminate any interest in non-vested shares. All restricted shares will fully vest in the event of change in control of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Nonvested restricted stock for the years ended December 31, 2023 and 2022 is summarized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5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2023</w:t>
            </w:r>
          </w:p>
        </w:tc>
        <w:tc>
          <w:tcPr>
            <w:tcW w:w="12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1"/>
                <w:szCs w:val="11"/>
                <w:b w:val="1"/>
                <w:bCs w:val="1"/>
                <w:color w:val="auto"/>
              </w:rPr>
              <w:t>2022</w:t>
            </w: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5500" w:type="dxa"/>
            <w:vAlign w:val="bottom"/>
          </w:tcPr>
          <w:p>
            <w:pPr>
              <w:spacing w:after="0"/>
              <w:rPr>
                <w:sz w:val="9"/>
                <w:szCs w:val="9"/>
                <w:color w:val="auto"/>
              </w:rPr>
            </w:pPr>
          </w:p>
        </w:tc>
        <w:tc>
          <w:tcPr>
            <w:tcW w:w="900" w:type="dxa"/>
            <w:vAlign w:val="bottom"/>
            <w:vMerge w:val="restart"/>
          </w:tcPr>
          <w:p>
            <w:pPr>
              <w:ind w:left="500"/>
              <w:spacing w:after="0"/>
              <w:rPr>
                <w:sz w:val="20"/>
                <w:szCs w:val="20"/>
                <w:color w:val="auto"/>
              </w:rPr>
            </w:pPr>
            <w:r>
              <w:rPr>
                <w:rFonts w:ascii="Arial" w:cs="Arial" w:eastAsia="Arial" w:hAnsi="Arial"/>
                <w:sz w:val="11"/>
                <w:szCs w:val="11"/>
                <w:b w:val="1"/>
                <w:bCs w:val="1"/>
                <w:color w:val="auto"/>
              </w:rPr>
              <w:t>Shares</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ind w:left="100"/>
              <w:spacing w:after="0" w:line="112" w:lineRule="exact"/>
              <w:rPr>
                <w:sz w:val="20"/>
                <w:szCs w:val="20"/>
                <w:color w:val="auto"/>
              </w:rPr>
            </w:pPr>
            <w:r>
              <w:rPr>
                <w:rFonts w:ascii="Arial" w:cs="Arial" w:eastAsia="Arial" w:hAnsi="Arial"/>
                <w:sz w:val="11"/>
                <w:szCs w:val="11"/>
                <w:b w:val="1"/>
                <w:bCs w:val="1"/>
                <w:color w:val="auto"/>
              </w:rPr>
              <w:t>Weighted Average</w:t>
            </w:r>
          </w:p>
        </w:tc>
        <w:tc>
          <w:tcPr>
            <w:tcW w:w="880" w:type="dxa"/>
            <w:vAlign w:val="bottom"/>
            <w:vMerge w:val="restart"/>
          </w:tcPr>
          <w:p>
            <w:pPr>
              <w:ind w:left="500"/>
              <w:spacing w:after="0"/>
              <w:rPr>
                <w:sz w:val="20"/>
                <w:szCs w:val="20"/>
                <w:color w:val="auto"/>
              </w:rPr>
            </w:pPr>
            <w:r>
              <w:rPr>
                <w:rFonts w:ascii="Arial" w:cs="Arial" w:eastAsia="Arial" w:hAnsi="Arial"/>
                <w:sz w:val="11"/>
                <w:szCs w:val="11"/>
                <w:color w:val="auto"/>
              </w:rPr>
              <w:t>Shares</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tcPr>
          <w:p>
            <w:pPr>
              <w:jc w:val="right"/>
              <w:spacing w:after="0" w:line="112" w:lineRule="exact"/>
              <w:rPr>
                <w:sz w:val="20"/>
                <w:szCs w:val="20"/>
                <w:color w:val="auto"/>
              </w:rPr>
            </w:pPr>
            <w:r>
              <w:rPr>
                <w:rFonts w:ascii="Arial" w:cs="Arial" w:eastAsia="Arial" w:hAnsi="Arial"/>
                <w:sz w:val="11"/>
                <w:szCs w:val="11"/>
                <w:color w:val="auto"/>
              </w:rPr>
              <w:t>Weighted Average Grant-</w:t>
            </w:r>
          </w:p>
        </w:tc>
        <w:tc>
          <w:tcPr>
            <w:tcW w:w="0" w:type="dxa"/>
            <w:vAlign w:val="bottom"/>
          </w:tcPr>
          <w:p>
            <w:pPr>
              <w:spacing w:after="0"/>
              <w:rPr>
                <w:sz w:val="1"/>
                <w:szCs w:val="1"/>
                <w:color w:val="auto"/>
              </w:rPr>
            </w:pPr>
          </w:p>
        </w:tc>
      </w:tr>
      <w:tr>
        <w:trPr>
          <w:trHeight w:val="144"/>
        </w:trPr>
        <w:tc>
          <w:tcPr>
            <w:tcW w:w="55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Grant-Date Fair Value</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Date Fair Value</w:t>
            </w:r>
          </w:p>
        </w:tc>
        <w:tc>
          <w:tcPr>
            <w:tcW w:w="0" w:type="dxa"/>
            <w:vAlign w:val="bottom"/>
          </w:tcPr>
          <w:p>
            <w:pPr>
              <w:spacing w:after="0"/>
              <w:rPr>
                <w:sz w:val="1"/>
                <w:szCs w:val="1"/>
                <w:color w:val="auto"/>
              </w:rPr>
            </w:pPr>
          </w:p>
        </w:tc>
      </w:tr>
      <w:tr>
        <w:trPr>
          <w:trHeight w:val="15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Nonvested at beginning of year</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39,669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17.45</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49,047</w:t>
            </w:r>
          </w:p>
        </w:tc>
        <w:tc>
          <w:tcPr>
            <w:tcW w:w="28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14.33</w:t>
            </w:r>
          </w:p>
        </w:tc>
        <w:tc>
          <w:tcPr>
            <w:tcW w:w="0" w:type="dxa"/>
            <w:vAlign w:val="bottom"/>
          </w:tcPr>
          <w:p>
            <w:pPr>
              <w:spacing w:after="0"/>
              <w:rPr>
                <w:sz w:val="1"/>
                <w:szCs w:val="1"/>
                <w:color w:val="auto"/>
              </w:rPr>
            </w:pPr>
          </w:p>
        </w:tc>
      </w:tr>
      <w:tr>
        <w:trPr>
          <w:trHeight w:val="159"/>
        </w:trPr>
        <w:tc>
          <w:tcPr>
            <w:tcW w:w="6400" w:type="dxa"/>
            <w:vAlign w:val="bottom"/>
            <w:gridSpan w:val="2"/>
          </w:tcPr>
          <w:p>
            <w:pPr>
              <w:ind w:left="120"/>
              <w:spacing w:after="0"/>
              <w:rPr>
                <w:sz w:val="20"/>
                <w:szCs w:val="20"/>
                <w:color w:val="auto"/>
              </w:rPr>
            </w:pPr>
            <w:r>
              <w:rPr>
                <w:rFonts w:ascii="Arial" w:cs="Arial" w:eastAsia="Arial" w:hAnsi="Arial"/>
                <w:sz w:val="11"/>
                <w:szCs w:val="11"/>
                <w:color w:val="auto"/>
              </w:rPr>
              <w:t>Add: Granted</w:t>
            </w:r>
          </w:p>
        </w:tc>
        <w:tc>
          <w:tcPr>
            <w:tcW w:w="460" w:type="dxa"/>
            <w:vAlign w:val="bottom"/>
          </w:tcPr>
          <w:p>
            <w:pPr>
              <w:jc w:val="right"/>
              <w:ind w:right="3"/>
              <w:spacing w:after="0"/>
              <w:rPr>
                <w:sz w:val="20"/>
                <w:szCs w:val="20"/>
                <w:color w:val="auto"/>
              </w:rPr>
            </w:pPr>
            <w:r>
              <w:rPr>
                <w:rFonts w:ascii="Arial" w:cs="Arial" w:eastAsia="Arial" w:hAnsi="Arial"/>
                <w:sz w:val="11"/>
                <w:szCs w:val="11"/>
                <w:b w:val="1"/>
                <w:bCs w:val="1"/>
                <w:color w:val="auto"/>
              </w:rPr>
              <w:t>10,714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b w:val="1"/>
                <w:bCs w:val="1"/>
                <w:color w:val="auto"/>
              </w:rPr>
              <w:t>25.77</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11,495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24.66</w:t>
            </w:r>
          </w:p>
        </w:tc>
        <w:tc>
          <w:tcPr>
            <w:tcW w:w="0" w:type="dxa"/>
            <w:vAlign w:val="bottom"/>
          </w:tcPr>
          <w:p>
            <w:pPr>
              <w:spacing w:after="0"/>
              <w:rPr>
                <w:sz w:val="1"/>
                <w:szCs w:val="1"/>
                <w:color w:val="auto"/>
              </w:rPr>
            </w:pPr>
          </w:p>
        </w:tc>
      </w:tr>
      <w:tr>
        <w:trPr>
          <w:trHeight w:val="159"/>
        </w:trPr>
        <w:tc>
          <w:tcPr>
            <w:tcW w:w="640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Less: Vested</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(13,652)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15.92</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(15,905)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14.01</w:t>
            </w:r>
          </w:p>
        </w:tc>
        <w:tc>
          <w:tcPr>
            <w:tcW w:w="0" w:type="dxa"/>
            <w:vAlign w:val="bottom"/>
          </w:tcPr>
          <w:p>
            <w:pPr>
              <w:spacing w:after="0"/>
              <w:rPr>
                <w:sz w:val="1"/>
                <w:szCs w:val="1"/>
                <w:color w:val="auto"/>
              </w:rPr>
            </w:pPr>
          </w:p>
        </w:tc>
      </w:tr>
      <w:tr>
        <w:trPr>
          <w:trHeight w:val="159"/>
        </w:trPr>
        <w:tc>
          <w:tcPr>
            <w:tcW w:w="550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Less: Retired on vesting</w:t>
            </w:r>
          </w:p>
        </w:tc>
        <w:tc>
          <w:tcPr>
            <w:tcW w:w="9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(8,555)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1"/>
                <w:szCs w:val="11"/>
                <w:b w:val="1"/>
                <w:bCs w:val="1"/>
                <w:color w:val="auto"/>
              </w:rPr>
              <w:t>16.46</w:t>
            </w:r>
          </w:p>
        </w:tc>
        <w:tc>
          <w:tcPr>
            <w:tcW w:w="14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(4,968)</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14.44</w:t>
            </w:r>
          </w:p>
        </w:tc>
        <w:tc>
          <w:tcPr>
            <w:tcW w:w="0" w:type="dxa"/>
            <w:vAlign w:val="bottom"/>
          </w:tcPr>
          <w:p>
            <w:pPr>
              <w:spacing w:after="0"/>
              <w:rPr>
                <w:sz w:val="1"/>
                <w:szCs w:val="1"/>
                <w:color w:val="auto"/>
              </w:rPr>
            </w:pPr>
          </w:p>
        </w:tc>
      </w:tr>
      <w:tr>
        <w:trPr>
          <w:trHeight w:val="17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Nonvested at end of year</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28,176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21.66</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39,669</w:t>
            </w:r>
          </w:p>
        </w:tc>
        <w:tc>
          <w:tcPr>
            <w:tcW w:w="28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The vesting schedule of restricted shares as of December 31, 2023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0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w:t>
            </w:r>
          </w:p>
        </w:tc>
        <w:tc>
          <w:tcPr>
            <w:tcW w:w="3180" w:type="dxa"/>
            <w:vAlign w:val="bottom"/>
          </w:tcPr>
          <w:p>
            <w:pPr>
              <w:jc w:val="right"/>
              <w:ind w:right="1316"/>
              <w:spacing w:after="0"/>
              <w:rPr>
                <w:sz w:val="20"/>
                <w:szCs w:val="20"/>
                <w:color w:val="auto"/>
              </w:rPr>
            </w:pPr>
            <w:r>
              <w:rPr>
                <w:rFonts w:ascii="Arial" w:cs="Arial" w:eastAsia="Arial" w:hAnsi="Arial"/>
                <w:sz w:val="13"/>
                <w:szCs w:val="13"/>
                <w:b w:val="1"/>
                <w:bCs w:val="1"/>
                <w:color w:val="auto"/>
              </w:rPr>
              <w:t>Shares</w:t>
            </w:r>
          </w:p>
        </w:tc>
      </w:tr>
      <w:tr>
        <w:trPr>
          <w:trHeight w:val="160"/>
        </w:trPr>
        <w:tc>
          <w:tcPr>
            <w:tcW w:w="8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100" w:type="dxa"/>
            <w:vAlign w:val="bottom"/>
            <w:tcBorders>
              <w:top w:val="single" w:sz="8" w:color="CCEEFF"/>
            </w:tcBorders>
            <w:shd w:val="clear" w:color="auto" w:fill="CCEEFF"/>
          </w:tcPr>
          <w:p>
            <w:pPr>
              <w:spacing w:after="0"/>
              <w:rPr>
                <w:sz w:val="13"/>
                <w:szCs w:val="13"/>
                <w:color w:val="auto"/>
              </w:rPr>
            </w:pPr>
          </w:p>
        </w:tc>
        <w:tc>
          <w:tcPr>
            <w:tcW w:w="3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17,203</w:t>
            </w:r>
          </w:p>
        </w:tc>
      </w:tr>
      <w:tr>
        <w:trPr>
          <w:trHeight w:val="169"/>
        </w:trPr>
        <w:tc>
          <w:tcPr>
            <w:tcW w:w="8000" w:type="dxa"/>
            <w:vAlign w:val="bottom"/>
          </w:tcPr>
          <w:p>
            <w:pPr>
              <w:ind w:left="20"/>
              <w:spacing w:after="0"/>
              <w:rPr>
                <w:sz w:val="20"/>
                <w:szCs w:val="20"/>
                <w:color w:val="auto"/>
              </w:rPr>
            </w:pPr>
            <w:r>
              <w:rPr>
                <w:rFonts w:ascii="Arial" w:cs="Arial" w:eastAsia="Arial" w:hAnsi="Arial"/>
                <w:sz w:val="13"/>
                <w:szCs w:val="13"/>
                <w:color w:val="auto"/>
              </w:rPr>
              <w:t>2025</w:t>
            </w:r>
          </w:p>
        </w:tc>
        <w:tc>
          <w:tcPr>
            <w:tcW w:w="100" w:type="dxa"/>
            <w:vAlign w:val="bottom"/>
          </w:tcPr>
          <w:p>
            <w:pPr>
              <w:spacing w:after="0"/>
              <w:rPr>
                <w:sz w:val="14"/>
                <w:szCs w:val="14"/>
                <w:color w:val="auto"/>
              </w:rPr>
            </w:pPr>
          </w:p>
        </w:tc>
        <w:tc>
          <w:tcPr>
            <w:tcW w:w="3180" w:type="dxa"/>
            <w:vAlign w:val="bottom"/>
          </w:tcPr>
          <w:p>
            <w:pPr>
              <w:jc w:val="right"/>
              <w:spacing w:after="0"/>
              <w:rPr>
                <w:sz w:val="20"/>
                <w:szCs w:val="20"/>
                <w:color w:val="auto"/>
              </w:rPr>
            </w:pPr>
            <w:r>
              <w:rPr>
                <w:rFonts w:ascii="Arial" w:cs="Arial" w:eastAsia="Arial" w:hAnsi="Arial"/>
                <w:sz w:val="13"/>
                <w:szCs w:val="13"/>
                <w:color w:val="auto"/>
              </w:rPr>
              <w:t>7,403</w:t>
            </w:r>
          </w:p>
        </w:tc>
      </w:tr>
      <w:tr>
        <w:trPr>
          <w:trHeight w:val="170"/>
        </w:trPr>
        <w:tc>
          <w:tcPr>
            <w:tcW w:w="8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100" w:type="dxa"/>
            <w:vAlign w:val="bottom"/>
            <w:shd w:val="clear" w:color="auto" w:fill="CCEEFF"/>
          </w:tcPr>
          <w:p>
            <w:pPr>
              <w:spacing w:after="0"/>
              <w:rPr>
                <w:sz w:val="14"/>
                <w:szCs w:val="14"/>
                <w:color w:val="auto"/>
              </w:rPr>
            </w:pPr>
          </w:p>
        </w:tc>
        <w:tc>
          <w:tcPr>
            <w:tcW w:w="3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3,570</w:t>
            </w:r>
          </w:p>
        </w:tc>
      </w:tr>
      <w:tr>
        <w:trPr>
          <w:trHeight w:val="160"/>
        </w:trPr>
        <w:tc>
          <w:tcPr>
            <w:tcW w:w="8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28,176</w:t>
            </w:r>
          </w:p>
        </w:tc>
      </w:tr>
      <w:tr>
        <w:trPr>
          <w:trHeight w:val="20"/>
        </w:trPr>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There was $78 thousand and $429 thousand of total unrecognized compensation expense related to nonvested restricted stock at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18693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14" w:name="page115"/>
    <w:bookmarkEnd w:id="114"/>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 Parent Company Financial Information</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balance sheets as of December 31, 2023 and 2022 and statements of income and cash flows for the years then ended, for Capital Bancorp, Inc. (Parent only) are presented below.</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Parent Company Only Balance Sheets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0"/>
        </w:trPr>
        <w:tc>
          <w:tcPr>
            <w:tcW w:w="726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3,499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170"/>
        </w:trPr>
        <w:tc>
          <w:tcPr>
            <w:tcW w:w="7260" w:type="dxa"/>
            <w:vAlign w:val="bottom"/>
          </w:tcPr>
          <w:p>
            <w:pPr>
              <w:ind w:left="120"/>
              <w:spacing w:after="0"/>
              <w:rPr>
                <w:sz w:val="20"/>
                <w:szCs w:val="20"/>
                <w:color w:val="auto"/>
              </w:rPr>
            </w:pPr>
            <w:r>
              <w:rPr>
                <w:rFonts w:ascii="Arial" w:cs="Arial" w:eastAsia="Arial" w:hAnsi="Arial"/>
                <w:sz w:val="13"/>
                <w:szCs w:val="13"/>
                <w:color w:val="auto"/>
              </w:rPr>
              <w:t>Investment in Bank</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215,698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183,095</w:t>
            </w: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Investment in Church Street Capital</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6,574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5,402</w:t>
            </w:r>
          </w:p>
        </w:tc>
        <w:tc>
          <w:tcPr>
            <w:tcW w:w="0" w:type="dxa"/>
            <w:vAlign w:val="bottom"/>
          </w:tcPr>
          <w:p>
            <w:pPr>
              <w:spacing w:after="0"/>
              <w:rPr>
                <w:sz w:val="1"/>
                <w:szCs w:val="1"/>
                <w:color w:val="auto"/>
              </w:rPr>
            </w:pPr>
          </w:p>
        </w:tc>
      </w:tr>
      <w:tr>
        <w:trPr>
          <w:trHeight w:val="170"/>
        </w:trPr>
        <w:tc>
          <w:tcPr>
            <w:tcW w:w="7260" w:type="dxa"/>
            <w:vAlign w:val="bottom"/>
          </w:tcPr>
          <w:p>
            <w:pPr>
              <w:ind w:left="120"/>
              <w:spacing w:after="0"/>
              <w:rPr>
                <w:sz w:val="20"/>
                <w:szCs w:val="20"/>
                <w:color w:val="auto"/>
              </w:rPr>
            </w:pPr>
            <w:r>
              <w:rPr>
                <w:rFonts w:ascii="Arial" w:cs="Arial" w:eastAsia="Arial" w:hAnsi="Arial"/>
                <w:sz w:val="13"/>
                <w:szCs w:val="13"/>
                <w:color w:val="auto"/>
              </w:rPr>
              <w:t>Investment in Trust</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62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Loans receivable, net of allowance for credit losses of $416 and $328 at December 31, 2023 and 2022, respectively</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41,310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47,517</w:t>
            </w:r>
          </w:p>
        </w:tc>
        <w:tc>
          <w:tcPr>
            <w:tcW w:w="0" w:type="dxa"/>
            <w:vAlign w:val="bottom"/>
          </w:tcPr>
          <w:p>
            <w:pPr>
              <w:spacing w:after="0"/>
              <w:rPr>
                <w:sz w:val="1"/>
                <w:szCs w:val="1"/>
                <w:color w:val="auto"/>
              </w:rPr>
            </w:pPr>
          </w:p>
        </w:tc>
      </w:tr>
      <w:tr>
        <w:trPr>
          <w:trHeight w:val="170"/>
        </w:trPr>
        <w:tc>
          <w:tcPr>
            <w:tcW w:w="7260" w:type="dxa"/>
            <w:vAlign w:val="bottom"/>
          </w:tcPr>
          <w:p>
            <w:pPr>
              <w:ind w:left="120"/>
              <w:spacing w:after="0"/>
              <w:rPr>
                <w:sz w:val="20"/>
                <w:szCs w:val="20"/>
                <w:color w:val="auto"/>
              </w:rPr>
            </w:pPr>
            <w:r>
              <w:rPr>
                <w:rFonts w:ascii="Arial" w:cs="Arial" w:eastAsia="Arial" w:hAnsi="Arial"/>
                <w:sz w:val="13"/>
                <w:szCs w:val="13"/>
                <w:color w:val="auto"/>
              </w:rPr>
              <w:t>Accrued interest receivable</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370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income taxes</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70"/>
        </w:trPr>
        <w:tc>
          <w:tcPr>
            <w:tcW w:w="72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assets</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80"/>
        </w:trPr>
        <w:tc>
          <w:tcPr>
            <w:tcW w:w="72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assets</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267,699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236,781</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60" w:type="dxa"/>
            <w:vAlign w:val="bottom"/>
          </w:tcPr>
          <w:p>
            <w:pPr>
              <w:ind w:left="120"/>
              <w:spacing w:after="0"/>
              <w:rPr>
                <w:sz w:val="20"/>
                <w:szCs w:val="20"/>
                <w:color w:val="auto"/>
              </w:rPr>
            </w:pPr>
            <w:r>
              <w:rPr>
                <w:rFonts w:ascii="Arial" w:cs="Arial" w:eastAsia="Arial" w:hAnsi="Arial"/>
                <w:sz w:val="13"/>
                <w:szCs w:val="13"/>
                <w:color w:val="auto"/>
              </w:rPr>
              <w:t>Borrowed funds</w:t>
            </w:r>
          </w:p>
        </w:tc>
        <w:tc>
          <w:tcPr>
            <w:tcW w:w="4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12,062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12,062</w:t>
            </w: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Accrued interest payable</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299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70"/>
        </w:trPr>
        <w:tc>
          <w:tcPr>
            <w:tcW w:w="72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liabilities</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478</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656</w:t>
            </w:r>
          </w:p>
        </w:tc>
        <w:tc>
          <w:tcPr>
            <w:tcW w:w="0" w:type="dxa"/>
            <w:vAlign w:val="bottom"/>
          </w:tcPr>
          <w:p>
            <w:pPr>
              <w:spacing w:after="0"/>
              <w:rPr>
                <w:sz w:val="1"/>
                <w:szCs w:val="1"/>
                <w:color w:val="auto"/>
              </w:rPr>
            </w:pPr>
          </w:p>
        </w:tc>
      </w:tr>
      <w:tr>
        <w:trPr>
          <w:trHeight w:val="160"/>
        </w:trPr>
        <w:tc>
          <w:tcPr>
            <w:tcW w:w="72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liabilities</w:t>
            </w:r>
          </w:p>
        </w:tc>
        <w:tc>
          <w:tcPr>
            <w:tcW w:w="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12,839</w:t>
            </w:r>
          </w:p>
        </w:tc>
        <w:tc>
          <w:tcPr>
            <w:tcW w:w="4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12,766</w:t>
            </w:r>
          </w:p>
        </w:tc>
        <w:tc>
          <w:tcPr>
            <w:tcW w:w="0" w:type="dxa"/>
            <w:vAlign w:val="bottom"/>
          </w:tcPr>
          <w:p>
            <w:pPr>
              <w:spacing w:after="0"/>
              <w:rPr>
                <w:sz w:val="1"/>
                <w:szCs w:val="1"/>
                <w:color w:val="auto"/>
              </w:rPr>
            </w:pPr>
          </w:p>
        </w:tc>
      </w:tr>
      <w:tr>
        <w:trPr>
          <w:trHeight w:val="150"/>
        </w:trPr>
        <w:tc>
          <w:tcPr>
            <w:tcW w:w="7260" w:type="dxa"/>
            <w:vAlign w:val="bottom"/>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Common stock</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70"/>
        </w:trPr>
        <w:tc>
          <w:tcPr>
            <w:tcW w:w="7260" w:type="dxa"/>
            <w:vAlign w:val="bottom"/>
          </w:tcPr>
          <w:p>
            <w:pPr>
              <w:ind w:left="120"/>
              <w:spacing w:after="0"/>
              <w:rPr>
                <w:sz w:val="20"/>
                <w:szCs w:val="20"/>
                <w:color w:val="auto"/>
              </w:rPr>
            </w:pPr>
            <w:r>
              <w:rPr>
                <w:rFonts w:ascii="Arial" w:cs="Arial" w:eastAsia="Arial" w:hAnsi="Arial"/>
                <w:sz w:val="13"/>
                <w:szCs w:val="13"/>
                <w:color w:val="auto"/>
              </w:rPr>
              <w:t>Additional paid-in capital</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54,473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58,190</w:t>
            </w: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Retained earnings</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213,345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182,435</w:t>
            </w:r>
          </w:p>
        </w:tc>
        <w:tc>
          <w:tcPr>
            <w:tcW w:w="0" w:type="dxa"/>
            <w:vAlign w:val="bottom"/>
          </w:tcPr>
          <w:p>
            <w:pPr>
              <w:spacing w:after="0"/>
              <w:rPr>
                <w:sz w:val="1"/>
                <w:szCs w:val="1"/>
                <w:color w:val="auto"/>
              </w:rPr>
            </w:pPr>
          </w:p>
        </w:tc>
      </w:tr>
      <w:tr>
        <w:trPr>
          <w:trHeight w:val="170"/>
        </w:trPr>
        <w:tc>
          <w:tcPr>
            <w:tcW w:w="72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Accumulated other comprehensive loss</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(13,097)</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(16,751)</w:t>
            </w:r>
          </w:p>
        </w:tc>
        <w:tc>
          <w:tcPr>
            <w:tcW w:w="0" w:type="dxa"/>
            <w:vAlign w:val="bottom"/>
          </w:tcPr>
          <w:p>
            <w:pPr>
              <w:spacing w:after="0"/>
              <w:rPr>
                <w:sz w:val="1"/>
                <w:szCs w:val="1"/>
                <w:color w:val="auto"/>
              </w:rPr>
            </w:pPr>
          </w:p>
        </w:tc>
      </w:tr>
      <w:tr>
        <w:trPr>
          <w:trHeight w:val="160"/>
        </w:trPr>
        <w:tc>
          <w:tcPr>
            <w:tcW w:w="72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stockholders’ equity</w:t>
            </w:r>
          </w:p>
        </w:tc>
        <w:tc>
          <w:tcPr>
            <w:tcW w:w="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254,860</w:t>
            </w:r>
          </w:p>
        </w:tc>
        <w:tc>
          <w:tcPr>
            <w:tcW w:w="4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224,015</w:t>
            </w:r>
          </w:p>
        </w:tc>
        <w:tc>
          <w:tcPr>
            <w:tcW w:w="0" w:type="dxa"/>
            <w:vAlign w:val="bottom"/>
          </w:tcPr>
          <w:p>
            <w:pPr>
              <w:spacing w:after="0"/>
              <w:rPr>
                <w:sz w:val="1"/>
                <w:szCs w:val="1"/>
                <w:color w:val="auto"/>
              </w:rPr>
            </w:pPr>
          </w:p>
        </w:tc>
      </w:tr>
      <w:tr>
        <w:trPr>
          <w:trHeight w:val="160"/>
        </w:trPr>
        <w:tc>
          <w:tcPr>
            <w:tcW w:w="7260" w:type="dxa"/>
            <w:vAlign w:val="bottom"/>
          </w:tcPr>
          <w:p>
            <w:pPr>
              <w:ind w:left="520"/>
              <w:spacing w:after="0"/>
              <w:rPr>
                <w:sz w:val="20"/>
                <w:szCs w:val="20"/>
                <w:color w:val="auto"/>
              </w:rPr>
            </w:pPr>
            <w:r>
              <w:rPr>
                <w:rFonts w:ascii="Arial" w:cs="Arial" w:eastAsia="Arial" w:hAnsi="Arial"/>
                <w:sz w:val="13"/>
                <w:szCs w:val="13"/>
                <w:color w:val="auto"/>
              </w:rPr>
              <w:t>Total liabilities and stockholders’ equity</w:t>
            </w:r>
          </w:p>
        </w:tc>
        <w:tc>
          <w:tcPr>
            <w:tcW w:w="4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267,699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236,781</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Parent Company Only Statements of Income</w:t>
            </w: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72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6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and dividend income</w:t>
            </w:r>
          </w:p>
        </w:tc>
        <w:tc>
          <w:tcPr>
            <w:tcW w:w="4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2,646</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2,146</w:t>
            </w:r>
          </w:p>
        </w:tc>
        <w:tc>
          <w:tcPr>
            <w:tcW w:w="0" w:type="dxa"/>
            <w:vAlign w:val="bottom"/>
          </w:tcPr>
          <w:p>
            <w:pPr>
              <w:spacing w:after="0"/>
              <w:rPr>
                <w:sz w:val="1"/>
                <w:szCs w:val="1"/>
                <w:color w:val="auto"/>
              </w:rPr>
            </w:pPr>
          </w:p>
        </w:tc>
      </w:tr>
      <w:tr>
        <w:trPr>
          <w:trHeight w:val="170"/>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Dividend from Bank</w:t>
            </w: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6,500</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11,400</w:t>
            </w:r>
          </w:p>
        </w:tc>
        <w:tc>
          <w:tcPr>
            <w:tcW w:w="0" w:type="dxa"/>
            <w:vAlign w:val="bottom"/>
          </w:tcPr>
          <w:p>
            <w:pPr>
              <w:spacing w:after="0"/>
              <w:rPr>
                <w:sz w:val="1"/>
                <w:szCs w:val="1"/>
                <w:color w:val="auto"/>
              </w:rPr>
            </w:pPr>
          </w:p>
        </w:tc>
      </w:tr>
      <w:tr>
        <w:trPr>
          <w:trHeight w:val="160"/>
        </w:trPr>
        <w:tc>
          <w:tcPr>
            <w:tcW w:w="72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Total interest and dividend revenue</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9,146</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13,546</w:t>
            </w:r>
          </w:p>
        </w:tc>
        <w:tc>
          <w:tcPr>
            <w:tcW w:w="0" w:type="dxa"/>
            <w:vAlign w:val="bottom"/>
          </w:tcPr>
          <w:p>
            <w:pPr>
              <w:spacing w:after="0"/>
              <w:rPr>
                <w:sz w:val="1"/>
                <w:szCs w:val="1"/>
                <w:color w:val="auto"/>
              </w:rPr>
            </w:pPr>
          </w:p>
        </w:tc>
      </w:tr>
      <w:tr>
        <w:trPr>
          <w:trHeight w:val="170"/>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Interest expense</w:t>
            </w: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649</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576</w:t>
            </w:r>
          </w:p>
        </w:tc>
        <w:tc>
          <w:tcPr>
            <w:tcW w:w="0" w:type="dxa"/>
            <w:vAlign w:val="bottom"/>
          </w:tcPr>
          <w:p>
            <w:pPr>
              <w:spacing w:after="0"/>
              <w:rPr>
                <w:sz w:val="1"/>
                <w:szCs w:val="1"/>
                <w:color w:val="auto"/>
              </w:rPr>
            </w:pPr>
          </w:p>
        </w:tc>
      </w:tr>
      <w:tr>
        <w:trPr>
          <w:trHeight w:val="160"/>
        </w:trPr>
        <w:tc>
          <w:tcPr>
            <w:tcW w:w="72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Net interest income</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8,497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12,970</w:t>
            </w:r>
          </w:p>
        </w:tc>
        <w:tc>
          <w:tcPr>
            <w:tcW w:w="0" w:type="dxa"/>
            <w:vAlign w:val="bottom"/>
          </w:tcPr>
          <w:p>
            <w:pPr>
              <w:spacing w:after="0"/>
              <w:rPr>
                <w:sz w:val="1"/>
                <w:szCs w:val="1"/>
                <w:color w:val="auto"/>
              </w:rPr>
            </w:pPr>
          </w:p>
        </w:tc>
      </w:tr>
      <w:tr>
        <w:trPr>
          <w:trHeight w:val="170"/>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Provision for credit losses</w:t>
            </w: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88</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72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Net interest income after provision for credit losses</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8,409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12,970</w:t>
            </w:r>
          </w:p>
        </w:tc>
        <w:tc>
          <w:tcPr>
            <w:tcW w:w="0" w:type="dxa"/>
            <w:vAlign w:val="bottom"/>
          </w:tcPr>
          <w:p>
            <w:pPr>
              <w:spacing w:after="0"/>
              <w:rPr>
                <w:sz w:val="1"/>
                <w:szCs w:val="1"/>
                <w:color w:val="auto"/>
              </w:rPr>
            </w:pPr>
          </w:p>
        </w:tc>
      </w:tr>
      <w:tr>
        <w:trPr>
          <w:trHeight w:val="170"/>
        </w:trPr>
        <w:tc>
          <w:tcPr>
            <w:tcW w:w="7260" w:type="dxa"/>
            <w:vAlign w:val="bottom"/>
          </w:tcPr>
          <w:p>
            <w:pPr>
              <w:ind w:left="20"/>
              <w:spacing w:after="0"/>
              <w:rPr>
                <w:sz w:val="20"/>
                <w:szCs w:val="20"/>
                <w:color w:val="auto"/>
              </w:rPr>
            </w:pPr>
            <w:r>
              <w:rPr>
                <w:rFonts w:ascii="Arial" w:cs="Arial" w:eastAsia="Arial" w:hAnsi="Arial"/>
                <w:sz w:val="13"/>
                <w:szCs w:val="13"/>
                <w:color w:val="auto"/>
              </w:rPr>
              <w:t>Noninterest income</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Noninterest expenses</w:t>
            </w:r>
          </w:p>
        </w:tc>
        <w:tc>
          <w:tcPr>
            <w:tcW w:w="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629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w:t>
            </w:r>
          </w:p>
        </w:tc>
        <w:tc>
          <w:tcPr>
            <w:tcW w:w="0" w:type="dxa"/>
            <w:vAlign w:val="bottom"/>
          </w:tcPr>
          <w:p>
            <w:pPr>
              <w:spacing w:after="0"/>
              <w:rPr>
                <w:sz w:val="1"/>
                <w:szCs w:val="1"/>
                <w:color w:val="auto"/>
              </w:rPr>
            </w:pPr>
          </w:p>
        </w:tc>
      </w:tr>
      <w:tr>
        <w:trPr>
          <w:trHeight w:val="160"/>
        </w:trPr>
        <w:tc>
          <w:tcPr>
            <w:tcW w:w="7260" w:type="dxa"/>
            <w:vAlign w:val="bottom"/>
          </w:tcPr>
          <w:p>
            <w:pPr>
              <w:ind w:left="100"/>
              <w:spacing w:after="0"/>
              <w:rPr>
                <w:sz w:val="20"/>
                <w:szCs w:val="20"/>
                <w:color w:val="auto"/>
              </w:rPr>
            </w:pPr>
            <w:r>
              <w:rPr>
                <w:rFonts w:ascii="Arial" w:cs="Arial" w:eastAsia="Arial" w:hAnsi="Arial"/>
                <w:sz w:val="13"/>
                <w:szCs w:val="13"/>
                <w:b w:val="1"/>
                <w:bCs w:val="1"/>
                <w:color w:val="auto"/>
              </w:rPr>
              <w:t>Income before income taxes</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7,784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12,525</w:t>
            </w: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304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160"/>
        </w:trPr>
        <w:tc>
          <w:tcPr>
            <w:tcW w:w="7260" w:type="dxa"/>
            <w:vAlign w:val="bottom"/>
          </w:tcPr>
          <w:p>
            <w:pPr>
              <w:ind w:left="20"/>
              <w:spacing w:after="0"/>
              <w:rPr>
                <w:sz w:val="20"/>
                <w:szCs w:val="20"/>
                <w:color w:val="auto"/>
              </w:rPr>
            </w:pPr>
            <w:r>
              <w:rPr>
                <w:rFonts w:ascii="Arial" w:cs="Arial" w:eastAsia="Arial" w:hAnsi="Arial"/>
                <w:sz w:val="13"/>
                <w:szCs w:val="13"/>
                <w:color w:val="auto"/>
              </w:rPr>
              <w:t>Income before undistributed net income of subsidiaries</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7,480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12,210</w:t>
            </w: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Undistributed net income of subsidiaries</w:t>
            </w:r>
          </w:p>
        </w:tc>
        <w:tc>
          <w:tcPr>
            <w:tcW w:w="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28,391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29,594</w:t>
            </w:r>
          </w:p>
        </w:tc>
        <w:tc>
          <w:tcPr>
            <w:tcW w:w="0" w:type="dxa"/>
            <w:vAlign w:val="bottom"/>
          </w:tcPr>
          <w:p>
            <w:pPr>
              <w:spacing w:after="0"/>
              <w:rPr>
                <w:sz w:val="1"/>
                <w:szCs w:val="1"/>
                <w:color w:val="auto"/>
              </w:rPr>
            </w:pPr>
          </w:p>
        </w:tc>
      </w:tr>
      <w:tr>
        <w:trPr>
          <w:trHeight w:val="160"/>
        </w:trPr>
        <w:tc>
          <w:tcPr>
            <w:tcW w:w="7260" w:type="dxa"/>
            <w:vAlign w:val="bottom"/>
          </w:tcPr>
          <w:p>
            <w:pPr>
              <w:ind w:left="100"/>
              <w:spacing w:after="0"/>
              <w:rPr>
                <w:sz w:val="20"/>
                <w:szCs w:val="20"/>
                <w:color w:val="auto"/>
              </w:rPr>
            </w:pPr>
            <w:r>
              <w:rPr>
                <w:rFonts w:ascii="Arial" w:cs="Arial" w:eastAsia="Arial" w:hAnsi="Arial"/>
                <w:sz w:val="13"/>
                <w:szCs w:val="13"/>
                <w:b w:val="1"/>
                <w:bCs w:val="1"/>
                <w:color w:val="auto"/>
              </w:rPr>
              <w:t>Net income</w:t>
            </w:r>
          </w:p>
        </w:tc>
        <w:tc>
          <w:tcPr>
            <w:tcW w:w="4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b w:val="1"/>
                <w:bCs w:val="1"/>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35,871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41,804</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15" w:name="page116"/>
    <w:bookmarkEnd w:id="115"/>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 Parent Company Financial Information (continued)</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Parent Company Only Statements of Cash Flows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2023</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2022</w:t>
            </w:r>
          </w:p>
        </w:tc>
      </w:tr>
      <w:tr>
        <w:trPr>
          <w:trHeight w:val="150"/>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70"/>
        </w:trPr>
        <w:tc>
          <w:tcPr>
            <w:tcW w:w="838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320" w:type="dxa"/>
            <w:vAlign w:val="bottom"/>
          </w:tcPr>
          <w:p>
            <w:pPr>
              <w:jc w:val="right"/>
              <w:ind w:right="156"/>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35,871</w:t>
            </w:r>
          </w:p>
        </w:tc>
        <w:tc>
          <w:tcPr>
            <w:tcW w:w="16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41,804</w:t>
            </w:r>
          </w:p>
        </w:tc>
      </w:tr>
      <w:tr>
        <w:trPr>
          <w:trHeight w:val="170"/>
        </w:trPr>
        <w:tc>
          <w:tcPr>
            <w:tcW w:w="8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8380" w:type="dxa"/>
            <w:vAlign w:val="bottom"/>
          </w:tcPr>
          <w:p>
            <w:pPr>
              <w:ind w:left="180"/>
              <w:spacing w:after="0"/>
              <w:rPr>
                <w:sz w:val="20"/>
                <w:szCs w:val="20"/>
                <w:color w:val="auto"/>
              </w:rPr>
            </w:pPr>
            <w:r>
              <w:rPr>
                <w:rFonts w:ascii="Arial" w:cs="Arial" w:eastAsia="Arial" w:hAnsi="Arial"/>
                <w:sz w:val="13"/>
                <w:szCs w:val="13"/>
                <w:color w:val="auto"/>
              </w:rPr>
              <w:t>Provision for credit losses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88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8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Undistributed net income of subsidiaries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(28,391)</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(29,594)</w:t>
            </w:r>
          </w:p>
        </w:tc>
      </w:tr>
      <w:tr>
        <w:trPr>
          <w:trHeight w:val="170"/>
        </w:trPr>
        <w:tc>
          <w:tcPr>
            <w:tcW w:w="838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1,757</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1,662</w:t>
            </w:r>
          </w:p>
        </w:tc>
      </w:tr>
      <w:tr>
        <w:trPr>
          <w:trHeight w:val="170"/>
        </w:trPr>
        <w:tc>
          <w:tcPr>
            <w:tcW w:w="8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Director and employee compensation paid in Company stock</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547</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r>
      <w:tr>
        <w:trPr>
          <w:trHeight w:val="170"/>
        </w:trPr>
        <w:tc>
          <w:tcPr>
            <w:tcW w:w="8380" w:type="dxa"/>
            <w:vAlign w:val="bottom"/>
          </w:tcPr>
          <w:p>
            <w:pPr>
              <w:ind w:left="180"/>
              <w:spacing w:after="0"/>
              <w:rPr>
                <w:sz w:val="20"/>
                <w:szCs w:val="20"/>
                <w:color w:val="auto"/>
              </w:rPr>
            </w:pPr>
            <w:r>
              <w:rPr>
                <w:rFonts w:ascii="Arial" w:cs="Arial" w:eastAsia="Arial" w:hAnsi="Arial"/>
                <w:sz w:val="13"/>
                <w:szCs w:val="13"/>
                <w:color w:val="auto"/>
              </w:rPr>
              <w:t>Deferred income tax benefit</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(65)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8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Changes in assets and liabilities: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8380" w:type="dxa"/>
            <w:vAlign w:val="bottom"/>
          </w:tcPr>
          <w:p>
            <w:pPr>
              <w:ind w:left="280"/>
              <w:spacing w:after="0"/>
              <w:rPr>
                <w:sz w:val="20"/>
                <w:szCs w:val="20"/>
                <w:color w:val="auto"/>
              </w:rPr>
            </w:pPr>
            <w:r>
              <w:rPr>
                <w:rFonts w:ascii="Arial" w:cs="Arial" w:eastAsia="Arial" w:hAnsi="Arial"/>
                <w:sz w:val="13"/>
                <w:szCs w:val="13"/>
                <w:color w:val="auto"/>
              </w:rPr>
              <w:t>Accrued interest receivable</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(82)</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70"/>
        </w:trPr>
        <w:tc>
          <w:tcPr>
            <w:tcW w:w="8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assets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70"/>
        </w:trPr>
        <w:tc>
          <w:tcPr>
            <w:tcW w:w="8380" w:type="dxa"/>
            <w:vAlign w:val="bottom"/>
          </w:tcPr>
          <w:p>
            <w:pPr>
              <w:ind w:left="280"/>
              <w:spacing w:after="0"/>
              <w:rPr>
                <w:sz w:val="20"/>
                <w:szCs w:val="20"/>
                <w:color w:val="auto"/>
              </w:rPr>
            </w:pPr>
            <w:r>
              <w:rPr>
                <w:rFonts w:ascii="Arial" w:cs="Arial" w:eastAsia="Arial" w:hAnsi="Arial"/>
                <w:sz w:val="13"/>
                <w:szCs w:val="13"/>
                <w:color w:val="auto"/>
              </w:rPr>
              <w:t>Accrued interest payable</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251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0"/>
        </w:trPr>
        <w:tc>
          <w:tcPr>
            <w:tcW w:w="8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liabilities</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597</w:t>
            </w:r>
          </w:p>
        </w:tc>
        <w:tc>
          <w:tcPr>
            <w:tcW w:w="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528</w:t>
            </w:r>
          </w:p>
        </w:tc>
      </w:tr>
      <w:tr>
        <w:trPr>
          <w:trHeight w:val="160"/>
        </w:trPr>
        <w:tc>
          <w:tcPr>
            <w:tcW w:w="83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Net cash provided by operating activities</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10,597</w:t>
            </w: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14,473</w:t>
            </w:r>
          </w:p>
        </w:tc>
      </w:tr>
      <w:tr>
        <w:trPr>
          <w:trHeight w:val="150"/>
        </w:trPr>
        <w:tc>
          <w:tcPr>
            <w:tcW w:w="8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70"/>
        </w:trPr>
        <w:tc>
          <w:tcPr>
            <w:tcW w:w="838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8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decrease (increase) in portfolio loans receivable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5,314</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(11,319)</w:t>
            </w:r>
          </w:p>
        </w:tc>
      </w:tr>
      <w:tr>
        <w:trPr>
          <w:trHeight w:val="170"/>
        </w:trPr>
        <w:tc>
          <w:tcPr>
            <w:tcW w:w="83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Capital contributions to subsidiaries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(1,729)</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(1,662)</w:t>
            </w:r>
          </w:p>
        </w:tc>
      </w:tr>
      <w:tr>
        <w:trPr>
          <w:trHeight w:val="160"/>
        </w:trPr>
        <w:tc>
          <w:tcPr>
            <w:tcW w:w="83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cash provided (used) by investing activities</w:t>
            </w: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3,585</w:t>
            </w:r>
          </w:p>
        </w:tc>
        <w:tc>
          <w:tcPr>
            <w:tcW w:w="16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(12,981)</w:t>
            </w:r>
          </w:p>
        </w:tc>
      </w:tr>
      <w:tr>
        <w:trPr>
          <w:trHeight w:val="150"/>
        </w:trPr>
        <w:tc>
          <w:tcPr>
            <w:tcW w:w="8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0"/>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8380" w:type="dxa"/>
            <w:vAlign w:val="bottom"/>
          </w:tcPr>
          <w:p>
            <w:pPr>
              <w:ind w:left="120"/>
              <w:spacing w:after="0"/>
              <w:rPr>
                <w:sz w:val="20"/>
                <w:szCs w:val="20"/>
                <w:color w:val="auto"/>
              </w:rPr>
            </w:pPr>
            <w:r>
              <w:rPr>
                <w:rFonts w:ascii="Arial" w:cs="Arial" w:eastAsia="Arial" w:hAnsi="Arial"/>
                <w:sz w:val="13"/>
                <w:szCs w:val="13"/>
                <w:color w:val="auto"/>
              </w:rPr>
              <w:t>Dividends paid</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(3,920)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(3,085)</w:t>
            </w:r>
          </w:p>
        </w:tc>
      </w:tr>
      <w:tr>
        <w:trPr>
          <w:trHeight w:val="170"/>
        </w:trPr>
        <w:tc>
          <w:tcPr>
            <w:tcW w:w="8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Repurchase of common stock</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(8,826)</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83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Net proceeds from exercise of stock options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1,791</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1,235</w:t>
            </w:r>
          </w:p>
        </w:tc>
      </w:tr>
      <w:tr>
        <w:trPr>
          <w:trHeight w:val="160"/>
        </w:trPr>
        <w:tc>
          <w:tcPr>
            <w:tcW w:w="83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cash used by financing activities</w:t>
            </w: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(10,955)</w:t>
            </w:r>
          </w:p>
        </w:tc>
        <w:tc>
          <w:tcPr>
            <w:tcW w:w="16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161530" cy="1079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161530" cy="1079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Cash and cash equivalents,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61530" cy="1212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Cash and cash equivalents, end of year</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both"/>
        <w:ind w:left="980"/>
        <w:spacing w:after="0"/>
        <w:tabs>
          <w:tab w:leader="none" w:pos="2540" w:val="left"/>
        </w:tabs>
        <w:rPr>
          <w:sz w:val="20"/>
          <w:szCs w:val="20"/>
          <w:color w:val="auto"/>
        </w:rPr>
      </w:pPr>
      <w:r>
        <w:rPr>
          <w:rFonts w:ascii="Arial" w:cs="Arial" w:eastAsia="Arial" w:hAnsi="Arial"/>
          <w:sz w:val="13"/>
          <w:szCs w:val="13"/>
          <w:b w:val="1"/>
          <w:bCs w:val="1"/>
          <w:color w:val="auto"/>
        </w:rPr>
        <w:t>3,227</w:t>
      </w:r>
      <w:r>
        <w:rPr>
          <w:sz w:val="20"/>
          <w:szCs w:val="20"/>
          <w:color w:val="auto"/>
        </w:rPr>
        <w:tab/>
      </w:r>
      <w:r>
        <w:rPr>
          <w:rFonts w:ascii="Arial" w:cs="Arial" w:eastAsia="Arial" w:hAnsi="Arial"/>
          <w:sz w:val="13"/>
          <w:szCs w:val="13"/>
          <w:color w:val="auto"/>
        </w:rPr>
        <w:t>(358)</w:t>
      </w:r>
    </w:p>
    <w:p>
      <w:pPr>
        <w:spacing w:after="0" w:line="190" w:lineRule="exact"/>
        <w:rPr>
          <w:sz w:val="20"/>
          <w:szCs w:val="20"/>
          <w:color w:val="auto"/>
        </w:rPr>
      </w:pPr>
    </w:p>
    <w:p>
      <w:pPr>
        <w:ind w:left="2620" w:hanging="1534"/>
        <w:spacing w:after="0"/>
        <w:tabs>
          <w:tab w:leader="none" w:pos="2620" w:val="left"/>
        </w:tabs>
        <w:numPr>
          <w:ilvl w:val="0"/>
          <w:numId w:val="23"/>
        </w:numPr>
        <w:rPr>
          <w:rFonts w:ascii="Arial" w:cs="Arial" w:eastAsia="Arial" w:hAnsi="Arial"/>
          <w:sz w:val="13"/>
          <w:szCs w:val="13"/>
          <w:b w:val="1"/>
          <w:bCs w:val="1"/>
          <w:color w:val="auto"/>
        </w:rPr>
      </w:pPr>
      <w:r>
        <w:rPr>
          <w:rFonts w:ascii="Arial" w:cs="Arial" w:eastAsia="Arial" w:hAnsi="Arial"/>
          <w:sz w:val="13"/>
          <w:szCs w:val="13"/>
          <w:color w:val="auto"/>
        </w:rPr>
        <w:t>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12700</wp:posOffset>
            </wp:positionV>
            <wp:extent cx="183896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38960" cy="6985"/>
                    </a:xfrm>
                    <a:prstGeom prst="rect">
                      <a:avLst/>
                    </a:prstGeom>
                    <a:noFill/>
                  </pic:spPr>
                </pic:pic>
              </a:graphicData>
            </a:graphic>
          </wp:anchor>
        </w:drawing>
      </w:r>
    </w:p>
    <w:p>
      <w:pPr>
        <w:spacing w:after="0" w:line="170" w:lineRule="exact"/>
        <w:rPr>
          <w:sz w:val="20"/>
          <w:szCs w:val="20"/>
          <w:color w:val="auto"/>
        </w:rPr>
      </w:pPr>
    </w:p>
    <w:p>
      <w:pPr>
        <w:spacing w:after="0"/>
        <w:tabs>
          <w:tab w:leader="none" w:pos="960" w:val="left"/>
          <w:tab w:leader="none" w:pos="1500" w:val="left"/>
          <w:tab w:leader="none" w:pos="260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auto"/>
        </w:rPr>
        <w:t>3,499</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33020</wp:posOffset>
            </wp:positionV>
            <wp:extent cx="183896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38960"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7680" w:space="720"/>
            <w:col w:w="2880"/>
          </w:cols>
          <w:pgMar w:left="300" w:top="16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type w:val="continuous"/>
        </w:sectPr>
      </w:pPr>
    </w:p>
    <w:bookmarkStart w:id="116" w:name="page117"/>
    <w:bookmarkEnd w:id="116"/>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 Fair Value</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 Quoted prices (unadjusted) for identical assets or liabilities in active markets that the entity has the ability to access as of the measurement date. This includes certain U.S.</w:t>
      </w:r>
      <w:r>
        <w:rPr>
          <w:rFonts w:ascii="Arial" w:cs="Arial" w:eastAsia="Arial" w:hAnsi="Arial"/>
          <w:sz w:val="14"/>
          <w:szCs w:val="14"/>
          <w:b w:val="1"/>
          <w:bCs w:val="1"/>
          <w:color w:val="auto"/>
        </w:rPr>
        <w:t xml:space="preserve"> </w:t>
      </w:r>
      <w:r>
        <w:rPr>
          <w:rFonts w:ascii="Arial" w:cs="Arial" w:eastAsia="Arial" w:hAnsi="Arial"/>
          <w:sz w:val="14"/>
          <w:szCs w:val="14"/>
          <w:color w:val="auto"/>
        </w:rPr>
        <w:t>Treasury and other U.S. Government and government agency securities actively traded in over-the-counter markets;</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 Significant other observable inputs other than Level 1 prices such as quoted prices for similar assets or liabilities; quoted prices in markets that are not active; or other</w:t>
      </w:r>
      <w:r>
        <w:rPr>
          <w:rFonts w:ascii="Arial" w:cs="Arial" w:eastAsia="Arial" w:hAnsi="Arial"/>
          <w:sz w:val="14"/>
          <w:szCs w:val="14"/>
          <w:b w:val="1"/>
          <w:bCs w:val="1"/>
          <w:color w:val="auto"/>
        </w:rPr>
        <w:t xml:space="preserve"> </w:t>
      </w:r>
      <w:r>
        <w:rPr>
          <w:rFonts w:ascii="Arial" w:cs="Arial" w:eastAsia="Arial" w:hAnsi="Arial"/>
          <w:sz w:val="14"/>
          <w:szCs w:val="14"/>
          <w:color w:val="auto"/>
        </w:rPr>
        <w:t>inputs that are observable or can be corroborated by observable market data.</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4"/>
          <w:szCs w:val="14"/>
          <w:color w:val="auto"/>
        </w:rPr>
        <w:t>- Significant unobservable inputs that reflect a company’s own assumptions about the assumptions that market participants would use in pricing an asset or liability.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Company used the following methods and significant assumptions to estimate fair value on a recurring basis:</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Investment securities available for sale </w:t>
      </w:r>
      <w:r>
        <w:rPr>
          <w:rFonts w:ascii="Arial" w:cs="Arial" w:eastAsia="Arial" w:hAnsi="Arial"/>
          <w:sz w:val="14"/>
          <w:szCs w:val="14"/>
          <w:color w:val="auto"/>
        </w:rPr>
        <w:t>- The fair values for investment securities available for sale are provided by an independent pricing service and are determined by quoted</w:t>
      </w:r>
      <w:r>
        <w:rPr>
          <w:rFonts w:ascii="Arial" w:cs="Arial" w:eastAsia="Arial" w:hAnsi="Arial"/>
          <w:sz w:val="14"/>
          <w:szCs w:val="14"/>
          <w:i w:val="1"/>
          <w:iCs w:val="1"/>
          <w:color w:val="auto"/>
        </w:rPr>
        <w:t xml:space="preserve"> </w:t>
      </w:r>
      <w:r>
        <w:rPr>
          <w:rFonts w:ascii="Arial" w:cs="Arial" w:eastAsia="Arial" w:hAnsi="Arial"/>
          <w:sz w:val="14"/>
          <w:szCs w:val="14"/>
          <w:color w:val="auto"/>
        </w:rPr>
        <w:t>market prices, if available (Level 1). For securities where quoted prices are not available, fair values are calculated based on market prices of similar securities (Level 2), using matrix pricing. Matrix pricing is a mathematical technique commonly used to price debt securities that are not actively traded, values debt securities without relying exclusively on quoted prices for the specific securities but rather by relying on the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Loans held for sale </w:t>
      </w:r>
      <w:r>
        <w:rPr>
          <w:rFonts w:ascii="Arial" w:cs="Arial" w:eastAsia="Arial" w:hAnsi="Arial"/>
          <w:sz w:val="14"/>
          <w:szCs w:val="14"/>
          <w:color w:val="auto"/>
        </w:rPr>
        <w:t>- The fair value of loans held for sale is determined using quoted prices for similar assets, adjusted for specific attributes of that loan (Level 2).</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Derivative financial instruments </w:t>
      </w:r>
      <w:r>
        <w:rPr>
          <w:rFonts w:ascii="Arial" w:cs="Arial" w:eastAsia="Arial" w:hAnsi="Arial"/>
          <w:sz w:val="14"/>
          <w:szCs w:val="14"/>
          <w:color w:val="auto"/>
        </w:rPr>
        <w:t>- The fair values of derivatives are based on valuation models using observable market data as of the measurement date (Level 2). Our derivatives</w:t>
      </w:r>
      <w:r>
        <w:rPr>
          <w:rFonts w:ascii="Arial" w:cs="Arial" w:eastAsia="Arial" w:hAnsi="Arial"/>
          <w:sz w:val="14"/>
          <w:szCs w:val="14"/>
          <w:i w:val="1"/>
          <w:iCs w:val="1"/>
          <w:color w:val="auto"/>
        </w:rPr>
        <w:t xml:space="preserve"> </w:t>
      </w:r>
      <w:r>
        <w:rPr>
          <w:rFonts w:ascii="Arial" w:cs="Arial" w:eastAsia="Arial" w:hAnsi="Arial"/>
          <w:sz w:val="14"/>
          <w:szCs w:val="14"/>
          <w:color w:val="auto"/>
        </w:rPr>
        <w:t>are traded in an over-the-counter market where quoted market prices are not always available. Therefore, the fair values of derivatives are determined using quantitative models that utilize multiple market inputs. The inputs will vary based on the type of derivative, but could include interest rates, prices and indices to generate continuous yield or pricing curves, prepayment rates, and volatility factors to value the position. The majority of market inputs are actively quoted and can be validated through external sources, including brokers, market transactions and third-party pricing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17" w:name="page118"/>
    <w:bookmarkEnd w:id="117"/>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 Fair Value (continued)</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categorized its financial instruments measured at fair value on a recurring basis as of December 31, 2023 and December 31, 2022 as follows:</w:t>
      </w:r>
    </w:p>
    <w:p>
      <w:pPr>
        <w:spacing w:after="0" w:line="219" w:lineRule="exact"/>
        <w:rPr>
          <w:sz w:val="20"/>
          <w:szCs w:val="20"/>
          <w:color w:val="auto"/>
        </w:rPr>
      </w:pPr>
    </w:p>
    <w:tbl>
      <w:tblPr>
        <w:tblLayout w:type="fixed"/>
        <w:tblInd w:w="10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5"/>
          </w:tcPr>
          <w:p>
            <w:pPr>
              <w:ind w:left="560"/>
              <w:spacing w:after="0"/>
              <w:rPr>
                <w:sz w:val="20"/>
                <w:szCs w:val="20"/>
                <w:color w:val="auto"/>
              </w:rPr>
            </w:pPr>
            <w:r>
              <w:rPr>
                <w:rFonts w:ascii="Arial" w:cs="Arial" w:eastAsia="Arial" w:hAnsi="Arial"/>
                <w:sz w:val="11"/>
                <w:szCs w:val="11"/>
                <w:b w:val="1"/>
                <w:bCs w:val="1"/>
                <w:color w:val="auto"/>
              </w:rPr>
              <w:t>Fair Value Measurements Using:</w:t>
            </w: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Quoted Prices in</w:t>
            </w:r>
          </w:p>
        </w:tc>
        <w:tc>
          <w:tcPr>
            <w:tcW w:w="100" w:type="dxa"/>
            <w:vAlign w:val="bottom"/>
          </w:tcPr>
          <w:p>
            <w:pPr>
              <w:spacing w:after="0"/>
              <w:rPr>
                <w:sz w:val="24"/>
                <w:szCs w:val="24"/>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Significant Other</w:t>
            </w: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420" w:type="dxa"/>
            <w:vAlign w:val="bottom"/>
            <w:gridSpan w:val="3"/>
            <w:vMerge w:val="restart"/>
          </w:tcPr>
          <w:p>
            <w:pPr>
              <w:ind w:left="20"/>
              <w:spacing w:after="0"/>
              <w:rPr>
                <w:sz w:val="20"/>
                <w:szCs w:val="20"/>
                <w:color w:val="auto"/>
              </w:rPr>
            </w:pPr>
            <w:r>
              <w:rPr>
                <w:rFonts w:ascii="Arial" w:cs="Arial" w:eastAsia="Arial" w:hAnsi="Arial"/>
                <w:sz w:val="8"/>
                <w:szCs w:val="8"/>
                <w:i w:val="1"/>
                <w:iCs w:val="1"/>
                <w:color w:val="auto"/>
              </w:rPr>
              <w:t>(in thousands)</w:t>
            </w: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tcPr>
          <w:p>
            <w:pPr>
              <w:jc w:val="center"/>
              <w:ind w:right="200"/>
              <w:spacing w:after="0" w:line="113" w:lineRule="exact"/>
              <w:rPr>
                <w:sz w:val="20"/>
                <w:szCs w:val="20"/>
                <w:color w:val="auto"/>
              </w:rPr>
            </w:pPr>
            <w:r>
              <w:rPr>
                <w:rFonts w:ascii="Arial" w:cs="Arial" w:eastAsia="Arial" w:hAnsi="Arial"/>
                <w:sz w:val="11"/>
                <w:szCs w:val="11"/>
                <w:b w:val="1"/>
                <w:bCs w:val="1"/>
                <w:color w:val="auto"/>
              </w:rPr>
              <w:t>Active Markets for</w:t>
            </w: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42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restart"/>
          </w:tcPr>
          <w:p>
            <w:pPr>
              <w:jc w:val="center"/>
              <w:ind w:right="200"/>
              <w:spacing w:after="0" w:line="117" w:lineRule="exact"/>
              <w:rPr>
                <w:sz w:val="20"/>
                <w:szCs w:val="20"/>
                <w:color w:val="auto"/>
              </w:rPr>
            </w:pPr>
            <w:r>
              <w:rPr>
                <w:rFonts w:ascii="Arial" w:cs="Arial" w:eastAsia="Arial" w:hAnsi="Arial"/>
                <w:sz w:val="11"/>
                <w:szCs w:val="11"/>
                <w:b w:val="1"/>
                <w:bCs w:val="1"/>
                <w:color w:val="auto"/>
              </w:rPr>
              <w:t>Identical Assets</w:t>
            </w:r>
          </w:p>
        </w:tc>
        <w:tc>
          <w:tcPr>
            <w:tcW w:w="100" w:type="dxa"/>
            <w:vAlign w:val="bottom"/>
          </w:tcPr>
          <w:p>
            <w:pPr>
              <w:spacing w:after="0"/>
              <w:rPr>
                <w:sz w:val="6"/>
                <w:szCs w:val="6"/>
                <w:color w:val="auto"/>
              </w:rPr>
            </w:pPr>
          </w:p>
        </w:tc>
        <w:tc>
          <w:tcPr>
            <w:tcW w:w="1220" w:type="dxa"/>
            <w:vAlign w:val="bottom"/>
            <w:gridSpan w:val="2"/>
            <w:vMerge w:val="restart"/>
          </w:tcPr>
          <w:p>
            <w:pPr>
              <w:jc w:val="center"/>
              <w:ind w:right="200"/>
              <w:spacing w:after="0" w:line="117" w:lineRule="exact"/>
              <w:rPr>
                <w:sz w:val="20"/>
                <w:szCs w:val="20"/>
                <w:color w:val="auto"/>
              </w:rPr>
            </w:pPr>
            <w:r>
              <w:rPr>
                <w:rFonts w:ascii="Arial" w:cs="Arial" w:eastAsia="Arial" w:hAnsi="Arial"/>
                <w:sz w:val="11"/>
                <w:szCs w:val="11"/>
                <w:b w:val="1"/>
                <w:bCs w:val="1"/>
                <w:color w:val="auto"/>
              </w:rPr>
              <w:t>Observable Inputs</w:t>
            </w:r>
          </w:p>
        </w:tc>
        <w:tc>
          <w:tcPr>
            <w:tcW w:w="140" w:type="dxa"/>
            <w:vAlign w:val="bottom"/>
          </w:tcPr>
          <w:p>
            <w:pPr>
              <w:spacing w:after="0"/>
              <w:rPr>
                <w:sz w:val="6"/>
                <w:szCs w:val="6"/>
                <w:color w:val="auto"/>
              </w:rPr>
            </w:pPr>
          </w:p>
        </w:tc>
        <w:tc>
          <w:tcPr>
            <w:tcW w:w="1580" w:type="dxa"/>
            <w:vAlign w:val="bottom"/>
            <w:vMerge w:val="restart"/>
          </w:tcPr>
          <w:p>
            <w:pPr>
              <w:ind w:left="40"/>
              <w:spacing w:after="0" w:line="117" w:lineRule="exact"/>
              <w:rPr>
                <w:sz w:val="20"/>
                <w:szCs w:val="20"/>
                <w:color w:val="auto"/>
              </w:rPr>
            </w:pPr>
            <w:r>
              <w:rPr>
                <w:rFonts w:ascii="Arial" w:cs="Arial" w:eastAsia="Arial" w:hAnsi="Arial"/>
                <w:sz w:val="11"/>
                <w:szCs w:val="11"/>
                <w:b w:val="1"/>
                <w:bCs w:val="1"/>
                <w:color w:val="auto"/>
              </w:rPr>
              <w:t>Significant Unobservable</w:t>
            </w:r>
          </w:p>
        </w:tc>
        <w:tc>
          <w:tcPr>
            <w:tcW w:w="0" w:type="dxa"/>
            <w:vAlign w:val="bottom"/>
          </w:tcPr>
          <w:p>
            <w:pPr>
              <w:spacing w:after="0"/>
              <w:rPr>
                <w:sz w:val="1"/>
                <w:szCs w:val="1"/>
                <w:color w:val="auto"/>
              </w:rPr>
            </w:pPr>
          </w:p>
        </w:tc>
      </w:tr>
      <w:tr>
        <w:trPr>
          <w:trHeight w:val="38"/>
        </w:trPr>
        <w:tc>
          <w:tcPr>
            <w:tcW w:w="5420" w:type="dxa"/>
            <w:vAlign w:val="bottom"/>
            <w:gridSpan w:val="3"/>
            <w:vMerge w:val="restart"/>
          </w:tcPr>
          <w:p>
            <w:pPr>
              <w:ind w:left="20"/>
              <w:spacing w:after="0" w:line="134" w:lineRule="exact"/>
              <w:rPr>
                <w:sz w:val="20"/>
                <w:szCs w:val="20"/>
                <w:color w:val="auto"/>
              </w:rPr>
            </w:pPr>
            <w:r>
              <w:rPr>
                <w:rFonts w:ascii="Arial" w:cs="Arial" w:eastAsia="Arial" w:hAnsi="Arial"/>
                <w:sz w:val="13"/>
                <w:szCs w:val="13"/>
                <w:b w:val="1"/>
                <w:bCs w:val="1"/>
                <w:color w:val="auto"/>
              </w:rPr>
              <w:t>December 31, 2023</w:t>
            </w:r>
          </w:p>
        </w:tc>
        <w:tc>
          <w:tcPr>
            <w:tcW w:w="280" w:type="dxa"/>
            <w:vAlign w:val="bottom"/>
          </w:tcPr>
          <w:p>
            <w:pPr>
              <w:spacing w:after="0"/>
              <w:rPr>
                <w:sz w:val="3"/>
                <w:szCs w:val="3"/>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54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00"/>
              <w:spacing w:after="0" w:line="97" w:lineRule="exact"/>
              <w:rPr>
                <w:sz w:val="20"/>
                <w:szCs w:val="20"/>
                <w:color w:val="auto"/>
              </w:rPr>
            </w:pPr>
            <w:r>
              <w:rPr>
                <w:rFonts w:ascii="Arial" w:cs="Arial" w:eastAsia="Arial" w:hAnsi="Arial"/>
                <w:sz w:val="11"/>
                <w:szCs w:val="11"/>
                <w:b w:val="1"/>
                <w:bCs w:val="1"/>
                <w:color w:val="auto"/>
              </w:rPr>
              <w:t>(Level 1)</w:t>
            </w:r>
          </w:p>
        </w:tc>
        <w:tc>
          <w:tcPr>
            <w:tcW w:w="100" w:type="dxa"/>
            <w:vAlign w:val="bottom"/>
          </w:tcPr>
          <w:p>
            <w:pPr>
              <w:spacing w:after="0"/>
              <w:rPr>
                <w:sz w:val="10"/>
                <w:szCs w:val="10"/>
                <w:color w:val="auto"/>
              </w:rPr>
            </w:pPr>
          </w:p>
        </w:tc>
        <w:tc>
          <w:tcPr>
            <w:tcW w:w="1220" w:type="dxa"/>
            <w:vAlign w:val="bottom"/>
            <w:gridSpan w:val="2"/>
          </w:tcPr>
          <w:p>
            <w:pPr>
              <w:jc w:val="center"/>
              <w:ind w:right="200"/>
              <w:spacing w:after="0" w:line="97" w:lineRule="exact"/>
              <w:rPr>
                <w:sz w:val="20"/>
                <w:szCs w:val="20"/>
                <w:color w:val="auto"/>
              </w:rPr>
            </w:pPr>
            <w:r>
              <w:rPr>
                <w:rFonts w:ascii="Arial" w:cs="Arial" w:eastAsia="Arial" w:hAnsi="Arial"/>
                <w:sz w:val="11"/>
                <w:szCs w:val="11"/>
                <w:b w:val="1"/>
                <w:bCs w:val="1"/>
                <w:color w:val="auto"/>
              </w:rPr>
              <w:t>(Level 2)</w:t>
            </w:r>
          </w:p>
        </w:tc>
        <w:tc>
          <w:tcPr>
            <w:tcW w:w="140" w:type="dxa"/>
            <w:vAlign w:val="bottom"/>
          </w:tcPr>
          <w:p>
            <w:pPr>
              <w:spacing w:after="0"/>
              <w:rPr>
                <w:sz w:val="10"/>
                <w:szCs w:val="10"/>
                <w:color w:val="auto"/>
              </w:rPr>
            </w:pPr>
          </w:p>
        </w:tc>
        <w:tc>
          <w:tcPr>
            <w:tcW w:w="1580" w:type="dxa"/>
            <w:vAlign w:val="bottom"/>
          </w:tcPr>
          <w:p>
            <w:pPr>
              <w:ind w:left="300"/>
              <w:spacing w:after="0" w:line="97" w:lineRule="exact"/>
              <w:rPr>
                <w:sz w:val="20"/>
                <w:szCs w:val="20"/>
                <w:color w:val="auto"/>
              </w:rPr>
            </w:pPr>
            <w:r>
              <w:rPr>
                <w:rFonts w:ascii="Arial" w:cs="Arial" w:eastAsia="Arial" w:hAnsi="Arial"/>
                <w:sz w:val="11"/>
                <w:szCs w:val="11"/>
                <w:b w:val="1"/>
                <w:bCs w:val="1"/>
                <w:color w:val="auto"/>
              </w:rPr>
              <w:t>Inputs (Level 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2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3"/>
                <w:szCs w:val="13"/>
                <w:color w:val="auto"/>
              </w:rPr>
              <w:t>Investment securities available for sale</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00" w:type="dxa"/>
            <w:vAlign w:val="bottom"/>
            <w:gridSpan w:val="2"/>
          </w:tcPr>
          <w:p>
            <w:pPr>
              <w:ind w:left="100"/>
              <w:spacing w:after="0"/>
              <w:rPr>
                <w:sz w:val="20"/>
                <w:szCs w:val="20"/>
                <w:color w:val="auto"/>
              </w:rPr>
            </w:pPr>
            <w:r>
              <w:rPr>
                <w:rFonts w:ascii="Arial" w:cs="Arial" w:eastAsia="Arial" w:hAnsi="Arial"/>
                <w:sz w:val="13"/>
                <w:szCs w:val="13"/>
                <w:color w:val="auto"/>
              </w:rPr>
              <w:t>U.S. Treasuries</w:t>
            </w:r>
          </w:p>
        </w:tc>
        <w:tc>
          <w:tcPr>
            <w:tcW w:w="280" w:type="dxa"/>
            <w:vAlign w:val="bottom"/>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149,228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149,228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2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580" w:type="dxa"/>
            <w:vAlign w:val="bottom"/>
          </w:tcPr>
          <w:p>
            <w:pPr>
              <w:ind w:left="140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Municipal</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9,372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9,372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ind w:left="140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00" w:type="dxa"/>
            <w:vAlign w:val="bottom"/>
            <w:gridSpan w:val="2"/>
          </w:tcPr>
          <w:p>
            <w:pPr>
              <w:ind w:left="100"/>
              <w:spacing w:after="0"/>
              <w:rPr>
                <w:sz w:val="20"/>
                <w:szCs w:val="20"/>
                <w:color w:val="auto"/>
              </w:rPr>
            </w:pPr>
            <w:r>
              <w:rPr>
                <w:rFonts w:ascii="Arial" w:cs="Arial" w:eastAsia="Arial" w:hAnsi="Arial"/>
                <w:sz w:val="13"/>
                <w:szCs w:val="13"/>
                <w:color w:val="auto"/>
              </w:rPr>
              <w:t>Corporate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4,413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4,413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ind w:left="140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Asset-backed securities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7,045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7,045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ind w:left="140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00" w:type="dxa"/>
            <w:vAlign w:val="bottom"/>
            <w:gridSpan w:val="2"/>
          </w:tcPr>
          <w:p>
            <w:pPr>
              <w:ind w:left="100"/>
              <w:spacing w:after="0"/>
              <w:rPr>
                <w:sz w:val="20"/>
                <w:szCs w:val="20"/>
                <w:color w:val="auto"/>
              </w:rPr>
            </w:pPr>
            <w:r>
              <w:rPr>
                <w:rFonts w:ascii="Arial" w:cs="Arial" w:eastAsia="Arial" w:hAnsi="Arial"/>
                <w:sz w:val="13"/>
                <w:szCs w:val="13"/>
                <w:color w:val="auto"/>
              </w:rPr>
              <w:t>Mortgage-backed securities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38,271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38,271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ind w:left="140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5"/>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4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Total</w:t>
            </w: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208,329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149,228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59,101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58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420" w:type="dxa"/>
            <w:vAlign w:val="bottom"/>
            <w:gridSpan w:val="3"/>
          </w:tcPr>
          <w:p>
            <w:pPr>
              <w:ind w:left="20"/>
              <w:spacing w:after="0" w:line="133" w:lineRule="exact"/>
              <w:rPr>
                <w:sz w:val="20"/>
                <w:szCs w:val="20"/>
                <w:color w:val="auto"/>
              </w:rPr>
            </w:pPr>
            <w:r>
              <w:rPr>
                <w:rFonts w:ascii="Arial" w:cs="Arial" w:eastAsia="Arial" w:hAnsi="Arial"/>
                <w:sz w:val="13"/>
                <w:szCs w:val="13"/>
                <w:color w:val="auto"/>
              </w:rPr>
              <w:t>Loans held for sale</w:t>
            </w:r>
          </w:p>
        </w:tc>
        <w:tc>
          <w:tcPr>
            <w:tcW w:w="280" w:type="dxa"/>
            <w:vAlign w:val="bottom"/>
          </w:tcPr>
          <w:p>
            <w:pPr>
              <w:jc w:val="right"/>
              <w:ind w:right="136"/>
              <w:spacing w:after="0" w:line="133" w:lineRule="exact"/>
              <w:rPr>
                <w:sz w:val="20"/>
                <w:szCs w:val="20"/>
                <w:color w:val="auto"/>
              </w:rPr>
            </w:pPr>
            <w:r>
              <w:rPr>
                <w:rFonts w:ascii="Arial" w:cs="Arial" w:eastAsia="Arial" w:hAnsi="Arial"/>
                <w:sz w:val="13"/>
                <w:szCs w:val="13"/>
                <w:b w:val="1"/>
                <w:bCs w:val="1"/>
                <w:color w:val="auto"/>
                <w:w w:val="82"/>
              </w:rPr>
              <w:t>$</w:t>
            </w:r>
          </w:p>
        </w:tc>
        <w:tc>
          <w:tcPr>
            <w:tcW w:w="92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7,481</w:t>
            </w:r>
          </w:p>
        </w:tc>
        <w:tc>
          <w:tcPr>
            <w:tcW w:w="100" w:type="dxa"/>
            <w:vAlign w:val="bottom"/>
          </w:tcPr>
          <w:p>
            <w:pPr>
              <w:spacing w:after="0"/>
              <w:rPr>
                <w:sz w:val="11"/>
                <w:szCs w:val="11"/>
                <w:color w:val="auto"/>
              </w:rPr>
            </w:pPr>
          </w:p>
        </w:tc>
        <w:tc>
          <w:tcPr>
            <w:tcW w:w="10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w:t>
            </w:r>
          </w:p>
        </w:tc>
        <w:tc>
          <w:tcPr>
            <w:tcW w:w="1220" w:type="dxa"/>
            <w:vAlign w:val="bottom"/>
            <w:gridSpan w:val="2"/>
          </w:tcPr>
          <w:p>
            <w:pPr>
              <w:jc w:val="right"/>
              <w:ind w:right="160"/>
              <w:spacing w:after="0" w:line="133" w:lineRule="exact"/>
              <w:rPr>
                <w:sz w:val="20"/>
                <w:szCs w:val="20"/>
                <w:color w:val="auto"/>
              </w:rPr>
            </w:pPr>
            <w:r>
              <w:rPr>
                <w:rFonts w:ascii="Arial" w:cs="Arial" w:eastAsia="Arial" w:hAnsi="Arial"/>
                <w:sz w:val="13"/>
                <w:szCs w:val="13"/>
                <w:b w:val="1"/>
                <w:bCs w:val="1"/>
                <w:color w:val="auto"/>
              </w:rPr>
              <w:t>—</w:t>
            </w:r>
          </w:p>
        </w:tc>
        <w:tc>
          <w:tcPr>
            <w:tcW w:w="100" w:type="dxa"/>
            <w:vAlign w:val="bottom"/>
          </w:tcPr>
          <w:p>
            <w:pPr>
              <w:jc w:val="right"/>
              <w:spacing w:after="0" w:line="133" w:lineRule="exact"/>
              <w:rPr>
                <w:sz w:val="20"/>
                <w:szCs w:val="20"/>
                <w:color w:val="auto"/>
              </w:rPr>
            </w:pPr>
            <w:r>
              <w:rPr>
                <w:rFonts w:ascii="Arial" w:cs="Arial" w:eastAsia="Arial" w:hAnsi="Arial"/>
                <w:sz w:val="13"/>
                <w:szCs w:val="13"/>
                <w:b w:val="1"/>
                <w:bCs w:val="1"/>
                <w:color w:val="auto"/>
                <w:w w:val="82"/>
              </w:rPr>
              <w:t>$</w:t>
            </w:r>
          </w:p>
        </w:tc>
        <w:tc>
          <w:tcPr>
            <w:tcW w:w="112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7,481</w:t>
            </w:r>
          </w:p>
        </w:tc>
        <w:tc>
          <w:tcPr>
            <w:tcW w:w="100" w:type="dxa"/>
            <w:vAlign w:val="bottom"/>
          </w:tcPr>
          <w:p>
            <w:pPr>
              <w:spacing w:after="0"/>
              <w:rPr>
                <w:sz w:val="11"/>
                <w:szCs w:val="11"/>
                <w:color w:val="auto"/>
              </w:rPr>
            </w:pPr>
          </w:p>
        </w:tc>
        <w:tc>
          <w:tcPr>
            <w:tcW w:w="140" w:type="dxa"/>
            <w:vAlign w:val="bottom"/>
          </w:tcPr>
          <w:p>
            <w:pPr>
              <w:jc w:val="right"/>
              <w:spacing w:after="0" w:line="133" w:lineRule="exact"/>
              <w:rPr>
                <w:sz w:val="20"/>
                <w:szCs w:val="20"/>
                <w:color w:val="auto"/>
              </w:rPr>
            </w:pPr>
            <w:r>
              <w:rPr>
                <w:rFonts w:ascii="Arial" w:cs="Arial" w:eastAsia="Arial" w:hAnsi="Arial"/>
                <w:sz w:val="13"/>
                <w:szCs w:val="13"/>
                <w:b w:val="1"/>
                <w:bCs w:val="1"/>
                <w:color w:val="auto"/>
                <w:w w:val="82"/>
              </w:rPr>
              <w:t>$</w:t>
            </w:r>
          </w:p>
        </w:tc>
        <w:tc>
          <w:tcPr>
            <w:tcW w:w="1580" w:type="dxa"/>
            <w:vAlign w:val="bottom"/>
          </w:tcPr>
          <w:p>
            <w:pPr>
              <w:ind w:left="1400"/>
              <w:spacing w:after="0" w:line="133"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Derivative assets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420" w:type="dxa"/>
            <w:vAlign w:val="bottom"/>
            <w:gridSpan w:val="3"/>
          </w:tcPr>
          <w:p>
            <w:pPr>
              <w:ind w:left="20"/>
              <w:spacing w:after="0" w:line="133" w:lineRule="exact"/>
              <w:rPr>
                <w:sz w:val="20"/>
                <w:szCs w:val="20"/>
                <w:color w:val="auto"/>
              </w:rPr>
            </w:pPr>
            <w:r>
              <w:rPr>
                <w:rFonts w:ascii="Arial" w:cs="Arial" w:eastAsia="Arial" w:hAnsi="Arial"/>
                <w:sz w:val="13"/>
                <w:szCs w:val="13"/>
                <w:color w:val="auto"/>
              </w:rPr>
              <w:t>Derivative liabilities</w:t>
            </w:r>
          </w:p>
        </w:tc>
        <w:tc>
          <w:tcPr>
            <w:tcW w:w="280" w:type="dxa"/>
            <w:vAlign w:val="bottom"/>
          </w:tcPr>
          <w:p>
            <w:pPr>
              <w:jc w:val="right"/>
              <w:ind w:right="136"/>
              <w:spacing w:after="0" w:line="133" w:lineRule="exact"/>
              <w:rPr>
                <w:sz w:val="20"/>
                <w:szCs w:val="20"/>
                <w:color w:val="auto"/>
              </w:rPr>
            </w:pPr>
            <w:r>
              <w:rPr>
                <w:rFonts w:ascii="Arial" w:cs="Arial" w:eastAsia="Arial" w:hAnsi="Arial"/>
                <w:sz w:val="13"/>
                <w:szCs w:val="13"/>
                <w:b w:val="1"/>
                <w:bCs w:val="1"/>
                <w:color w:val="auto"/>
                <w:w w:val="82"/>
              </w:rPr>
              <w:t>$</w:t>
            </w:r>
          </w:p>
        </w:tc>
        <w:tc>
          <w:tcPr>
            <w:tcW w:w="1020" w:type="dxa"/>
            <w:vAlign w:val="bottom"/>
            <w:gridSpan w:val="2"/>
          </w:tcPr>
          <w:p>
            <w:pPr>
              <w:jc w:val="right"/>
              <w:ind w:right="160"/>
              <w:spacing w:after="0" w:line="133" w:lineRule="exact"/>
              <w:rPr>
                <w:sz w:val="20"/>
                <w:szCs w:val="20"/>
                <w:color w:val="auto"/>
              </w:rPr>
            </w:pPr>
            <w:r>
              <w:rPr>
                <w:rFonts w:ascii="Arial" w:cs="Arial" w:eastAsia="Arial" w:hAnsi="Arial"/>
                <w:sz w:val="13"/>
                <w:szCs w:val="13"/>
                <w:b w:val="1"/>
                <w:bCs w:val="1"/>
                <w:color w:val="auto"/>
              </w:rPr>
              <w:t>—</w:t>
            </w:r>
          </w:p>
        </w:tc>
        <w:tc>
          <w:tcPr>
            <w:tcW w:w="10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w:t>
            </w:r>
          </w:p>
        </w:tc>
        <w:tc>
          <w:tcPr>
            <w:tcW w:w="1220" w:type="dxa"/>
            <w:vAlign w:val="bottom"/>
            <w:gridSpan w:val="2"/>
          </w:tcPr>
          <w:p>
            <w:pPr>
              <w:jc w:val="right"/>
              <w:ind w:right="160"/>
              <w:spacing w:after="0" w:line="133" w:lineRule="exact"/>
              <w:rPr>
                <w:sz w:val="20"/>
                <w:szCs w:val="20"/>
                <w:color w:val="auto"/>
              </w:rPr>
            </w:pPr>
            <w:r>
              <w:rPr>
                <w:rFonts w:ascii="Arial" w:cs="Arial" w:eastAsia="Arial" w:hAnsi="Arial"/>
                <w:sz w:val="13"/>
                <w:szCs w:val="13"/>
                <w:b w:val="1"/>
                <w:bCs w:val="1"/>
                <w:color w:val="auto"/>
              </w:rPr>
              <w:t>—</w:t>
            </w:r>
          </w:p>
        </w:tc>
        <w:tc>
          <w:tcPr>
            <w:tcW w:w="100" w:type="dxa"/>
            <w:vAlign w:val="bottom"/>
          </w:tcPr>
          <w:p>
            <w:pPr>
              <w:jc w:val="right"/>
              <w:spacing w:after="0" w:line="133" w:lineRule="exact"/>
              <w:rPr>
                <w:sz w:val="20"/>
                <w:szCs w:val="20"/>
                <w:color w:val="auto"/>
              </w:rPr>
            </w:pPr>
            <w:r>
              <w:rPr>
                <w:rFonts w:ascii="Arial" w:cs="Arial" w:eastAsia="Arial" w:hAnsi="Arial"/>
                <w:sz w:val="13"/>
                <w:szCs w:val="13"/>
                <w:b w:val="1"/>
                <w:bCs w:val="1"/>
                <w:color w:val="auto"/>
                <w:w w:val="82"/>
              </w:rPr>
              <w:t>$</w:t>
            </w:r>
          </w:p>
        </w:tc>
        <w:tc>
          <w:tcPr>
            <w:tcW w:w="1220" w:type="dxa"/>
            <w:vAlign w:val="bottom"/>
            <w:gridSpan w:val="2"/>
          </w:tcPr>
          <w:p>
            <w:pPr>
              <w:jc w:val="right"/>
              <w:ind w:right="160"/>
              <w:spacing w:after="0" w:line="133" w:lineRule="exact"/>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line="133" w:lineRule="exact"/>
              <w:rPr>
                <w:sz w:val="20"/>
                <w:szCs w:val="20"/>
                <w:color w:val="auto"/>
              </w:rPr>
            </w:pPr>
            <w:r>
              <w:rPr>
                <w:rFonts w:ascii="Arial" w:cs="Arial" w:eastAsia="Arial" w:hAnsi="Arial"/>
                <w:sz w:val="13"/>
                <w:szCs w:val="13"/>
                <w:b w:val="1"/>
                <w:bCs w:val="1"/>
                <w:color w:val="auto"/>
                <w:w w:val="82"/>
              </w:rPr>
              <w:t>$</w:t>
            </w:r>
          </w:p>
        </w:tc>
        <w:tc>
          <w:tcPr>
            <w:tcW w:w="1580" w:type="dxa"/>
            <w:vAlign w:val="bottom"/>
          </w:tcPr>
          <w:p>
            <w:pPr>
              <w:ind w:left="1400"/>
              <w:spacing w:after="0" w:line="133"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42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December 31, 2022</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Investment securities available for sale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0" w:type="dxa"/>
            <w:vAlign w:val="bottom"/>
            <w:gridSpan w:val="2"/>
          </w:tcPr>
          <w:p>
            <w:pPr>
              <w:ind w:left="100"/>
              <w:spacing w:after="0"/>
              <w:rPr>
                <w:sz w:val="20"/>
                <w:szCs w:val="20"/>
                <w:color w:val="auto"/>
              </w:rPr>
            </w:pPr>
            <w:r>
              <w:rPr>
                <w:rFonts w:ascii="Arial" w:cs="Arial" w:eastAsia="Arial" w:hAnsi="Arial"/>
                <w:sz w:val="13"/>
                <w:szCs w:val="13"/>
                <w:color w:val="auto"/>
              </w:rPr>
              <w:t>U.S. Treasuries</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199,449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199,449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Pr>
          <w:p>
            <w:pPr>
              <w:ind w:left="1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Municipal</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ind w:left="1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0" w:type="dxa"/>
            <w:vAlign w:val="bottom"/>
            <w:gridSpan w:val="2"/>
          </w:tcPr>
          <w:p>
            <w:pPr>
              <w:ind w:left="100"/>
              <w:spacing w:after="0"/>
              <w:rPr>
                <w:sz w:val="20"/>
                <w:szCs w:val="20"/>
                <w:color w:val="auto"/>
              </w:rPr>
            </w:pPr>
            <w:r>
              <w:rPr>
                <w:rFonts w:ascii="Arial" w:cs="Arial" w:eastAsia="Arial" w:hAnsi="Arial"/>
                <w:sz w:val="13"/>
                <w:szCs w:val="13"/>
                <w:color w:val="auto"/>
              </w:rPr>
              <w:t>Corporate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4,600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4,600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ind w:left="1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Asset-backed securities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ind w:left="1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0" w:type="dxa"/>
            <w:vAlign w:val="bottom"/>
            <w:gridSpan w:val="2"/>
          </w:tcPr>
          <w:p>
            <w:pPr>
              <w:ind w:left="100"/>
              <w:spacing w:after="0"/>
              <w:rPr>
                <w:sz w:val="20"/>
                <w:szCs w:val="20"/>
                <w:color w:val="auto"/>
              </w:rPr>
            </w:pPr>
            <w:r>
              <w:rPr>
                <w:rFonts w:ascii="Arial" w:cs="Arial" w:eastAsia="Arial" w:hAnsi="Arial"/>
                <w:sz w:val="13"/>
                <w:szCs w:val="13"/>
                <w:color w:val="auto"/>
              </w:rPr>
              <w:t>Mortgage-backed securities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32,709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32,709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ind w:left="1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400" w:type="dxa"/>
            <w:vAlign w:val="bottom"/>
            <w:tcBorders>
              <w:top w:val="single" w:sz="8" w:color="CCEEFF"/>
              <w:bottom w:val="single" w:sz="8" w:color="CCEEFF"/>
            </w:tcBorders>
            <w:gridSpan w:val="2"/>
            <w:shd w:val="clear" w:color="auto" w:fill="CCEEFF"/>
          </w:tcPr>
          <w:p>
            <w:pPr>
              <w:ind w:left="160"/>
              <w:spacing w:after="0" w:line="141" w:lineRule="exact"/>
              <w:rPr>
                <w:sz w:val="20"/>
                <w:szCs w:val="20"/>
                <w:color w:val="auto"/>
              </w:rPr>
            </w:pPr>
            <w:r>
              <w:rPr>
                <w:rFonts w:ascii="Arial" w:cs="Arial" w:eastAsia="Arial" w:hAnsi="Arial"/>
                <w:sz w:val="13"/>
                <w:szCs w:val="13"/>
                <w:color w:val="auto"/>
              </w:rPr>
              <w:t>Total</w:t>
            </w:r>
          </w:p>
        </w:tc>
        <w:tc>
          <w:tcPr>
            <w:tcW w:w="280" w:type="dxa"/>
            <w:vAlign w:val="bottom"/>
            <w:tcBorders>
              <w:top w:val="single" w:sz="8" w:color="auto"/>
              <w:bottom w:val="single" w:sz="8" w:color="auto"/>
            </w:tcBorders>
            <w:shd w:val="clear" w:color="auto" w:fill="CCEEFF"/>
          </w:tcPr>
          <w:p>
            <w:pPr>
              <w:jc w:val="right"/>
              <w:ind w:right="136"/>
              <w:spacing w:after="0" w:line="141"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252,481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199,449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53,032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1580" w:type="dxa"/>
            <w:vAlign w:val="bottom"/>
            <w:tcBorders>
              <w:top w:val="single" w:sz="8" w:color="auto"/>
              <w:bottom w:val="single" w:sz="8" w:color="auto"/>
            </w:tcBorders>
            <w:shd w:val="clear" w:color="auto" w:fill="CCEEFF"/>
          </w:tcPr>
          <w:p>
            <w:pPr>
              <w:ind w:left="140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420" w:type="dxa"/>
            <w:vAlign w:val="bottom"/>
            <w:gridSpan w:val="3"/>
          </w:tcPr>
          <w:p>
            <w:pPr>
              <w:ind w:left="20"/>
              <w:spacing w:after="0" w:line="133" w:lineRule="exact"/>
              <w:rPr>
                <w:sz w:val="20"/>
                <w:szCs w:val="20"/>
                <w:color w:val="auto"/>
              </w:rPr>
            </w:pPr>
            <w:r>
              <w:rPr>
                <w:rFonts w:ascii="Arial" w:cs="Arial" w:eastAsia="Arial" w:hAnsi="Arial"/>
                <w:sz w:val="13"/>
                <w:szCs w:val="13"/>
                <w:color w:val="auto"/>
              </w:rPr>
              <w:t>Loans held for sale</w:t>
            </w:r>
          </w:p>
        </w:tc>
        <w:tc>
          <w:tcPr>
            <w:tcW w:w="280" w:type="dxa"/>
            <w:vAlign w:val="bottom"/>
          </w:tcPr>
          <w:p>
            <w:pPr>
              <w:jc w:val="right"/>
              <w:ind w:right="136"/>
              <w:spacing w:after="0" w:line="133" w:lineRule="exact"/>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line="133" w:lineRule="exact"/>
              <w:rPr>
                <w:sz w:val="20"/>
                <w:szCs w:val="20"/>
                <w:color w:val="auto"/>
              </w:rPr>
            </w:pPr>
            <w:r>
              <w:rPr>
                <w:rFonts w:ascii="Arial" w:cs="Arial" w:eastAsia="Arial" w:hAnsi="Arial"/>
                <w:sz w:val="13"/>
                <w:szCs w:val="13"/>
                <w:color w:val="auto"/>
              </w:rPr>
              <w:t>7,416</w:t>
            </w:r>
          </w:p>
        </w:tc>
        <w:tc>
          <w:tcPr>
            <w:tcW w:w="100" w:type="dxa"/>
            <w:vAlign w:val="bottom"/>
          </w:tcPr>
          <w:p>
            <w:pPr>
              <w:spacing w:after="0"/>
              <w:rPr>
                <w:sz w:val="11"/>
                <w:szCs w:val="11"/>
                <w:color w:val="auto"/>
              </w:rPr>
            </w:pPr>
          </w:p>
        </w:tc>
        <w:tc>
          <w:tcPr>
            <w:tcW w:w="10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33" w:lineRule="exact"/>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line="133" w:lineRule="exact"/>
              <w:rPr>
                <w:sz w:val="20"/>
                <w:szCs w:val="20"/>
                <w:color w:val="auto"/>
              </w:rPr>
            </w:pPr>
            <w:r>
              <w:rPr>
                <w:rFonts w:ascii="Arial" w:cs="Arial" w:eastAsia="Arial" w:hAnsi="Arial"/>
                <w:sz w:val="13"/>
                <w:szCs w:val="13"/>
                <w:color w:val="auto"/>
              </w:rPr>
              <w:t>7,416</w:t>
            </w:r>
          </w:p>
        </w:tc>
        <w:tc>
          <w:tcPr>
            <w:tcW w:w="100" w:type="dxa"/>
            <w:vAlign w:val="bottom"/>
          </w:tcPr>
          <w:p>
            <w:pPr>
              <w:spacing w:after="0"/>
              <w:rPr>
                <w:sz w:val="11"/>
                <w:szCs w:val="11"/>
                <w:color w:val="auto"/>
              </w:rPr>
            </w:pPr>
          </w:p>
        </w:tc>
        <w:tc>
          <w:tcPr>
            <w:tcW w:w="140" w:type="dxa"/>
            <w:vAlign w:val="bottom"/>
          </w:tcPr>
          <w:p>
            <w:pPr>
              <w:jc w:val="right"/>
              <w:spacing w:after="0" w:line="133" w:lineRule="exact"/>
              <w:rPr>
                <w:sz w:val="20"/>
                <w:szCs w:val="20"/>
                <w:color w:val="auto"/>
              </w:rPr>
            </w:pPr>
            <w:r>
              <w:rPr>
                <w:rFonts w:ascii="Arial" w:cs="Arial" w:eastAsia="Arial" w:hAnsi="Arial"/>
                <w:sz w:val="13"/>
                <w:szCs w:val="13"/>
                <w:color w:val="auto"/>
                <w:w w:val="82"/>
              </w:rPr>
              <w:t>$</w:t>
            </w:r>
          </w:p>
        </w:tc>
        <w:tc>
          <w:tcPr>
            <w:tcW w:w="1580" w:type="dxa"/>
            <w:vAlign w:val="bottom"/>
          </w:tcPr>
          <w:p>
            <w:pPr>
              <w:ind w:left="1400"/>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Derivative assets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420" w:type="dxa"/>
            <w:vAlign w:val="bottom"/>
            <w:gridSpan w:val="3"/>
          </w:tcPr>
          <w:p>
            <w:pPr>
              <w:ind w:left="20"/>
              <w:spacing w:after="0" w:line="133" w:lineRule="exact"/>
              <w:rPr>
                <w:sz w:val="20"/>
                <w:szCs w:val="20"/>
                <w:color w:val="auto"/>
              </w:rPr>
            </w:pPr>
            <w:r>
              <w:rPr>
                <w:rFonts w:ascii="Arial" w:cs="Arial" w:eastAsia="Arial" w:hAnsi="Arial"/>
                <w:sz w:val="13"/>
                <w:szCs w:val="13"/>
                <w:color w:val="auto"/>
              </w:rPr>
              <w:t>Derivative liabilities</w:t>
            </w:r>
          </w:p>
        </w:tc>
        <w:tc>
          <w:tcPr>
            <w:tcW w:w="280" w:type="dxa"/>
            <w:vAlign w:val="bottom"/>
          </w:tcPr>
          <w:p>
            <w:pPr>
              <w:jc w:val="right"/>
              <w:ind w:right="136"/>
              <w:spacing w:after="0" w:line="133" w:lineRule="exact"/>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33" w:lineRule="exact"/>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140" w:type="dxa"/>
            <w:vAlign w:val="bottom"/>
          </w:tcPr>
          <w:p>
            <w:pPr>
              <w:jc w:val="right"/>
              <w:spacing w:after="0" w:line="133" w:lineRule="exact"/>
              <w:rPr>
                <w:sz w:val="20"/>
                <w:szCs w:val="20"/>
                <w:color w:val="auto"/>
              </w:rPr>
            </w:pPr>
            <w:r>
              <w:rPr>
                <w:rFonts w:ascii="Arial" w:cs="Arial" w:eastAsia="Arial" w:hAnsi="Arial"/>
                <w:sz w:val="13"/>
                <w:szCs w:val="13"/>
                <w:color w:val="auto"/>
                <w:w w:val="82"/>
              </w:rPr>
              <w:t>$</w:t>
            </w:r>
          </w:p>
        </w:tc>
        <w:tc>
          <w:tcPr>
            <w:tcW w:w="1580" w:type="dxa"/>
            <w:vAlign w:val="bottom"/>
          </w:tcPr>
          <w:p>
            <w:pPr>
              <w:ind w:left="1400"/>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instruments recorded using FASB ASC 825-10</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18" w:name="page119"/>
    <w:bookmarkEnd w:id="118"/>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 Fair Value (continued)</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reflects the difference between the fair value carrying amount of loans held for sale, measured at fair value under FASB ASC 825-10, and the aggregate unpaid principal amount the Company is contractually entitled to receive at maturity: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ind w:left="20"/>
              <w:spacing w:after="0"/>
              <w:rPr>
                <w:sz w:val="20"/>
                <w:szCs w:val="20"/>
                <w:color w:val="auto"/>
              </w:rPr>
            </w:pPr>
            <w:r>
              <w:rPr>
                <w:rFonts w:ascii="Arial" w:cs="Arial" w:eastAsia="Arial" w:hAnsi="Arial"/>
                <w:sz w:val="13"/>
                <w:szCs w:val="13"/>
                <w:b w:val="1"/>
                <w:bCs w:val="1"/>
                <w:color w:val="auto"/>
              </w:rPr>
              <w:t>Fair Value of Loans Held for Sale</w:t>
            </w:r>
          </w:p>
        </w:tc>
        <w:tc>
          <w:tcPr>
            <w:tcW w:w="220" w:type="dxa"/>
            <w:vAlign w:val="bottom"/>
          </w:tcPr>
          <w:p>
            <w:pPr>
              <w:spacing w:after="0"/>
              <w:rPr>
                <w:sz w:val="15"/>
                <w:szCs w:val="15"/>
                <w:color w:val="auto"/>
              </w:rPr>
            </w:pPr>
          </w:p>
        </w:tc>
        <w:tc>
          <w:tcPr>
            <w:tcW w:w="17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December 31, 2023</w:t>
            </w:r>
          </w:p>
        </w:tc>
        <w:tc>
          <w:tcPr>
            <w:tcW w:w="200" w:type="dxa"/>
            <w:vAlign w:val="bottom"/>
          </w:tcPr>
          <w:p>
            <w:pPr>
              <w:spacing w:after="0"/>
              <w:rPr>
                <w:sz w:val="15"/>
                <w:szCs w:val="15"/>
                <w:color w:val="auto"/>
              </w:rPr>
            </w:pPr>
          </w:p>
        </w:tc>
        <w:tc>
          <w:tcPr>
            <w:tcW w:w="1600" w:type="dxa"/>
            <w:vAlign w:val="bottom"/>
            <w:vMerge w:val="restart"/>
          </w:tcPr>
          <w:p>
            <w:pPr>
              <w:jc w:val="right"/>
              <w:ind w:right="256"/>
              <w:spacing w:after="0"/>
              <w:rPr>
                <w:sz w:val="20"/>
                <w:szCs w:val="20"/>
                <w:color w:val="auto"/>
              </w:rPr>
            </w:pPr>
            <w:r>
              <w:rPr>
                <w:rFonts w:ascii="Arial" w:cs="Arial" w:eastAsia="Arial" w:hAnsi="Arial"/>
                <w:sz w:val="13"/>
                <w:szCs w:val="13"/>
                <w:b w:val="1"/>
                <w:bCs w:val="1"/>
                <w:color w:val="auto"/>
              </w:rPr>
              <w:t>December 31, 2022</w:t>
            </w:r>
          </w:p>
        </w:tc>
        <w:tc>
          <w:tcPr>
            <w:tcW w:w="0" w:type="dxa"/>
            <w:vAlign w:val="bottom"/>
          </w:tcPr>
          <w:p>
            <w:pPr>
              <w:spacing w:after="0"/>
              <w:rPr>
                <w:sz w:val="1"/>
                <w:szCs w:val="1"/>
                <w:color w:val="auto"/>
              </w:rPr>
            </w:pPr>
          </w:p>
        </w:tc>
      </w:tr>
      <w:tr>
        <w:trPr>
          <w:trHeight w:val="166"/>
        </w:trPr>
        <w:tc>
          <w:tcPr>
            <w:tcW w:w="756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2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Aggregate fair value</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7,481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7,416</w:t>
            </w:r>
          </w:p>
        </w:tc>
        <w:tc>
          <w:tcPr>
            <w:tcW w:w="0" w:type="dxa"/>
            <w:vAlign w:val="bottom"/>
          </w:tcPr>
          <w:p>
            <w:pPr>
              <w:spacing w:after="0"/>
              <w:rPr>
                <w:sz w:val="1"/>
                <w:szCs w:val="1"/>
                <w:color w:val="auto"/>
              </w:rPr>
            </w:pPr>
          </w:p>
        </w:tc>
      </w:tr>
      <w:tr>
        <w:trPr>
          <w:trHeight w:val="17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Contractual principal</w:t>
            </w: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5,168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6,808</w:t>
            </w:r>
          </w:p>
        </w:tc>
        <w:tc>
          <w:tcPr>
            <w:tcW w:w="0" w:type="dxa"/>
            <w:vAlign w:val="bottom"/>
          </w:tcPr>
          <w:p>
            <w:pPr>
              <w:spacing w:after="0"/>
              <w:rPr>
                <w:sz w:val="1"/>
                <w:szCs w:val="1"/>
                <w:color w:val="auto"/>
              </w:rPr>
            </w:pPr>
          </w:p>
        </w:tc>
      </w:tr>
      <w:tr>
        <w:trPr>
          <w:trHeight w:val="185"/>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Difference</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2,313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608</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elects to account for loans held for sale at fair value to eliminate the mismatch that would occur by recording changes in market value on derivative instruments used to hedge loans held for sale while carrying the loans at the lower of cost or market.</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 on a nonrecurring basis</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 xml:space="preserve">Individually evaluated loans </w:t>
      </w:r>
      <w:r>
        <w:rPr>
          <w:rFonts w:ascii="Arial" w:cs="Arial" w:eastAsia="Arial" w:hAnsi="Arial"/>
          <w:sz w:val="14"/>
          <w:szCs w:val="14"/>
          <w:color w:val="auto"/>
        </w:rPr>
        <w:t>- The Company has measured expected credit losses based on the fair value of the loan's collateral and discounted cash flow analysis, where</w:t>
      </w:r>
      <w:r>
        <w:rPr>
          <w:rFonts w:ascii="Arial" w:cs="Arial" w:eastAsia="Arial" w:hAnsi="Arial"/>
          <w:sz w:val="14"/>
          <w:szCs w:val="14"/>
          <w:i w:val="1"/>
          <w:iCs w:val="1"/>
          <w:color w:val="auto"/>
        </w:rPr>
        <w:t xml:space="preserve"> </w:t>
      </w:r>
      <w:r>
        <w:rPr>
          <w:rFonts w:ascii="Arial" w:cs="Arial" w:eastAsia="Arial" w:hAnsi="Arial"/>
          <w:sz w:val="14"/>
          <w:szCs w:val="14"/>
          <w:color w:val="auto"/>
        </w:rPr>
        <w:t>appropriate. Fair value of the collateral is generally determined based upon independent third-party appraisals of the properties, or discounted cash flows based upon the expected proceeds. These assets are included as Level 3 fair values. As of December 31, 2023 and December 31, 2022, the fair values consist of loan balances of $16.0 million and $9.4 million, with specific reserves of $422 thousand and $372 thousand, respectively.</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 xml:space="preserve">Foreclosed real estate </w:t>
      </w:r>
      <w:r>
        <w:rPr>
          <w:rFonts w:ascii="Arial" w:cs="Arial" w:eastAsia="Arial" w:hAnsi="Arial"/>
          <w:sz w:val="14"/>
          <w:szCs w:val="14"/>
          <w:color w:val="auto"/>
        </w:rPr>
        <w:t>- The Company's foreclosed real estate is measured at fair value less cost to sell. Fair value is determined based on offers and/or appraisals. Cost to sell the</w:t>
      </w:r>
      <w:r>
        <w:rPr>
          <w:rFonts w:ascii="Arial" w:cs="Arial" w:eastAsia="Arial" w:hAnsi="Arial"/>
          <w:sz w:val="14"/>
          <w:szCs w:val="14"/>
          <w:i w:val="1"/>
          <w:iCs w:val="1"/>
          <w:color w:val="auto"/>
        </w:rPr>
        <w:t xml:space="preserve"> </w:t>
      </w:r>
      <w:r>
        <w:rPr>
          <w:rFonts w:ascii="Arial" w:cs="Arial" w:eastAsia="Arial" w:hAnsi="Arial"/>
          <w:sz w:val="14"/>
          <w:szCs w:val="14"/>
          <w:color w:val="auto"/>
        </w:rPr>
        <w:t>real estate is based on standard market factors. The Company categorizes its foreclosed real estate as Level 3. As of December 31, 2023 and December 31, 2022, there was no foreclosed real estate held by the Company.</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Fair Value of Individually Evaluated Loans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61"/>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61"/>
              <w:spacing w:after="0"/>
              <w:rPr>
                <w:sz w:val="20"/>
                <w:szCs w:val="20"/>
                <w:color w:val="auto"/>
              </w:rPr>
            </w:pPr>
            <w:r>
              <w:rPr>
                <w:rFonts w:ascii="Arial" w:cs="Arial" w:eastAsia="Arial" w:hAnsi="Arial"/>
                <w:sz w:val="13"/>
                <w:szCs w:val="13"/>
                <w:b w:val="1"/>
                <w:bCs w:val="1"/>
                <w:color w:val="auto"/>
              </w:rPr>
              <w:t>2022</w:t>
            </w:r>
          </w:p>
        </w:tc>
      </w:tr>
      <w:tr>
        <w:trPr>
          <w:trHeight w:val="150"/>
        </w:trPr>
        <w:tc>
          <w:tcPr>
            <w:tcW w:w="7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Individually evaluated loans for credit loss, net</w:t>
            </w: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9"/>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Level 3 Inputs</w:t>
            </w: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15,620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9,021</w:t>
            </w:r>
          </w:p>
        </w:tc>
      </w:tr>
      <w:tr>
        <w:trPr>
          <w:trHeight w:val="171"/>
        </w:trPr>
        <w:tc>
          <w:tcPr>
            <w:tcW w:w="7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15,620</w:t>
            </w: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9,021</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describing the unobservable inputs used in Level 3 fair value measurements at December 31, 2023 and 2022:</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Unobservable Inputs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580" w:type="dxa"/>
            <w:vAlign w:val="bottom"/>
            <w:tcBorders>
              <w:bottom w:val="single" w:sz="8" w:color="CCEEFF"/>
            </w:tcBorders>
          </w:tcPr>
          <w:p>
            <w:pPr>
              <w:spacing w:after="0"/>
              <w:rPr>
                <w:sz w:val="14"/>
                <w:szCs w:val="14"/>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Valuation Technique</w:t>
            </w:r>
          </w:p>
        </w:tc>
        <w:tc>
          <w:tcPr>
            <w:tcW w:w="140" w:type="dxa"/>
            <w:vAlign w:val="bottom"/>
            <w:tcBorders>
              <w:bottom w:val="single" w:sz="8" w:color="CCEEFF"/>
            </w:tcBorders>
          </w:tcPr>
          <w:p>
            <w:pPr>
              <w:spacing w:after="0"/>
              <w:rPr>
                <w:sz w:val="14"/>
                <w:szCs w:val="14"/>
                <w:color w:val="auto"/>
              </w:rPr>
            </w:pP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Unobservable Inputs</w:t>
            </w:r>
          </w:p>
        </w:tc>
        <w:tc>
          <w:tcPr>
            <w:tcW w:w="140" w:type="dxa"/>
            <w:vAlign w:val="bottom"/>
            <w:tcBorders>
              <w:bottom w:val="single" w:sz="8" w:color="CCEEFF"/>
            </w:tcBorders>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General Range of Inputs</w:t>
            </w:r>
          </w:p>
        </w:tc>
        <w:tc>
          <w:tcPr>
            <w:tcW w:w="0" w:type="dxa"/>
            <w:vAlign w:val="bottom"/>
          </w:tcPr>
          <w:p>
            <w:pPr>
              <w:spacing w:after="0"/>
              <w:rPr>
                <w:sz w:val="1"/>
                <w:szCs w:val="1"/>
                <w:color w:val="auto"/>
              </w:rPr>
            </w:pPr>
          </w:p>
        </w:tc>
      </w:tr>
      <w:tr>
        <w:trPr>
          <w:trHeight w:val="119"/>
        </w:trPr>
        <w:tc>
          <w:tcPr>
            <w:tcW w:w="25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Individually evaluated loans</w:t>
            </w:r>
          </w:p>
        </w:tc>
        <w:tc>
          <w:tcPr>
            <w:tcW w:w="284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3"/>
                <w:szCs w:val="13"/>
                <w:color w:val="auto"/>
                <w:w w:val="97"/>
              </w:rPr>
              <w:t>Appraised Value/Discounted Cash Flows</w:t>
            </w:r>
          </w:p>
        </w:tc>
        <w:tc>
          <w:tcPr>
            <w:tcW w:w="3980" w:type="dxa"/>
            <w:vAlign w:val="bottom"/>
            <w:gridSpan w:val="2"/>
            <w:shd w:val="clear" w:color="auto" w:fill="CCEEFF"/>
          </w:tcPr>
          <w:p>
            <w:pPr>
              <w:jc w:val="center"/>
              <w:ind w:right="120"/>
              <w:spacing w:after="0" w:line="119" w:lineRule="exact"/>
              <w:rPr>
                <w:sz w:val="20"/>
                <w:szCs w:val="20"/>
                <w:color w:val="auto"/>
              </w:rPr>
            </w:pPr>
            <w:r>
              <w:rPr>
                <w:rFonts w:ascii="Arial" w:cs="Arial" w:eastAsia="Arial" w:hAnsi="Arial"/>
                <w:sz w:val="13"/>
                <w:szCs w:val="13"/>
                <w:color w:val="auto"/>
                <w:w w:val="97"/>
              </w:rPr>
              <w:t>Discounts to appraisals or cash flows for estimated holding and/or</w:t>
            </w:r>
          </w:p>
        </w:tc>
        <w:tc>
          <w:tcPr>
            <w:tcW w:w="1880" w:type="dxa"/>
            <w:vAlign w:val="bottom"/>
            <w:vMerge w:val="restart"/>
            <w:shd w:val="clear" w:color="auto" w:fill="CCEEFF"/>
          </w:tcPr>
          <w:p>
            <w:pPr>
              <w:jc w:val="right"/>
              <w:ind w:right="656"/>
              <w:spacing w:after="0"/>
              <w:rPr>
                <w:sz w:val="20"/>
                <w:szCs w:val="20"/>
                <w:color w:val="auto"/>
              </w:rPr>
            </w:pPr>
            <w:r>
              <w:rPr>
                <w:rFonts w:ascii="Arial" w:cs="Arial" w:eastAsia="Arial" w:hAnsi="Arial"/>
                <w:sz w:val="13"/>
                <w:szCs w:val="13"/>
                <w:color w:val="auto"/>
              </w:rPr>
              <w:t>0 - 25%</w:t>
            </w:r>
          </w:p>
        </w:tc>
        <w:tc>
          <w:tcPr>
            <w:tcW w:w="0" w:type="dxa"/>
            <w:vAlign w:val="bottom"/>
          </w:tcPr>
          <w:p>
            <w:pPr>
              <w:spacing w:after="0"/>
              <w:rPr>
                <w:sz w:val="1"/>
                <w:szCs w:val="1"/>
                <w:color w:val="auto"/>
              </w:rPr>
            </w:pPr>
          </w:p>
        </w:tc>
      </w:tr>
      <w:tr>
        <w:trPr>
          <w:trHeight w:val="170"/>
        </w:trPr>
        <w:tc>
          <w:tcPr>
            <w:tcW w:w="2580" w:type="dxa"/>
            <w:vAlign w:val="bottom"/>
            <w:vMerge w:val="continue"/>
            <w:shd w:val="clear" w:color="auto" w:fill="CCEEFF"/>
          </w:tcPr>
          <w:p>
            <w:pPr>
              <w:spacing w:after="0"/>
              <w:rPr>
                <w:sz w:val="14"/>
                <w:szCs w:val="14"/>
                <w:color w:val="auto"/>
              </w:rPr>
            </w:pPr>
          </w:p>
        </w:tc>
        <w:tc>
          <w:tcPr>
            <w:tcW w:w="2840" w:type="dxa"/>
            <w:vAlign w:val="bottom"/>
            <w:gridSpan w:val="2"/>
            <w:vMerge w:val="continue"/>
            <w:shd w:val="clear" w:color="auto" w:fill="CCEEFF"/>
          </w:tcPr>
          <w:p>
            <w:pPr>
              <w:spacing w:after="0"/>
              <w:rPr>
                <w:sz w:val="14"/>
                <w:szCs w:val="14"/>
                <w:color w:val="auto"/>
              </w:rPr>
            </w:pPr>
          </w:p>
        </w:tc>
        <w:tc>
          <w:tcPr>
            <w:tcW w:w="3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selling costs</w:t>
            </w:r>
          </w:p>
        </w:tc>
        <w:tc>
          <w:tcPr>
            <w:tcW w:w="1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19" w:name="page120"/>
    <w:bookmarkEnd w:id="119"/>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 Fair Value (continued)</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that convey or impose on an entity the contractual right or obligation to either receive or deliver cash for another financial instrument.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information used to determine fair value is highly subjective in nature and, therefore, the results are imprecise. Subjective factors include, among other things, estimates of 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As of December 31, 2023, the technique used by the Company to estimate the exit price of the loan portfolio consists of similar procedures to those used as of December 31, 2022, but with added emphasis on both illiquidity risk and credit risk not captured by the previously applied entry price notion. The fair value of the Company’s loan portfolio has always included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impaired loans, and all other loans. The results are then adjusted to account for credit risk as described above. However, under the new guidance, the Company believes a further credit risk discount must be applied through the use of a discounted cash flow model to compensate for illiquidity risk, based on certain assumptions included within the discounted cash flow model, primarily the use of discount rates that better capture inherent credit risk over the lifetime of a loan. This consideration of enhanced credit risk provides an estimated exit price for the Company’s loan portfolio.</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For variable-rate loans that reprice frequently and have no significant change in credit risk, fair values approximate carrying values. Fair values for individually evaluated loans are estimated using discounted cash flow models or based on the fair value of the underlying collateral.</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fair value of cash and cash equivalents, interest-bearing deposits at other financial institutions, federal funds sold and restricted investments is the carrying amount. Restricted investments includes equity of the Federal Reserve and other banker’s banks.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noninterest-bearing deposits and securities sold under agreements to repurchase is the carrying amount.</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fair value of checking, savings, and money market deposits is the amount payable on demand at the reporting date. Fair value of fixed maturity term accounts and individual retirement accounts is estimated using rates currently offered for accounts of similar remaining maturities.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certificates of deposit in other financial institutions is estimated based on interest rates currently offered for deposits of similar remaining maturities.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borrowings is estimated by discounting the value of contractual cash flows using current market rates for borrowings with similar terms and remaining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20" w:name="page121"/>
    <w:bookmarkEnd w:id="120"/>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 Fair Value (continued)</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outstanding loan commitments, unused lines of credit, and letters of credit are not included in the table since the carrying value generally approximates fair value.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These instruments generate fees that approximate those currently charged to originate similar commitments.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presents the carrying amount, fair value, and placement in the fair value hierarchy of the Company’s financial instruments (in thousands).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Fair Value of Financial Assets and Liabilities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1"/>
                <w:szCs w:val="11"/>
                <w:b w:val="1"/>
                <w:bCs w:val="1"/>
                <w:color w:val="auto"/>
              </w:rPr>
              <w:t>December 31, 2023</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1"/>
                <w:szCs w:val="11"/>
                <w:b w:val="1"/>
                <w:bCs w:val="1"/>
                <w:color w:val="auto"/>
              </w:rPr>
              <w:t>December 31, 2022</w:t>
            </w:r>
          </w:p>
        </w:tc>
      </w:tr>
      <w:tr>
        <w:trPr>
          <w:trHeight w:val="150"/>
        </w:trPr>
        <w:tc>
          <w:tcPr>
            <w:tcW w:w="582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4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Arial" w:cs="Arial" w:eastAsia="Arial" w:hAnsi="Arial"/>
                <w:sz w:val="11"/>
                <w:szCs w:val="11"/>
                <w:b w:val="1"/>
                <w:bCs w:val="1"/>
                <w:color w:val="auto"/>
              </w:rPr>
              <w:t>Carrying Amount</w:t>
            </w:r>
          </w:p>
        </w:tc>
        <w:tc>
          <w:tcPr>
            <w:tcW w:w="22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1"/>
                <w:szCs w:val="11"/>
                <w:b w:val="1"/>
                <w:bCs w:val="1"/>
                <w:color w:val="auto"/>
              </w:rPr>
              <w:t>Fair Value</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color w:val="auto"/>
              </w:rPr>
              <w:t>Carrying Amount</w:t>
            </w:r>
          </w:p>
        </w:tc>
        <w:tc>
          <w:tcPr>
            <w:tcW w:w="240" w:type="dxa"/>
            <w:vAlign w:val="bottom"/>
          </w:tcPr>
          <w:p>
            <w:pPr>
              <w:spacing w:after="0"/>
              <w:rPr>
                <w:sz w:val="13"/>
                <w:szCs w:val="13"/>
                <w:color w:val="auto"/>
              </w:rPr>
            </w:pPr>
          </w:p>
        </w:tc>
        <w:tc>
          <w:tcPr>
            <w:tcW w:w="1040" w:type="dxa"/>
            <w:vAlign w:val="bottom"/>
          </w:tcPr>
          <w:p>
            <w:pPr>
              <w:jc w:val="right"/>
              <w:ind w:right="323"/>
              <w:spacing w:after="0"/>
              <w:rPr>
                <w:sz w:val="20"/>
                <w:szCs w:val="20"/>
                <w:color w:val="auto"/>
              </w:rPr>
            </w:pPr>
            <w:r>
              <w:rPr>
                <w:rFonts w:ascii="Arial" w:cs="Arial" w:eastAsia="Arial" w:hAnsi="Arial"/>
                <w:sz w:val="11"/>
                <w:szCs w:val="11"/>
                <w:color w:val="auto"/>
              </w:rPr>
              <w:t>Fair Value</w:t>
            </w:r>
          </w:p>
        </w:tc>
      </w:tr>
      <w:tr>
        <w:trPr>
          <w:trHeight w:val="150"/>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Financial assets</w:t>
            </w: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69"/>
        </w:trPr>
        <w:tc>
          <w:tcPr>
            <w:tcW w:w="5820" w:type="dxa"/>
            <w:vAlign w:val="bottom"/>
          </w:tcPr>
          <w:p>
            <w:pPr>
              <w:ind w:left="120"/>
              <w:spacing w:after="0"/>
              <w:rPr>
                <w:sz w:val="20"/>
                <w:szCs w:val="20"/>
                <w:color w:val="auto"/>
              </w:rPr>
            </w:pPr>
            <w:r>
              <w:rPr>
                <w:rFonts w:ascii="Arial" w:cs="Arial" w:eastAsia="Arial" w:hAnsi="Arial"/>
                <w:sz w:val="13"/>
                <w:szCs w:val="13"/>
                <w:color w:val="auto"/>
              </w:rPr>
              <w:t>Level 1</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5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and due from banks</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14,513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14,513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19,963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19,963</w:t>
            </w:r>
          </w:p>
        </w:tc>
      </w:tr>
      <w:tr>
        <w:trPr>
          <w:trHeight w:val="170"/>
        </w:trPr>
        <w:tc>
          <w:tcPr>
            <w:tcW w:w="5820" w:type="dxa"/>
            <w:vAlign w:val="bottom"/>
          </w:tcPr>
          <w:p>
            <w:pPr>
              <w:ind w:left="180"/>
              <w:spacing w:after="0"/>
              <w:rPr>
                <w:sz w:val="20"/>
                <w:szCs w:val="20"/>
                <w:color w:val="auto"/>
              </w:rPr>
            </w:pPr>
            <w:r>
              <w:rPr>
                <w:rFonts w:ascii="Arial" w:cs="Arial" w:eastAsia="Arial" w:hAnsi="Arial"/>
                <w:sz w:val="13"/>
                <w:szCs w:val="13"/>
                <w:color w:val="auto"/>
              </w:rPr>
              <w:t>Interest-bearing deposits at other financial institutions</w:t>
            </w:r>
          </w:p>
        </w:tc>
        <w:tc>
          <w:tcPr>
            <w:tcW w:w="140" w:type="dxa"/>
            <w:vAlign w:val="bottom"/>
          </w:tcPr>
          <w:p>
            <w:pPr>
              <w:spacing w:after="0"/>
              <w:rPr>
                <w:sz w:val="14"/>
                <w:szCs w:val="14"/>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b w:val="1"/>
                <w:bCs w:val="1"/>
                <w:color w:val="auto"/>
              </w:rPr>
              <w:t>39,044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39,044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39,764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39,764</w:t>
            </w:r>
          </w:p>
        </w:tc>
      </w:tr>
      <w:tr>
        <w:trPr>
          <w:trHeight w:val="170"/>
        </w:trPr>
        <w:tc>
          <w:tcPr>
            <w:tcW w:w="5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Federal funds sold</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407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407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20,688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20,688</w:t>
            </w:r>
          </w:p>
        </w:tc>
      </w:tr>
      <w:tr>
        <w:trPr>
          <w:trHeight w:val="169"/>
        </w:trPr>
        <w:tc>
          <w:tcPr>
            <w:tcW w:w="5820" w:type="dxa"/>
            <w:vAlign w:val="bottom"/>
          </w:tcPr>
          <w:p>
            <w:pPr>
              <w:ind w:left="120"/>
              <w:spacing w:after="0"/>
              <w:rPr>
                <w:sz w:val="20"/>
                <w:szCs w:val="20"/>
                <w:color w:val="auto"/>
              </w:rPr>
            </w:pPr>
            <w:r>
              <w:rPr>
                <w:rFonts w:ascii="Arial" w:cs="Arial" w:eastAsia="Arial" w:hAnsi="Arial"/>
                <w:sz w:val="13"/>
                <w:szCs w:val="13"/>
                <w:color w:val="auto"/>
              </w:rPr>
              <w:t>Level 3</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5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Loans receivable, net</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1,874,678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1,855,158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1,704,370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1,659,283</w:t>
            </w:r>
          </w:p>
        </w:tc>
      </w:tr>
      <w:tr>
        <w:trPr>
          <w:trHeight w:val="170"/>
        </w:trPr>
        <w:tc>
          <w:tcPr>
            <w:tcW w:w="5820" w:type="dxa"/>
            <w:vAlign w:val="bottom"/>
          </w:tcPr>
          <w:p>
            <w:pPr>
              <w:ind w:left="180"/>
              <w:spacing w:after="0"/>
              <w:rPr>
                <w:sz w:val="20"/>
                <w:szCs w:val="20"/>
                <w:color w:val="auto"/>
              </w:rPr>
            </w:pPr>
            <w:r>
              <w:rPr>
                <w:rFonts w:ascii="Arial" w:cs="Arial" w:eastAsia="Arial" w:hAnsi="Arial"/>
                <w:sz w:val="13"/>
                <w:szCs w:val="13"/>
                <w:color w:val="auto"/>
              </w:rPr>
              <w:t>Restricted investments</w:t>
            </w:r>
          </w:p>
        </w:tc>
        <w:tc>
          <w:tcPr>
            <w:tcW w:w="140" w:type="dxa"/>
            <w:vAlign w:val="bottom"/>
          </w:tcPr>
          <w:p>
            <w:pPr>
              <w:spacing w:after="0"/>
              <w:rPr>
                <w:sz w:val="14"/>
                <w:szCs w:val="14"/>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b w:val="1"/>
                <w:bCs w:val="1"/>
                <w:color w:val="auto"/>
              </w:rPr>
              <w:t>4,353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4,353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7,362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7,362</w:t>
            </w:r>
          </w:p>
        </w:tc>
      </w:tr>
      <w:tr>
        <w:trPr>
          <w:trHeight w:val="170"/>
        </w:trPr>
        <w:tc>
          <w:tcPr>
            <w:tcW w:w="5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0"/>
        </w:trPr>
        <w:tc>
          <w:tcPr>
            <w:tcW w:w="5820" w:type="dxa"/>
            <w:vAlign w:val="bottom"/>
          </w:tcPr>
          <w:p>
            <w:pPr>
              <w:ind w:left="20"/>
              <w:spacing w:after="0"/>
              <w:rPr>
                <w:sz w:val="20"/>
                <w:szCs w:val="20"/>
                <w:color w:val="auto"/>
              </w:rPr>
            </w:pPr>
            <w:r>
              <w:rPr>
                <w:rFonts w:ascii="Arial" w:cs="Arial" w:eastAsia="Arial" w:hAnsi="Arial"/>
                <w:sz w:val="13"/>
                <w:szCs w:val="13"/>
                <w:b w:val="1"/>
                <w:bCs w:val="1"/>
                <w:color w:val="auto"/>
              </w:rPr>
              <w:t>Financial liabilities</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5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Level 1</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0"/>
        </w:trPr>
        <w:tc>
          <w:tcPr>
            <w:tcW w:w="5820" w:type="dxa"/>
            <w:vAlign w:val="bottom"/>
          </w:tcPr>
          <w:p>
            <w:pPr>
              <w:ind w:left="180"/>
              <w:spacing w:after="0"/>
              <w:rPr>
                <w:sz w:val="20"/>
                <w:szCs w:val="20"/>
                <w:color w:val="auto"/>
              </w:rPr>
            </w:pPr>
            <w:r>
              <w:rPr>
                <w:rFonts w:ascii="Arial" w:cs="Arial" w:eastAsia="Arial" w:hAnsi="Arial"/>
                <w:sz w:val="13"/>
                <w:szCs w:val="13"/>
                <w:color w:val="auto"/>
              </w:rPr>
              <w:t>Noninterest-bearing deposits</w:t>
            </w:r>
          </w:p>
        </w:tc>
        <w:tc>
          <w:tcPr>
            <w:tcW w:w="140" w:type="dxa"/>
            <w:vAlign w:val="bottom"/>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b w:val="1"/>
                <w:bCs w:val="1"/>
                <w:color w:val="auto"/>
              </w:rPr>
              <w:t>617,373</w:t>
            </w:r>
          </w:p>
        </w:tc>
        <w:tc>
          <w:tcPr>
            <w:tcW w:w="100" w:type="dxa"/>
            <w:vAlign w:val="bottom"/>
          </w:tcPr>
          <w:p>
            <w:pPr>
              <w:spacing w:after="0"/>
              <w:rPr>
                <w:sz w:val="14"/>
                <w:szCs w:val="14"/>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617,373</w:t>
            </w:r>
          </w:p>
        </w:tc>
        <w:tc>
          <w:tcPr>
            <w:tcW w:w="10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674,313</w:t>
            </w:r>
          </w:p>
        </w:tc>
        <w:tc>
          <w:tcPr>
            <w:tcW w:w="10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674,313</w:t>
            </w:r>
          </w:p>
        </w:tc>
      </w:tr>
      <w:tr>
        <w:trPr>
          <w:trHeight w:val="170"/>
        </w:trPr>
        <w:tc>
          <w:tcPr>
            <w:tcW w:w="5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Level 3</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0"/>
        </w:trPr>
        <w:tc>
          <w:tcPr>
            <w:tcW w:w="5820" w:type="dxa"/>
            <w:vAlign w:val="bottom"/>
          </w:tcPr>
          <w:p>
            <w:pPr>
              <w:ind w:left="180"/>
              <w:spacing w:after="0"/>
              <w:rPr>
                <w:sz w:val="20"/>
                <w:szCs w:val="20"/>
                <w:color w:val="auto"/>
              </w:rPr>
            </w:pPr>
            <w:r>
              <w:rPr>
                <w:rFonts w:ascii="Arial" w:cs="Arial" w:eastAsia="Arial" w:hAnsi="Arial"/>
                <w:sz w:val="13"/>
                <w:szCs w:val="13"/>
                <w:color w:val="auto"/>
              </w:rPr>
              <w:t>Interest-bearing deposits</w:t>
            </w:r>
          </w:p>
        </w:tc>
        <w:tc>
          <w:tcPr>
            <w:tcW w:w="140" w:type="dxa"/>
            <w:vAlign w:val="bottom"/>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b w:val="1"/>
                <w:bCs w:val="1"/>
                <w:color w:val="auto"/>
              </w:rPr>
              <w:t>1,278,623</w:t>
            </w:r>
          </w:p>
        </w:tc>
        <w:tc>
          <w:tcPr>
            <w:tcW w:w="100" w:type="dxa"/>
            <w:vAlign w:val="bottom"/>
          </w:tcPr>
          <w:p>
            <w:pPr>
              <w:spacing w:after="0"/>
              <w:rPr>
                <w:sz w:val="14"/>
                <w:szCs w:val="14"/>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1,280,682</w:t>
            </w:r>
          </w:p>
        </w:tc>
        <w:tc>
          <w:tcPr>
            <w:tcW w:w="10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1,083,759</w:t>
            </w:r>
          </w:p>
        </w:tc>
        <w:tc>
          <w:tcPr>
            <w:tcW w:w="10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1,090,553</w:t>
            </w:r>
          </w:p>
        </w:tc>
      </w:tr>
      <w:tr>
        <w:trPr>
          <w:trHeight w:val="170"/>
        </w:trPr>
        <w:tc>
          <w:tcPr>
            <w:tcW w:w="5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FHLB advances and other borrowed funds</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49,062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46,634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119,062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116,544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21" w:name="page122"/>
    <w:bookmarkEnd w:id="121"/>
    <w:p>
      <w:pPr>
        <w:ind w:left="2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1662430</wp:posOffset>
            </wp:positionH>
            <wp:positionV relativeFrom="page">
              <wp:posOffset>102235</wp:posOffset>
            </wp:positionV>
            <wp:extent cx="4224020" cy="133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34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340"/>
        <w:spacing w:after="0"/>
        <w:rPr>
          <w:sz w:val="20"/>
          <w:szCs w:val="20"/>
          <w:color w:val="auto"/>
        </w:rPr>
      </w:pPr>
      <w:r>
        <w:rPr>
          <w:rFonts w:ascii="Arial" w:cs="Arial" w:eastAsia="Arial" w:hAnsi="Arial"/>
          <w:sz w:val="11"/>
          <w:szCs w:val="11"/>
          <w:b w:val="1"/>
          <w:bCs w:val="1"/>
          <w:i w:val="1"/>
          <w:i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11430</wp:posOffset>
            </wp:positionV>
            <wp:extent cx="4224020" cy="133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18 - Segments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Company’s reportable segments represent business units with discrete financial information whose results are regularly reviewed by management. The four segments include Commercial Banking, Capital Bank Home Loans (the Company’s mortgage loan division), and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(the Company’s credit card division) and the Corporate Office. The following schedule presents financial information for each reportable segment at and for the years ended December 31, 2023 and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800" w:type="dxa"/>
            <w:vAlign w:val="bottom"/>
            <w:gridSpan w:val="2"/>
          </w:tcPr>
          <w:p>
            <w:pPr>
              <w:spacing w:after="0"/>
              <w:rPr>
                <w:sz w:val="20"/>
                <w:szCs w:val="20"/>
                <w:color w:val="auto"/>
              </w:rPr>
            </w:pPr>
            <w:r>
              <w:rPr>
                <w:rFonts w:ascii="Arial" w:cs="Arial" w:eastAsia="Arial" w:hAnsi="Arial"/>
                <w:sz w:val="11"/>
                <w:szCs w:val="11"/>
                <w:b w:val="1"/>
                <w:bCs w:val="1"/>
                <w:color w:val="auto"/>
              </w:rPr>
              <w:t>For the Year Ended December 31, 2023</w:t>
            </w: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OpenSky</w:t>
            </w:r>
            <w:r>
              <w:rPr>
                <w:rFonts w:ascii="Arial" w:cs="Arial" w:eastAsia="Arial" w:hAnsi="Arial"/>
                <w:sz w:val="14"/>
                <w:szCs w:val="14"/>
                <w:b w:val="1"/>
                <w:bCs w:val="1"/>
                <w:color w:val="auto"/>
                <w:vertAlign w:val="superscript"/>
              </w:rPr>
              <w:t>™</w:t>
            </w:r>
          </w:p>
        </w:tc>
        <w:tc>
          <w:tcPr>
            <w:tcW w:w="14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Corporate</w:t>
            </w:r>
            <w:r>
              <w:rPr>
                <w:rFonts w:ascii="Arial" w:cs="Arial" w:eastAsia="Arial" w:hAnsi="Arial"/>
                <w:sz w:val="6"/>
                <w:szCs w:val="6"/>
                <w:b w:val="1"/>
                <w:bCs w:val="1"/>
                <w:color w:val="auto"/>
              </w:rPr>
              <w:t>(2)</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00" w:type="dxa"/>
            <w:vAlign w:val="bottom"/>
            <w:gridSpan w:val="2"/>
          </w:tcPr>
          <w:p>
            <w:pPr>
              <w:spacing w:after="0"/>
              <w:rPr>
                <w:sz w:val="20"/>
                <w:szCs w:val="20"/>
                <w:color w:val="auto"/>
              </w:rPr>
            </w:pPr>
            <w:r>
              <w:rPr>
                <w:rFonts w:ascii="Arial" w:cs="Arial" w:eastAsia="Arial" w:hAnsi="Arial"/>
                <w:sz w:val="8"/>
                <w:szCs w:val="8"/>
                <w:i w:val="1"/>
                <w:iCs w:val="1"/>
                <w:color w:val="auto"/>
              </w:rPr>
              <w:t>(in thousands)</w:t>
            </w:r>
          </w:p>
        </w:tc>
        <w:tc>
          <w:tcPr>
            <w:tcW w:w="160" w:type="dxa"/>
            <w:vAlign w:val="bottom"/>
          </w:tcPr>
          <w:p>
            <w:pPr>
              <w:spacing w:after="0"/>
              <w:rPr>
                <w:sz w:val="13"/>
                <w:szCs w:val="13"/>
                <w:color w:val="auto"/>
              </w:rPr>
            </w:pPr>
          </w:p>
        </w:tc>
        <w:tc>
          <w:tcPr>
            <w:tcW w:w="1400" w:type="dxa"/>
            <w:vAlign w:val="bottom"/>
            <w:gridSpan w:val="2"/>
          </w:tcPr>
          <w:p>
            <w:pPr>
              <w:ind w:left="100"/>
              <w:spacing w:after="0"/>
              <w:rPr>
                <w:sz w:val="20"/>
                <w:szCs w:val="20"/>
                <w:color w:val="auto"/>
              </w:rPr>
            </w:pPr>
            <w:r>
              <w:rPr>
                <w:rFonts w:ascii="Arial" w:cs="Arial" w:eastAsia="Arial" w:hAnsi="Arial"/>
                <w:sz w:val="11"/>
                <w:szCs w:val="11"/>
                <w:b w:val="1"/>
                <w:bCs w:val="1"/>
                <w:color w:val="auto"/>
              </w:rPr>
              <w:t>Commercial Bank</w:t>
            </w:r>
          </w:p>
        </w:tc>
        <w:tc>
          <w:tcPr>
            <w:tcW w:w="220" w:type="dxa"/>
            <w:vAlign w:val="bottom"/>
          </w:tcPr>
          <w:p>
            <w:pPr>
              <w:spacing w:after="0"/>
              <w:rPr>
                <w:sz w:val="13"/>
                <w:szCs w:val="13"/>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CBHL</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3"/>
                <w:szCs w:val="13"/>
                <w:color w:val="auto"/>
              </w:rPr>
            </w:pPr>
          </w:p>
        </w:tc>
        <w:tc>
          <w:tcPr>
            <w:tcW w:w="1060" w:type="dxa"/>
            <w:vAlign w:val="bottom"/>
          </w:tcPr>
          <w:p>
            <w:pPr>
              <w:jc w:val="right"/>
              <w:ind w:right="183"/>
              <w:spacing w:after="0"/>
              <w:rPr>
                <w:sz w:val="20"/>
                <w:szCs w:val="20"/>
                <w:color w:val="auto"/>
              </w:rPr>
            </w:pPr>
            <w:r>
              <w:rPr>
                <w:rFonts w:ascii="Arial" w:cs="Arial" w:eastAsia="Arial" w:hAnsi="Arial"/>
                <w:sz w:val="11"/>
                <w:szCs w:val="11"/>
                <w:b w:val="1"/>
                <w:bCs w:val="1"/>
                <w:color w:val="auto"/>
              </w:rPr>
              <w:t>Consolidated</w:t>
            </w:r>
          </w:p>
        </w:tc>
        <w:tc>
          <w:tcPr>
            <w:tcW w:w="0" w:type="dxa"/>
            <w:vAlign w:val="bottom"/>
          </w:tcPr>
          <w:p>
            <w:pPr>
              <w:spacing w:after="0"/>
              <w:rPr>
                <w:sz w:val="1"/>
                <w:szCs w:val="1"/>
                <w:color w:val="auto"/>
              </w:rPr>
            </w:pPr>
          </w:p>
        </w:tc>
      </w:tr>
      <w:tr>
        <w:trPr>
          <w:trHeight w:val="177"/>
        </w:trPr>
        <w:tc>
          <w:tcPr>
            <w:tcW w:w="20" w:type="dxa"/>
            <w:vAlign w:val="bottom"/>
            <w:tcBorders>
              <w:top w:val="single" w:sz="8" w:color="CCEEFF"/>
            </w:tcBorders>
            <w:shd w:val="clear" w:color="auto" w:fill="CCEEFF"/>
          </w:tcPr>
          <w:p>
            <w:pPr>
              <w:spacing w:after="0"/>
              <w:rPr>
                <w:sz w:val="15"/>
                <w:szCs w:val="15"/>
                <w:color w:val="auto"/>
              </w:rPr>
            </w:pPr>
          </w:p>
        </w:tc>
        <w:tc>
          <w:tcPr>
            <w:tcW w:w="3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Interest income</w:t>
            </w: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116,408</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62,476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4,238</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183,206</w:t>
            </w: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tcPr>
          <w:p>
            <w:pPr>
              <w:spacing w:after="0"/>
              <w:rPr>
                <w:sz w:val="14"/>
                <w:szCs w:val="14"/>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Interest expense</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40,896</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947</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41,680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interest income</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75,512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62,476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3,291</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141,526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1"/>
                <w:szCs w:val="11"/>
                <w:color w:val="auto"/>
              </w:rPr>
              <w:t>Provision for credit losses</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1,540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7,948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122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9,610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Release of credit losses on unfunded commitments</w:t>
            </w: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Arial" w:cs="Arial" w:eastAsia="Arial" w:hAnsi="Arial"/>
                <w:sz w:val="11"/>
                <w:szCs w:val="11"/>
                <w:b w:val="1"/>
                <w:bCs w:val="1"/>
                <w:color w:val="auto"/>
              </w:rPr>
              <w:t>Net interest income after provision</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74,073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247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54,528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3,169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132,017</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Noninterest income</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2,737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4,909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17,325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24,975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1"/>
                <w:szCs w:val="11"/>
                <w:color w:val="auto"/>
              </w:rPr>
              <w:t>Noninterest expense</w:t>
            </w:r>
            <w:r>
              <w:rPr>
                <w:rFonts w:ascii="Arial" w:cs="Arial" w:eastAsia="Arial" w:hAnsi="Arial"/>
                <w:sz w:val="6"/>
                <w:szCs w:val="6"/>
                <w:color w:val="auto"/>
              </w:rPr>
              <w:t>(1)</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61,836</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6,001</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42,524</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406</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110,767</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income (loss) before taxes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14,974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29,329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2,767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46,225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2,051,945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8,589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117,477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277,565</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(229,400)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2,226,176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b w:val="1"/>
                <w:bCs w:val="1"/>
                <w:color w:val="auto"/>
              </w:rPr>
              <w:t>For the Year Ended December 31, 2022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38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OpenSky</w:t>
            </w:r>
            <w:r>
              <w:rPr>
                <w:rFonts w:ascii="Arial" w:cs="Arial" w:eastAsia="Arial" w:hAnsi="Arial"/>
                <w:sz w:val="14"/>
                <w:szCs w:val="14"/>
                <w:b w:val="1"/>
                <w:bCs w:val="1"/>
                <w:color w:val="auto"/>
                <w:vertAlign w:val="superscript"/>
              </w:rPr>
              <w:t>™</w:t>
            </w:r>
          </w:p>
        </w:tc>
        <w:tc>
          <w:tcPr>
            <w:tcW w:w="14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Corporate</w:t>
            </w:r>
            <w:r>
              <w:rPr>
                <w:rFonts w:ascii="Arial" w:cs="Arial" w:eastAsia="Arial" w:hAnsi="Arial"/>
                <w:sz w:val="14"/>
                <w:szCs w:val="14"/>
                <w:b w:val="1"/>
                <w:bCs w:val="1"/>
                <w:color w:val="auto"/>
                <w:vertAlign w:val="superscript"/>
              </w:rPr>
              <w:t>(2)</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00" w:type="dxa"/>
            <w:vAlign w:val="bottom"/>
            <w:gridSpan w:val="2"/>
          </w:tcPr>
          <w:p>
            <w:pPr>
              <w:spacing w:after="0"/>
              <w:rPr>
                <w:sz w:val="20"/>
                <w:szCs w:val="20"/>
                <w:color w:val="auto"/>
              </w:rPr>
            </w:pPr>
            <w:r>
              <w:rPr>
                <w:rFonts w:ascii="Arial" w:cs="Arial" w:eastAsia="Arial" w:hAnsi="Arial"/>
                <w:sz w:val="8"/>
                <w:szCs w:val="8"/>
                <w:i w:val="1"/>
                <w:iCs w:val="1"/>
                <w:color w:val="auto"/>
              </w:rPr>
              <w:t>(in thousands)</w:t>
            </w:r>
          </w:p>
        </w:tc>
        <w:tc>
          <w:tcPr>
            <w:tcW w:w="160" w:type="dxa"/>
            <w:vAlign w:val="bottom"/>
          </w:tcPr>
          <w:p>
            <w:pPr>
              <w:spacing w:after="0"/>
              <w:rPr>
                <w:sz w:val="13"/>
                <w:szCs w:val="13"/>
                <w:color w:val="auto"/>
              </w:rPr>
            </w:pPr>
          </w:p>
        </w:tc>
        <w:tc>
          <w:tcPr>
            <w:tcW w:w="1400" w:type="dxa"/>
            <w:vAlign w:val="bottom"/>
            <w:gridSpan w:val="2"/>
          </w:tcPr>
          <w:p>
            <w:pPr>
              <w:ind w:left="100"/>
              <w:spacing w:after="0"/>
              <w:rPr>
                <w:sz w:val="20"/>
                <w:szCs w:val="20"/>
                <w:color w:val="auto"/>
              </w:rPr>
            </w:pPr>
            <w:r>
              <w:rPr>
                <w:rFonts w:ascii="Arial" w:cs="Arial" w:eastAsia="Arial" w:hAnsi="Arial"/>
                <w:sz w:val="11"/>
                <w:szCs w:val="11"/>
                <w:b w:val="1"/>
                <w:bCs w:val="1"/>
                <w:color w:val="auto"/>
              </w:rPr>
              <w:t>Commercial Bank</w:t>
            </w:r>
          </w:p>
        </w:tc>
        <w:tc>
          <w:tcPr>
            <w:tcW w:w="220" w:type="dxa"/>
            <w:vAlign w:val="bottom"/>
          </w:tcPr>
          <w:p>
            <w:pPr>
              <w:spacing w:after="0"/>
              <w:rPr>
                <w:sz w:val="13"/>
                <w:szCs w:val="13"/>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CBHL</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3"/>
                <w:szCs w:val="13"/>
                <w:color w:val="auto"/>
              </w:rPr>
            </w:pPr>
          </w:p>
        </w:tc>
        <w:tc>
          <w:tcPr>
            <w:tcW w:w="1060" w:type="dxa"/>
            <w:vAlign w:val="bottom"/>
          </w:tcPr>
          <w:p>
            <w:pPr>
              <w:jc w:val="right"/>
              <w:ind w:right="183"/>
              <w:spacing w:after="0"/>
              <w:rPr>
                <w:sz w:val="20"/>
                <w:szCs w:val="20"/>
                <w:color w:val="auto"/>
              </w:rPr>
            </w:pPr>
            <w:r>
              <w:rPr>
                <w:rFonts w:ascii="Arial" w:cs="Arial" w:eastAsia="Arial" w:hAnsi="Arial"/>
                <w:sz w:val="11"/>
                <w:szCs w:val="11"/>
                <w:b w:val="1"/>
                <w:bCs w:val="1"/>
                <w:color w:val="auto"/>
              </w:rPr>
              <w:t>Consolidated</w:t>
            </w:r>
          </w:p>
        </w:tc>
        <w:tc>
          <w:tcPr>
            <w:tcW w:w="0" w:type="dxa"/>
            <w:vAlign w:val="bottom"/>
          </w:tcPr>
          <w:p>
            <w:pPr>
              <w:spacing w:after="0"/>
              <w:rPr>
                <w:sz w:val="1"/>
                <w:szCs w:val="1"/>
                <w:color w:val="auto"/>
              </w:rPr>
            </w:pPr>
          </w:p>
        </w:tc>
      </w:tr>
      <w:tr>
        <w:trPr>
          <w:trHeight w:val="177"/>
        </w:trPr>
        <w:tc>
          <w:tcPr>
            <w:tcW w:w="20" w:type="dxa"/>
            <w:vAlign w:val="bottom"/>
            <w:tcBorders>
              <w:top w:val="single" w:sz="8" w:color="CCEEFF"/>
            </w:tcBorders>
            <w:shd w:val="clear" w:color="auto" w:fill="CCEEFF"/>
          </w:tcPr>
          <w:p>
            <w:pPr>
              <w:spacing w:after="0"/>
              <w:rPr>
                <w:sz w:val="15"/>
                <w:szCs w:val="15"/>
                <w:color w:val="auto"/>
              </w:rPr>
            </w:pPr>
          </w:p>
        </w:tc>
        <w:tc>
          <w:tcPr>
            <w:tcW w:w="3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Interest income</w:t>
            </w: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82,182</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64,859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3,349</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150,646</w:t>
            </w: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tcPr>
          <w:p>
            <w:pPr>
              <w:spacing w:after="0"/>
              <w:rPr>
                <w:sz w:val="14"/>
                <w:szCs w:val="14"/>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Interest expense</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9,245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755</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(179)</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10,039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interest income</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72,937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64,859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2,594</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140,607</w:t>
            </w: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tcPr>
          <w:p>
            <w:pPr>
              <w:spacing w:after="0"/>
              <w:rPr>
                <w:sz w:val="14"/>
                <w:szCs w:val="14"/>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(Reversal of) provision for loan losses</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7,611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6,631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interest income after provision</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73,917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57,248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2,594</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133,976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1"/>
                <w:szCs w:val="11"/>
                <w:color w:val="auto"/>
              </w:rPr>
              <w:t>Noninterest income</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2,122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5,276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21,972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29,372</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Noninterest expense</w:t>
            </w:r>
            <w:r>
              <w:rPr>
                <w:rFonts w:ascii="Arial" w:cs="Arial" w:eastAsia="Arial" w:hAnsi="Arial"/>
                <w:sz w:val="6"/>
                <w:szCs w:val="6"/>
                <w:color w:val="auto"/>
              </w:rPr>
              <w:t>(1)</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52,552</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8,450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47,647</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465</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109,114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Arial" w:cs="Arial" w:eastAsia="Arial" w:hAnsi="Arial"/>
                <w:sz w:val="11"/>
                <w:szCs w:val="11"/>
                <w:b w:val="1"/>
                <w:bCs w:val="1"/>
                <w:color w:val="auto"/>
              </w:rPr>
              <w:t>Net income (loss) before taxes</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23,487</w:t>
            </w:r>
          </w:p>
        </w:tc>
        <w:tc>
          <w:tcPr>
            <w:tcW w:w="80" w:type="dxa"/>
            <w:vAlign w:val="bottom"/>
          </w:tcPr>
          <w:p>
            <w:pPr>
              <w:spacing w:after="0"/>
              <w:rPr>
                <w:sz w:val="15"/>
                <w:szCs w:val="15"/>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(2,957)</w:t>
            </w:r>
          </w:p>
        </w:tc>
        <w:tc>
          <w:tcPr>
            <w:tcW w:w="80" w:type="dxa"/>
            <w:vAlign w:val="bottom"/>
          </w:tcPr>
          <w:p>
            <w:pPr>
              <w:spacing w:after="0"/>
              <w:rPr>
                <w:sz w:val="15"/>
                <w:szCs w:val="15"/>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31,573</w:t>
            </w:r>
          </w:p>
        </w:tc>
        <w:tc>
          <w:tcPr>
            <w:tcW w:w="80" w:type="dxa"/>
            <w:vAlign w:val="bottom"/>
          </w:tcPr>
          <w:p>
            <w:pPr>
              <w:spacing w:after="0"/>
              <w:rPr>
                <w:sz w:val="15"/>
                <w:szCs w:val="15"/>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2,131</w:t>
            </w:r>
          </w:p>
        </w:tc>
        <w:tc>
          <w:tcPr>
            <w:tcW w:w="60" w:type="dxa"/>
            <w:vAlign w:val="bottom"/>
          </w:tcPr>
          <w:p>
            <w:pPr>
              <w:spacing w:after="0"/>
              <w:rPr>
                <w:sz w:val="15"/>
                <w:szCs w:val="15"/>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54,234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Arial" w:cs="Arial" w:eastAsia="Arial" w:hAnsi="Arial"/>
                <w:sz w:val="11"/>
                <w:szCs w:val="11"/>
                <w:b w:val="1"/>
                <w:bCs w:val="1"/>
                <w:color w:val="auto"/>
              </w:rPr>
              <w:t>Total assets</w:t>
            </w: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1,939,601</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7,936</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122,418</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245,399</w:t>
            </w:r>
          </w:p>
        </w:tc>
        <w:tc>
          <w:tcPr>
            <w:tcW w:w="60" w:type="dxa"/>
            <w:vAlign w:val="bottom"/>
          </w:tcPr>
          <w:p>
            <w:pPr>
              <w:spacing w:after="0"/>
              <w:rPr>
                <w:sz w:val="15"/>
                <w:szCs w:val="15"/>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(191,699)</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2,123,655</w:t>
            </w:r>
          </w:p>
        </w:tc>
        <w:tc>
          <w:tcPr>
            <w:tcW w:w="0" w:type="dxa"/>
            <w:vAlign w:val="bottom"/>
          </w:tcPr>
          <w:p>
            <w:pPr>
              <w:spacing w:after="0"/>
              <w:rPr>
                <w:sz w:val="1"/>
                <w:szCs w:val="1"/>
                <w:color w:val="auto"/>
              </w:rPr>
            </w:pPr>
          </w:p>
        </w:tc>
      </w:tr>
      <w:tr>
        <w:trPr>
          <w:trHeight w:val="20"/>
        </w:trPr>
        <w:tc>
          <w:tcPr>
            <w:tcW w:w="2100" w:type="dxa"/>
            <w:vAlign w:val="bottom"/>
            <w:gridSpan w:val="2"/>
            <w:vMerge w:val="restart"/>
          </w:tcPr>
          <w:p>
            <w:pPr>
              <w:spacing w:after="0"/>
              <w:rPr>
                <w:sz w:val="20"/>
                <w:szCs w:val="20"/>
                <w:color w:val="auto"/>
              </w:rPr>
            </w:pPr>
            <w:r>
              <w:rPr>
                <w:rFonts w:ascii="Arial" w:cs="Arial" w:eastAsia="Arial" w:hAnsi="Arial"/>
                <w:sz w:val="14"/>
                <w:szCs w:val="14"/>
                <w:color w:val="auto"/>
              </w:rPr>
              <w:t>_______________</w:t>
            </w: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100" w:type="dxa"/>
            <w:vAlign w:val="bottom"/>
            <w:gridSpan w:val="2"/>
            <w:vMerge w:val="continue"/>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5"/>
        <w:spacing w:after="0" w:line="191" w:lineRule="auto"/>
        <w:tabs>
          <w:tab w:leader="none" w:pos="260" w:val="left"/>
        </w:tabs>
        <w:numPr>
          <w:ilvl w:val="0"/>
          <w:numId w:val="24"/>
        </w:numPr>
        <w:rPr>
          <w:rFonts w:ascii="Arial" w:cs="Arial" w:eastAsia="Arial" w:hAnsi="Arial"/>
          <w:sz w:val="13"/>
          <w:szCs w:val="13"/>
          <w:color w:val="auto"/>
          <w:vertAlign w:val="superscript"/>
        </w:rPr>
      </w:pPr>
      <w:r>
        <w:rPr>
          <w:rFonts w:ascii="Arial" w:cs="Arial" w:eastAsia="Arial" w:hAnsi="Arial"/>
          <w:sz w:val="8"/>
          <w:szCs w:val="8"/>
          <w:color w:val="auto"/>
        </w:rPr>
        <w:t>Noninterest expense includes $23.7 million and $27.0 million in data processing expenses in OpenSky’s</w:t>
      </w:r>
      <w:r>
        <w:rPr>
          <w:rFonts w:ascii="Arial" w:cs="Arial" w:eastAsia="Arial" w:hAnsi="Arial"/>
          <w:sz w:val="11"/>
          <w:szCs w:val="11"/>
          <w:color w:val="auto"/>
          <w:vertAlign w:val="superscript"/>
        </w:rPr>
        <w:t>™</w:t>
      </w:r>
      <w:r>
        <w:rPr>
          <w:rFonts w:ascii="Arial" w:cs="Arial" w:eastAsia="Arial" w:hAnsi="Arial"/>
          <w:sz w:val="8"/>
          <w:szCs w:val="8"/>
          <w:color w:val="auto"/>
        </w:rPr>
        <w:t xml:space="preserve"> segment for the years ended December 31, 2023 and 2022, respectively.</w:t>
      </w:r>
    </w:p>
    <w:p>
      <w:pPr>
        <w:ind w:left="260" w:hanging="255"/>
        <w:spacing w:after="0" w:line="195" w:lineRule="auto"/>
        <w:tabs>
          <w:tab w:leader="none" w:pos="260" w:val="left"/>
        </w:tabs>
        <w:numPr>
          <w:ilvl w:val="0"/>
          <w:numId w:val="24"/>
        </w:numPr>
        <w:rPr>
          <w:rFonts w:ascii="Arial" w:cs="Arial" w:eastAsia="Arial" w:hAnsi="Arial"/>
          <w:sz w:val="11"/>
          <w:szCs w:val="11"/>
          <w:color w:val="auto"/>
          <w:vertAlign w:val="superscript"/>
        </w:rPr>
      </w:pPr>
      <w:r>
        <w:rPr>
          <w:rFonts w:ascii="Arial" w:cs="Arial" w:eastAsia="Arial" w:hAnsi="Arial"/>
          <w:sz w:val="7"/>
          <w:szCs w:val="7"/>
          <w:color w:val="auto"/>
        </w:rPr>
        <w:t>The Corporate segment invests idle cash in revenue-producing assets including interest-bearing cash accounts, loan participations and other appropriate investments for the Company.</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Beginning in 2024, the Company allocated certain expenses previously recorded directly to the Commercial Bank segment to the other segments. This change in allocation will be reflected in 2024 segment performance reporting.</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19 - Litigation</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accordance with the current accounting standards for loss contingencies, the Company establishes reserves for litigation-related matters that arise in the ordinary course of its business activities when it is probable that a loss associated with a claim or proceeding has been incurred and the amount of the loss can be reasonably estimated. Litigation claims and proceedings of all types are subject to many uncertain factors that generally cannot be predicted with assurance. In addition, the Company's defense of litigation claims may result in legal fees, which it expenses as incurred. None of the amounts the Company currently has recorded individually or in the aggregate are considered to be material to our financial condition as of December 31, 2023.</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b w:val="1"/>
          <w:bCs w:val="1"/>
          <w:u w:val="single" w:color="auto"/>
          <w:color w:val="auto"/>
        </w:rPr>
        <w:t>ITEM 9. CHANGES IN AND DISAGREEMENTS WITH ACCOUNTANTS ON ACCOUNTING AND FINANCIAL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9A.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Evaluation of Disclosure Controls and Procedures</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Company’s management, including our Principal Executive Officer and Principal Financial Officer, have evaluated the effectiveness of our disclosure controls and procedures (as defined in Rules 13a-15(e) and 15d-15(e) under the Securities Exchange Act of 1934, as amended (the “Exchange Act”)) as of the end of the period covered by this report. Based upon that evaluation, our Principal Executive Officer and Principal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Principal Executive Officer and Principal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Report by Management on Internal Control over Financial Reporting</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Management is responsible for establishing and maintaining an effective system of internal control over financial reporting (as such term is defined in Rules 13A-15(f) and 15d-15(f) under the Exchange Act). The Company’s system of internal control over financial reporting is designed to provide reasonable assurance regarding the reliability of financial reporting and the preparation of financial statements for external purposes in accordance with GAAP. There are inherent limitations in the effectiveness of any system of internal control over financial reporting, including the possibility of human error and circumvention or overriding of controls. Accordingly, even an effective system of internal control over financial reporting can provide only reasonable assurance with respect to financial statement preparation.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Management has assessed the Company’s internal control over financial reporting as of December 31, 2023. This assessment was based on criteria for effective internal control over financial reporting described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 Based on this assessment, management believes that, as of December 31, 2023, the Company maintained effective internal control over financial reporting based on those criteria.</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Elliott Davis, PLLC, the independent registered public accounting firm that audited the Company’s consolidated financial statements included in this Annual Report on Form 10-K, has issued an attestation report on the Company’s internal control over financial reporting as of December 31, 2023. Their report is included in Part II, Item 8. Financial Statements and Supplementary Data under the heading “Report of Independent Registered Public Accounting Firm.”</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in Internal Control over Financial Reporting</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There has been no change in the Company’s internal control over financial reporting (as such term is defined in Rule 13a-15(f) under the Exchange Act) during the fourth quarter of 2023 to which this report relates that has materially affected, or is reasonably likely to materially affect, the Company’s internal control over financial reporting. During the first quarter of 2024, additional controls were put into place or enhanced to improve the effectiveness of the Company’s internal controls over the allowance for credit losses. These include process controls around model validation and allowance output review.</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23" w:name="page124"/>
    <w:bookmarkEnd w:id="123"/>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9B. OTHER INFORMATION</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Rule 10b5-1 Trading Plans</w:t>
      </w:r>
    </w:p>
    <w:p>
      <w:pPr>
        <w:spacing w:after="0" w:line="1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During the quarter ended December 31, 2023, no officer or director of the Company adopted or terminated any contract, instruction, or written plan for the purchase or sale of securities of the Company’s common stock that is intended to satisfy the affirmative defense conditions of Exchange Act Rule 10b5-1(c) or any non-Rule 10b5-1 trading arrangement as defined in 17 CFR § 229.408(c).</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9C. DISCLOSURE REGARDING FOREIGN JURISDICTIONS THAT PREVENT INSPECTIONS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179"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PART III</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10. DIRECTORS, EXECUTIVE OFFICERS AND CORPORATE GOVERNANCE</w:t>
      </w:r>
    </w:p>
    <w:p>
      <w:pPr>
        <w:spacing w:after="0" w:line="1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information required by this Item with respect to our directors and certain corporate governance practices is contained in our Proxy Statement for our 2024 Annual Meeting of Shareholders (the “Proxy Statement”) to be filed with the SEC within 120 days after the end of the Company’s fiscal year ended December 31, 2023. Such information is incorporated herein by reference.</w:t>
      </w:r>
    </w:p>
    <w:p>
      <w:pPr>
        <w:spacing w:after="0" w:line="13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We have adopted a Code of Business Conduct and Ethics that applies to all of our directors and employees. Our Code of Business Conduct and Ethics is available on our website at www.capitalbankmd.com under the “Investor Relations” tab.</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7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information required by this Item is incorporated herein by reference to our Proxy Statement to be filed with the SEC within 120 days after the end of the Company’s fiscal year ended December 31, 2023.</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12. SECURITY OWNERSHIP OF CERTAIN BENEFICIAL OWNERS AND MANAGEMENT AND RELATED STOCKHOLDER MATTERS</w:t>
      </w:r>
    </w:p>
    <w:p>
      <w:pPr>
        <w:spacing w:after="0" w:line="17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information required by this Item regarding security ownership of certain beneficial owners and management is incorporated by reference to our Proxy Statement to be filed with the SEC within 120 days after the end of the Company’s fiscal year ended December 31, 2023.</w:t>
      </w:r>
    </w:p>
    <w:p>
      <w:pPr>
        <w:spacing w:after="0" w:line="12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Information relating to securities authorized for issuance under the Company’s equity compensation plans is included in Part II of this Annual Report on Form 10-K under “Item 5. Market for Registrant’s Common Equity, Related Shareholder Matters and Issuer Purchases of Equity Securities.”</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13. CERTAIN RELATIONSHIPS AND RELATED TRANSACTIONS, AND DIRECTOR INDEPENDENCE</w:t>
      </w:r>
    </w:p>
    <w:p>
      <w:pPr>
        <w:spacing w:after="0" w:line="17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information required by this Item is incorporated herein by reference to our Proxy Statement to be filed with the SEC within 120 days after the end of the Company’s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210820</wp:posOffset>
            </wp:positionV>
            <wp:extent cx="718693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b w:val="1"/>
          <w:bCs w:val="1"/>
          <w:u w:val="single" w:color="auto"/>
          <w:color w:val="auto"/>
        </w:rPr>
        <w:t>ITEM 14. PRINCIPAL ACCOUNTANT FEES AND SERVICES</w:t>
      </w:r>
    </w:p>
    <w:p>
      <w:pPr>
        <w:spacing w:after="0" w:line="179"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The information required by this Item is incorporated herein by reference to our Proxy Statement to be filed with the SEC within 120 days after the end of the Company’s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w:t>
      </w:r>
    </w:p>
    <w:p>
      <w:pPr>
        <w:spacing w:after="0" w:line="179" w:lineRule="exact"/>
        <w:rPr>
          <w:sz w:val="20"/>
          <w:szCs w:val="20"/>
          <w:color w:val="auto"/>
        </w:rPr>
      </w:pPr>
    </w:p>
    <w:p>
      <w:pPr>
        <w:ind w:left="160" w:right="5300" w:firstLine="354"/>
        <w:spacing w:after="0" w:line="506" w:lineRule="auto"/>
        <w:tabs>
          <w:tab w:leader="none" w:pos="724" w:val="left"/>
        </w:tabs>
        <w:numPr>
          <w:ilvl w:val="1"/>
          <w:numId w:val="25"/>
        </w:numPr>
        <w:rPr>
          <w:rFonts w:ascii="Arial" w:cs="Arial" w:eastAsia="Arial" w:hAnsi="Arial"/>
          <w:sz w:val="14"/>
          <w:szCs w:val="14"/>
          <w:color w:val="auto"/>
        </w:rPr>
      </w:pPr>
      <w:r>
        <w:rPr>
          <w:rFonts w:ascii="Arial" w:cs="Arial" w:eastAsia="Arial" w:hAnsi="Arial"/>
          <w:sz w:val="14"/>
          <w:szCs w:val="14"/>
          <w:color w:val="auto"/>
        </w:rPr>
        <w:t>The following financial statements are incorporated by reference from Item 8 hereof: Report of Independent Registered Public Accounting Firm. PCAOB ID (149)</w:t>
      </w:r>
    </w:p>
    <w:p>
      <w:pPr>
        <w:ind w:left="160"/>
        <w:spacing w:after="0"/>
        <w:rPr>
          <w:rFonts w:ascii="Arial" w:cs="Arial" w:eastAsia="Arial" w:hAnsi="Arial"/>
          <w:sz w:val="14"/>
          <w:szCs w:val="14"/>
          <w:color w:val="auto"/>
        </w:rPr>
      </w:pPr>
      <w:r>
        <w:rPr>
          <w:rFonts w:ascii="Arial" w:cs="Arial" w:eastAsia="Arial" w:hAnsi="Arial"/>
          <w:sz w:val="14"/>
          <w:szCs w:val="14"/>
          <w:color w:val="auto"/>
        </w:rPr>
        <w:t>Consolidated Balance Sheets as of December 31, 2023 and 2022.</w:t>
      </w:r>
    </w:p>
    <w:p>
      <w:pPr>
        <w:spacing w:after="0" w:line="178" w:lineRule="exact"/>
        <w:rPr>
          <w:rFonts w:ascii="Arial" w:cs="Arial" w:eastAsia="Arial" w:hAnsi="Arial"/>
          <w:sz w:val="14"/>
          <w:szCs w:val="14"/>
          <w:color w:val="auto"/>
        </w:rPr>
      </w:pPr>
    </w:p>
    <w:p>
      <w:pPr>
        <w:ind w:left="160"/>
        <w:spacing w:after="0"/>
        <w:rPr>
          <w:rFonts w:ascii="Arial" w:cs="Arial" w:eastAsia="Arial" w:hAnsi="Arial"/>
          <w:sz w:val="14"/>
          <w:szCs w:val="14"/>
          <w:color w:val="auto"/>
        </w:rPr>
      </w:pPr>
      <w:r>
        <w:rPr>
          <w:rFonts w:ascii="Arial" w:cs="Arial" w:eastAsia="Arial" w:hAnsi="Arial"/>
          <w:sz w:val="14"/>
          <w:szCs w:val="14"/>
          <w:color w:val="auto"/>
        </w:rPr>
        <w:t>Consolidated Statements of Income for the Years Ended December 31, 2023 and 2022.</w:t>
      </w:r>
    </w:p>
    <w:p>
      <w:pPr>
        <w:spacing w:after="0" w:line="178" w:lineRule="exact"/>
        <w:rPr>
          <w:rFonts w:ascii="Arial" w:cs="Arial" w:eastAsia="Arial" w:hAnsi="Arial"/>
          <w:sz w:val="14"/>
          <w:szCs w:val="14"/>
          <w:color w:val="auto"/>
        </w:rPr>
      </w:pPr>
    </w:p>
    <w:p>
      <w:pPr>
        <w:ind w:left="520" w:right="3720"/>
        <w:spacing w:after="0" w:line="506" w:lineRule="auto"/>
        <w:rPr>
          <w:rFonts w:ascii="Arial" w:cs="Arial" w:eastAsia="Arial" w:hAnsi="Arial"/>
          <w:sz w:val="14"/>
          <w:szCs w:val="14"/>
          <w:color w:val="auto"/>
        </w:rPr>
      </w:pPr>
      <w:r>
        <w:rPr>
          <w:rFonts w:ascii="Arial" w:cs="Arial" w:eastAsia="Arial" w:hAnsi="Arial"/>
          <w:sz w:val="14"/>
          <w:szCs w:val="14"/>
          <w:color w:val="auto"/>
        </w:rPr>
        <w:t>Consolidated Statements of Comprehensive Income for the Years Ended December 31, 2023 and 2022. Consolidated Statements of Changes in Stockholders’ Equity for the Years Ended December 31, 2023 and 2022.</w:t>
      </w:r>
    </w:p>
    <w:p>
      <w:pPr>
        <w:ind w:left="160" w:right="5360"/>
        <w:spacing w:after="0" w:line="506" w:lineRule="auto"/>
        <w:rPr>
          <w:rFonts w:ascii="Arial" w:cs="Arial" w:eastAsia="Arial" w:hAnsi="Arial"/>
          <w:sz w:val="14"/>
          <w:szCs w:val="14"/>
          <w:color w:val="auto"/>
        </w:rPr>
      </w:pPr>
      <w:r>
        <w:rPr>
          <w:rFonts w:ascii="Arial" w:cs="Arial" w:eastAsia="Arial" w:hAnsi="Arial"/>
          <w:sz w:val="14"/>
          <w:szCs w:val="14"/>
          <w:color w:val="auto"/>
        </w:rPr>
        <w:t>Consolidated Statements of Cash Flows for the Years Ended December 31, 2023 and 2022. Notes to Consolidated Financial Statements.</w:t>
      </w:r>
    </w:p>
    <w:p>
      <w:pPr>
        <w:ind w:left="520" w:hanging="6"/>
        <w:spacing w:after="0" w:line="290" w:lineRule="auto"/>
        <w:tabs>
          <w:tab w:leader="none" w:pos="739" w:val="left"/>
        </w:tabs>
        <w:numPr>
          <w:ilvl w:val="1"/>
          <w:numId w:val="25"/>
        </w:numPr>
        <w:rPr>
          <w:rFonts w:ascii="Arial" w:cs="Arial" w:eastAsia="Arial" w:hAnsi="Arial"/>
          <w:sz w:val="14"/>
          <w:szCs w:val="14"/>
          <w:color w:val="auto"/>
        </w:rPr>
      </w:pPr>
      <w:r>
        <w:rPr>
          <w:rFonts w:ascii="Arial" w:cs="Arial" w:eastAsia="Arial" w:hAnsi="Arial"/>
          <w:sz w:val="14"/>
          <w:szCs w:val="14"/>
          <w:color w:val="auto"/>
        </w:rPr>
        <w:t>All schedules for which provision is made in the applicable accounting regulation of the SEC are omitted because they are not applicable or the required information is included in the consolidated financial statements or related notes thereto.</w:t>
      </w:r>
    </w:p>
    <w:p>
      <w:pPr>
        <w:spacing w:after="0" w:line="120" w:lineRule="exact"/>
        <w:rPr>
          <w:rFonts w:ascii="Arial" w:cs="Arial" w:eastAsia="Arial" w:hAnsi="Arial"/>
          <w:sz w:val="14"/>
          <w:szCs w:val="14"/>
          <w:color w:val="auto"/>
        </w:rPr>
      </w:pPr>
    </w:p>
    <w:p>
      <w:pPr>
        <w:ind w:left="220" w:hanging="215"/>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following exhibits are filed with or incorporated by reference in this Annual Report on Form 10-K, and this list includes the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16. FORM 10-K SUMMARY</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b w:val="1"/>
          <w:bCs w:val="1"/>
          <w:color w:val="auto"/>
        </w:rPr>
        <w:t>INDEX TO EXHIBITS</w:t>
      </w:r>
    </w:p>
    <w:p>
      <w:pPr>
        <w:spacing w:after="0" w:line="219" w:lineRule="exact"/>
        <w:rPr>
          <w:sz w:val="20"/>
          <w:szCs w:val="20"/>
          <w:color w:val="auto"/>
        </w:rPr>
      </w:pPr>
    </w:p>
    <w:p>
      <w:pPr>
        <w:ind w:left="140"/>
        <w:spacing w:after="0"/>
        <w:tabs>
          <w:tab w:leader="none" w:pos="5900" w:val="left"/>
        </w:tabs>
        <w:rPr>
          <w:sz w:val="20"/>
          <w:szCs w:val="20"/>
          <w:color w:val="auto"/>
        </w:rPr>
      </w:pPr>
      <w:r>
        <w:rPr>
          <w:rFonts w:ascii="Arial" w:cs="Arial" w:eastAsia="Arial" w:hAnsi="Arial"/>
          <w:sz w:val="11"/>
          <w:szCs w:val="11"/>
          <w:b w:val="1"/>
          <w:bCs w:val="1"/>
          <w:color w:val="auto"/>
        </w:rPr>
        <w:t>Exhibit Number</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17780</wp:posOffset>
            </wp:positionV>
            <wp:extent cx="706755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067550" cy="6985"/>
                    </a:xfrm>
                    <a:prstGeom prst="rect">
                      <a:avLst/>
                    </a:prstGeom>
                    <a:noFill/>
                  </pic:spPr>
                </pic:pic>
              </a:graphicData>
            </a:graphic>
          </wp:anchor>
        </w:drawing>
      </w:r>
    </w:p>
    <w:p>
      <w:pPr>
        <w:spacing w:after="0" w:line="23" w:lineRule="exact"/>
        <w:rPr>
          <w:sz w:val="20"/>
          <w:szCs w:val="20"/>
          <w:color w:val="auto"/>
        </w:rPr>
      </w:pPr>
    </w:p>
    <w:p>
      <w:pPr>
        <w:ind w:left="820"/>
        <w:spacing w:after="0"/>
        <w:tabs>
          <w:tab w:leader="none" w:pos="1260" w:val="left"/>
        </w:tabs>
        <w:rPr>
          <w:rFonts w:ascii="Arial" w:cs="Arial" w:eastAsia="Arial" w:hAnsi="Arial"/>
          <w:sz w:val="11"/>
          <w:szCs w:val="11"/>
          <w:u w:val="single" w:color="auto"/>
          <w:color w:val="0000FF"/>
        </w:rPr>
      </w:pPr>
      <w:r>
        <w:rPr>
          <w:rFonts w:ascii="Arial" w:cs="Arial" w:eastAsia="Arial" w:hAnsi="Arial"/>
          <w:sz w:val="11"/>
          <w:szCs w:val="11"/>
          <w:color w:val="auto"/>
        </w:rPr>
        <w:t>3.1</w:t>
      </w:r>
      <w:r>
        <w:rPr>
          <w:sz w:val="20"/>
          <w:szCs w:val="20"/>
          <w:color w:val="auto"/>
        </w:rPr>
        <w:tab/>
      </w:r>
      <w:hyperlink r:id="rId241">
        <w:r>
          <w:rPr>
            <w:rFonts w:ascii="Arial" w:cs="Arial" w:eastAsia="Arial" w:hAnsi="Arial"/>
            <w:sz w:val="11"/>
            <w:szCs w:val="11"/>
            <w:u w:val="single" w:color="auto"/>
            <w:color w:val="0000FF"/>
          </w:rPr>
          <w:t>Amended and Restated Articles of Incorporation (incorporated by reference to Exhibit 3.1 to the Company’s Form 8-K filed on May 23, 2023)</w:t>
        </w:r>
      </w:hyperlink>
      <w:r>
        <w:rPr>
          <w:rFonts w:ascii="Arial" w:cs="Arial" w:eastAsia="Arial" w:hAnsi="Arial"/>
          <w:sz w:val="11"/>
          <w:szCs w:val="11"/>
          <w:color w:val="000000"/>
        </w:rPr>
        <w:t>`</w:t>
      </w:r>
    </w:p>
    <w:p>
      <w:pPr>
        <w:spacing w:after="0" w:line="33" w:lineRule="exact"/>
        <w:rPr>
          <w:sz w:val="20"/>
          <w:szCs w:val="20"/>
          <w:color w:val="auto"/>
        </w:rPr>
      </w:pPr>
    </w:p>
    <w:p>
      <w:pPr>
        <w:ind w:left="820"/>
        <w:spacing w:after="0"/>
        <w:tabs>
          <w:tab w:leader="none" w:pos="1260" w:val="left"/>
        </w:tabs>
        <w:rPr>
          <w:rFonts w:ascii="Arial" w:cs="Arial" w:eastAsia="Arial" w:hAnsi="Arial"/>
          <w:sz w:val="11"/>
          <w:szCs w:val="11"/>
          <w:u w:val="single" w:color="auto"/>
          <w:color w:val="0000FF"/>
        </w:rPr>
      </w:pPr>
      <w:r>
        <w:rPr>
          <w:rFonts w:ascii="Arial" w:cs="Arial" w:eastAsia="Arial" w:hAnsi="Arial"/>
          <w:sz w:val="11"/>
          <w:szCs w:val="11"/>
          <w:color w:val="auto"/>
        </w:rPr>
        <w:t>3.2</w:t>
      </w:r>
      <w:r>
        <w:rPr>
          <w:sz w:val="20"/>
          <w:szCs w:val="20"/>
          <w:color w:val="auto"/>
        </w:rPr>
        <w:tab/>
      </w:r>
      <w:hyperlink r:id="rId242">
        <w:r>
          <w:rPr>
            <w:rFonts w:ascii="Arial" w:cs="Arial" w:eastAsia="Arial" w:hAnsi="Arial"/>
            <w:sz w:val="11"/>
            <w:szCs w:val="11"/>
            <w:u w:val="single" w:color="auto"/>
            <w:color w:val="0000FF"/>
          </w:rPr>
          <w:t>Amended and Restated Bylaws (incorporated by reference to Exhibit 3.2 to the Company’s Form 8-K filed on May 23, 2023)</w:t>
        </w:r>
      </w:hyperlink>
    </w:p>
    <w:p>
      <w:pPr>
        <w:spacing w:after="0" w:line="33" w:lineRule="exact"/>
        <w:rPr>
          <w:sz w:val="20"/>
          <w:szCs w:val="20"/>
          <w:color w:val="auto"/>
        </w:rPr>
      </w:pPr>
    </w:p>
    <w:p>
      <w:pPr>
        <w:ind w:left="820"/>
        <w:spacing w:after="0"/>
        <w:tabs>
          <w:tab w:leader="none" w:pos="1260" w:val="left"/>
        </w:tabs>
        <w:rPr>
          <w:rFonts w:ascii="Arial" w:cs="Arial" w:eastAsia="Arial" w:hAnsi="Arial"/>
          <w:sz w:val="11"/>
          <w:szCs w:val="11"/>
          <w:u w:val="single" w:color="auto"/>
          <w:color w:val="0000FF"/>
        </w:rPr>
      </w:pPr>
      <w:r>
        <w:rPr>
          <w:rFonts w:ascii="Arial" w:cs="Arial" w:eastAsia="Arial" w:hAnsi="Arial"/>
          <w:sz w:val="11"/>
          <w:szCs w:val="11"/>
          <w:color w:val="auto"/>
        </w:rPr>
        <w:t>4.1</w:t>
      </w:r>
      <w:r>
        <w:rPr>
          <w:sz w:val="20"/>
          <w:szCs w:val="20"/>
          <w:color w:val="auto"/>
        </w:rPr>
        <w:tab/>
      </w:r>
      <w:hyperlink r:id="rId243">
        <w:r>
          <w:rPr>
            <w:rFonts w:ascii="Arial" w:cs="Arial" w:eastAsia="Arial" w:hAnsi="Arial"/>
            <w:sz w:val="11"/>
            <w:szCs w:val="11"/>
            <w:u w:val="single" w:color="auto"/>
            <w:color w:val="0000FF"/>
          </w:rPr>
          <w:t>Specimen Common Stock Certificate (incorporated by reference to Exhibit 4.1 to the Company’s Form S-1/A filed on September 17, 2018)</w:t>
        </w:r>
      </w:hyperlink>
    </w:p>
    <w:p>
      <w:pPr>
        <w:spacing w:after="0" w:line="33" w:lineRule="exact"/>
        <w:rPr>
          <w:sz w:val="20"/>
          <w:szCs w:val="20"/>
          <w:color w:val="auto"/>
        </w:rPr>
      </w:pPr>
    </w:p>
    <w:p>
      <w:pPr>
        <w:ind w:left="820"/>
        <w:spacing w:after="0"/>
        <w:tabs>
          <w:tab w:leader="none" w:pos="1260" w:val="left"/>
        </w:tabs>
        <w:rPr>
          <w:rFonts w:ascii="Arial" w:cs="Arial" w:eastAsia="Arial" w:hAnsi="Arial"/>
          <w:sz w:val="11"/>
          <w:szCs w:val="11"/>
          <w:u w:val="single" w:color="auto"/>
          <w:color w:val="0000FF"/>
        </w:rPr>
      </w:pPr>
      <w:r>
        <w:rPr>
          <w:rFonts w:ascii="Arial" w:cs="Arial" w:eastAsia="Arial" w:hAnsi="Arial"/>
          <w:sz w:val="11"/>
          <w:szCs w:val="11"/>
          <w:color w:val="auto"/>
        </w:rPr>
        <w:t>4.2</w:t>
      </w:r>
      <w:r>
        <w:rPr>
          <w:sz w:val="20"/>
          <w:szCs w:val="20"/>
          <w:color w:val="auto"/>
        </w:rPr>
        <w:tab/>
      </w:r>
      <w:hyperlink r:id="rId244">
        <w:r>
          <w:rPr>
            <w:rFonts w:ascii="Arial" w:cs="Arial" w:eastAsia="Arial" w:hAnsi="Arial"/>
            <w:sz w:val="11"/>
            <w:szCs w:val="11"/>
            <w:u w:val="single" w:color="auto"/>
            <w:color w:val="0000FF"/>
          </w:rPr>
          <w:t>Description of Registrant’s Securities (incorporated by reference to Exhibit 4.2 to the Company’s Form 10-K filed March 16, 2020)</w:t>
        </w:r>
      </w:hyperlink>
    </w:p>
    <w:p>
      <w:pPr>
        <w:spacing w:after="0" w:line="33" w:lineRule="exact"/>
        <w:rPr>
          <w:sz w:val="20"/>
          <w:szCs w:val="20"/>
          <w:color w:val="auto"/>
        </w:rPr>
      </w:pPr>
    </w:p>
    <w:p>
      <w:pPr>
        <w:ind w:left="820"/>
        <w:spacing w:after="0"/>
        <w:tabs>
          <w:tab w:leader="none" w:pos="1260" w:val="left"/>
        </w:tabs>
        <w:rPr>
          <w:sz w:val="20"/>
          <w:szCs w:val="20"/>
          <w:color w:val="auto"/>
        </w:rPr>
      </w:pPr>
      <w:r>
        <w:rPr>
          <w:rFonts w:ascii="Arial" w:cs="Arial" w:eastAsia="Arial" w:hAnsi="Arial"/>
          <w:sz w:val="11"/>
          <w:szCs w:val="11"/>
          <w:color w:val="auto"/>
        </w:rPr>
        <w:t>4.3</w:t>
      </w:r>
      <w:r>
        <w:rPr>
          <w:sz w:val="20"/>
          <w:szCs w:val="20"/>
          <w:color w:val="auto"/>
        </w:rPr>
        <w:tab/>
      </w:r>
      <w:r>
        <w:rPr>
          <w:rFonts w:ascii="Arial" w:cs="Arial" w:eastAsia="Arial" w:hAnsi="Arial"/>
          <w:sz w:val="11"/>
          <w:szCs w:val="11"/>
          <w:color w:val="auto"/>
        </w:rPr>
        <w:t>Long-term borrowing instruments are omitted pursuant to Item 601(b)(4)(iii) of Regulation S-K. The Company undertakes to furnish copies of such instruments to the SEC upon request.</w:t>
      </w:r>
    </w:p>
    <w:p>
      <w:pPr>
        <w:spacing w:after="0" w:line="33" w:lineRule="exact"/>
        <w:rPr>
          <w:sz w:val="20"/>
          <w:szCs w:val="20"/>
          <w:color w:val="auto"/>
        </w:rPr>
      </w:pPr>
    </w:p>
    <w:p>
      <w:pPr>
        <w:ind w:left="760"/>
        <w:spacing w:after="0"/>
        <w:tabs>
          <w:tab w:leader="none" w:pos="1260" w:val="left"/>
        </w:tabs>
        <w:rPr>
          <w:rFonts w:ascii="Arial" w:cs="Arial" w:eastAsia="Arial" w:hAnsi="Arial"/>
          <w:sz w:val="11"/>
          <w:szCs w:val="11"/>
          <w:u w:val="single" w:color="auto"/>
          <w:color w:val="0000FF"/>
        </w:rPr>
      </w:pPr>
      <w:r>
        <w:rPr>
          <w:rFonts w:ascii="Arial" w:cs="Arial" w:eastAsia="Arial" w:hAnsi="Arial"/>
          <w:sz w:val="11"/>
          <w:szCs w:val="11"/>
          <w:color w:val="auto"/>
        </w:rPr>
        <w:t>10.1</w:t>
      </w:r>
      <w:r>
        <w:rPr>
          <w:sz w:val="20"/>
          <w:szCs w:val="20"/>
          <w:color w:val="auto"/>
        </w:rPr>
        <w:tab/>
      </w:r>
      <w:hyperlink r:id="rId245">
        <w:r>
          <w:rPr>
            <w:rFonts w:ascii="Arial" w:cs="Arial" w:eastAsia="Arial" w:hAnsi="Arial"/>
            <w:sz w:val="11"/>
            <w:szCs w:val="11"/>
            <w:u w:val="single" w:color="auto"/>
            <w:color w:val="0000FF"/>
          </w:rPr>
          <w:t>Capital Bancorp, Inc. 2017 Stock and Incentive Compensation Plan (incorporated by reference to Exhibit 10.1 to the Company’s Form S-1 filed on August 31, 2018)</w:t>
        </w:r>
      </w:hyperlink>
    </w:p>
    <w:p>
      <w:pPr>
        <w:spacing w:after="0" w:line="33" w:lineRule="exact"/>
        <w:rPr>
          <w:sz w:val="20"/>
          <w:szCs w:val="20"/>
          <w:color w:val="auto"/>
        </w:rPr>
      </w:pPr>
    </w:p>
    <w:p>
      <w:pPr>
        <w:ind w:left="1280" w:right="180" w:hanging="519"/>
        <w:spacing w:after="0" w:line="251" w:lineRule="auto"/>
        <w:tabs>
          <w:tab w:leader="none" w:pos="1260" w:val="left"/>
        </w:tabs>
        <w:rPr>
          <w:rFonts w:ascii="Arial" w:cs="Arial" w:eastAsia="Arial" w:hAnsi="Arial"/>
          <w:sz w:val="11"/>
          <w:szCs w:val="11"/>
          <w:u w:val="single" w:color="auto"/>
          <w:color w:val="0000FF"/>
        </w:rPr>
      </w:pPr>
      <w:r>
        <w:rPr>
          <w:rFonts w:ascii="Arial" w:cs="Arial" w:eastAsia="Arial" w:hAnsi="Arial"/>
          <w:sz w:val="11"/>
          <w:szCs w:val="11"/>
          <w:color w:val="auto"/>
        </w:rPr>
        <w:t>10.2</w:t>
      </w:r>
      <w:r>
        <w:rPr>
          <w:sz w:val="20"/>
          <w:szCs w:val="20"/>
          <w:color w:val="auto"/>
        </w:rPr>
        <w:tab/>
      </w:r>
      <w:hyperlink r:id="rId246">
        <w:r>
          <w:rPr>
            <w:rFonts w:ascii="Arial" w:cs="Arial" w:eastAsia="Arial" w:hAnsi="Arial"/>
            <w:sz w:val="11"/>
            <w:szCs w:val="11"/>
            <w:u w:val="single" w:color="auto"/>
            <w:color w:val="0000FF"/>
          </w:rPr>
          <w:t>Form of Restricted Stock Award Agreement under the Capital Bancorp, Inc. 2017 Stock and Incentive Compensation Plan (incorporated by reference to Exhibit 10.2 to the Company’s Form S-1/A</w:t>
        </w:r>
      </w:hyperlink>
      <w:r>
        <w:rPr>
          <w:rFonts w:ascii="Arial" w:cs="Arial" w:eastAsia="Arial" w:hAnsi="Arial"/>
          <w:sz w:val="11"/>
          <w:szCs w:val="11"/>
          <w:u w:val="single" w:color="auto"/>
          <w:color w:val="0000FF"/>
        </w:rPr>
        <w:t xml:space="preserve"> </w:t>
      </w:r>
      <w:hyperlink r:id="rId246">
        <w:r>
          <w:rPr>
            <w:rFonts w:ascii="Arial" w:cs="Arial" w:eastAsia="Arial" w:hAnsi="Arial"/>
            <w:sz w:val="11"/>
            <w:szCs w:val="11"/>
            <w:u w:val="single" w:color="auto"/>
            <w:color w:val="0000FF"/>
          </w:rPr>
          <w:t>filed on September 17, 2018)</w:t>
        </w:r>
      </w:hyperlink>
    </w:p>
    <w:p>
      <w:pPr>
        <w:spacing w:after="0" w:line="1" w:lineRule="exact"/>
        <w:rPr>
          <w:sz w:val="20"/>
          <w:szCs w:val="20"/>
          <w:color w:val="auto"/>
        </w:rPr>
      </w:pPr>
    </w:p>
    <w:p>
      <w:pPr>
        <w:ind w:left="1280" w:right="120" w:hanging="519"/>
        <w:spacing w:after="0" w:line="251" w:lineRule="auto"/>
        <w:tabs>
          <w:tab w:leader="none" w:pos="1260" w:val="left"/>
        </w:tabs>
        <w:rPr>
          <w:rFonts w:ascii="Arial" w:cs="Arial" w:eastAsia="Arial" w:hAnsi="Arial"/>
          <w:sz w:val="11"/>
          <w:szCs w:val="11"/>
          <w:u w:val="single" w:color="auto"/>
          <w:color w:val="0000FF"/>
        </w:rPr>
      </w:pPr>
      <w:r>
        <w:rPr>
          <w:rFonts w:ascii="Arial" w:cs="Arial" w:eastAsia="Arial" w:hAnsi="Arial"/>
          <w:sz w:val="11"/>
          <w:szCs w:val="11"/>
          <w:color w:val="auto"/>
        </w:rPr>
        <w:t>10.3</w:t>
      </w:r>
      <w:r>
        <w:rPr>
          <w:sz w:val="20"/>
          <w:szCs w:val="20"/>
          <w:color w:val="auto"/>
        </w:rPr>
        <w:tab/>
      </w:r>
      <w:hyperlink r:id="rId247">
        <w:r>
          <w:rPr>
            <w:rFonts w:ascii="Arial" w:cs="Arial" w:eastAsia="Arial" w:hAnsi="Arial"/>
            <w:sz w:val="11"/>
            <w:szCs w:val="11"/>
            <w:u w:val="single" w:color="auto"/>
            <w:color w:val="0000FF"/>
          </w:rPr>
          <w:t>Form of Restricted Stock Unit Award Agreement under the Capital Bancorp, Inc. 2017 Stock and Incentive Compensation Plan (incorporated by reference to Exhibit 10.3 to the Company’s Form S-</w:t>
        </w:r>
      </w:hyperlink>
      <w:hyperlink r:id="rId247">
        <w:r>
          <w:rPr>
            <w:rFonts w:ascii="Arial" w:cs="Arial" w:eastAsia="Arial" w:hAnsi="Arial"/>
            <w:sz w:val="11"/>
            <w:szCs w:val="11"/>
            <w:u w:val="single" w:color="auto"/>
            <w:color w:val="0000FF"/>
          </w:rPr>
          <w:t>1/A filed on September 17, 2018)</w:t>
        </w:r>
      </w:hyperlink>
    </w:p>
    <w:p>
      <w:pPr>
        <w:spacing w:after="0" w:line="1" w:lineRule="exact"/>
        <w:rPr>
          <w:sz w:val="20"/>
          <w:szCs w:val="20"/>
          <w:color w:val="auto"/>
        </w:rPr>
      </w:pPr>
    </w:p>
    <w:p>
      <w:pPr>
        <w:ind w:left="1280" w:right="40" w:hanging="519"/>
        <w:spacing w:after="0" w:line="251" w:lineRule="auto"/>
        <w:tabs>
          <w:tab w:leader="none" w:pos="1260" w:val="left"/>
        </w:tabs>
        <w:rPr>
          <w:rFonts w:ascii="Arial" w:cs="Arial" w:eastAsia="Arial" w:hAnsi="Arial"/>
          <w:sz w:val="11"/>
          <w:szCs w:val="11"/>
          <w:u w:val="single" w:color="auto"/>
          <w:color w:val="0000FF"/>
        </w:rPr>
      </w:pPr>
      <w:r>
        <w:rPr>
          <w:rFonts w:ascii="Arial" w:cs="Arial" w:eastAsia="Arial" w:hAnsi="Arial"/>
          <w:sz w:val="11"/>
          <w:szCs w:val="11"/>
          <w:color w:val="auto"/>
        </w:rPr>
        <w:t>10.4</w:t>
      </w:r>
      <w:r>
        <w:rPr>
          <w:sz w:val="20"/>
          <w:szCs w:val="20"/>
          <w:color w:val="auto"/>
        </w:rPr>
        <w:tab/>
      </w:r>
      <w:hyperlink r:id="rId248">
        <w:r>
          <w:rPr>
            <w:rFonts w:ascii="Arial" w:cs="Arial" w:eastAsia="Arial" w:hAnsi="Arial"/>
            <w:sz w:val="11"/>
            <w:szCs w:val="11"/>
            <w:u w:val="single" w:color="auto"/>
            <w:color w:val="0000FF"/>
          </w:rPr>
          <w:t>Form of Incentive Stock Option Award Agreement under the Capital Bancorp, Inc. 2017 Stock and Incentive Compensation Plan (incorporated by reference to Exhibit 10.4 to the Company’s Form S-</w:t>
        </w:r>
      </w:hyperlink>
      <w:hyperlink r:id="rId248">
        <w:r>
          <w:rPr>
            <w:rFonts w:ascii="Arial" w:cs="Arial" w:eastAsia="Arial" w:hAnsi="Arial"/>
            <w:sz w:val="11"/>
            <w:szCs w:val="11"/>
            <w:u w:val="single" w:color="auto"/>
            <w:color w:val="0000FF"/>
          </w:rPr>
          <w:t>1/A filed on September 17, 2018)</w:t>
        </w:r>
      </w:hyperlink>
    </w:p>
    <w:p>
      <w:pPr>
        <w:spacing w:after="0" w:line="1" w:lineRule="exact"/>
        <w:rPr>
          <w:sz w:val="20"/>
          <w:szCs w:val="20"/>
          <w:color w:val="auto"/>
        </w:rPr>
      </w:pPr>
    </w:p>
    <w:p>
      <w:pPr>
        <w:ind w:left="1280" w:right="240" w:hanging="519"/>
        <w:spacing w:after="0" w:line="251" w:lineRule="auto"/>
        <w:tabs>
          <w:tab w:leader="none" w:pos="1260" w:val="left"/>
        </w:tabs>
        <w:rPr>
          <w:rFonts w:ascii="Arial" w:cs="Arial" w:eastAsia="Arial" w:hAnsi="Arial"/>
          <w:sz w:val="11"/>
          <w:szCs w:val="11"/>
          <w:u w:val="single" w:color="auto"/>
          <w:color w:val="0000FF"/>
        </w:rPr>
      </w:pPr>
      <w:r>
        <w:rPr>
          <w:rFonts w:ascii="Arial" w:cs="Arial" w:eastAsia="Arial" w:hAnsi="Arial"/>
          <w:sz w:val="11"/>
          <w:szCs w:val="11"/>
          <w:color w:val="auto"/>
        </w:rPr>
        <w:t>10.5</w:t>
      </w:r>
      <w:r>
        <w:rPr>
          <w:sz w:val="20"/>
          <w:szCs w:val="20"/>
          <w:color w:val="auto"/>
        </w:rPr>
        <w:tab/>
      </w:r>
      <w:hyperlink r:id="rId249">
        <w:r>
          <w:rPr>
            <w:rFonts w:ascii="Arial" w:cs="Arial" w:eastAsia="Arial" w:hAnsi="Arial"/>
            <w:sz w:val="11"/>
            <w:szCs w:val="11"/>
            <w:u w:val="single" w:color="auto"/>
            <w:color w:val="0000FF"/>
          </w:rPr>
          <w:t>Form of Non-Qualified Stock Option Award Agreement under the Capital Bancorp, Inc. 2017 Stock and Incentive Compensation Plan (incorporated by reference to Exhibit 10.5 to the Company’s</w:t>
        </w:r>
      </w:hyperlink>
      <w:r>
        <w:rPr>
          <w:rFonts w:ascii="Arial" w:cs="Arial" w:eastAsia="Arial" w:hAnsi="Arial"/>
          <w:sz w:val="11"/>
          <w:szCs w:val="11"/>
          <w:u w:val="single" w:color="auto"/>
          <w:color w:val="0000FF"/>
        </w:rPr>
        <w:t xml:space="preserve"> </w:t>
      </w:r>
      <w:hyperlink r:id="rId249">
        <w:r>
          <w:rPr>
            <w:rFonts w:ascii="Arial" w:cs="Arial" w:eastAsia="Arial" w:hAnsi="Arial"/>
            <w:sz w:val="11"/>
            <w:szCs w:val="11"/>
            <w:u w:val="single" w:color="auto"/>
            <w:color w:val="0000FF"/>
          </w:rPr>
          <w:t>Form S-1/A filed on September 17, 2018)</w:t>
        </w:r>
      </w:hyperlink>
    </w:p>
    <w:p>
      <w:pPr>
        <w:spacing w:after="0" w:line="1" w:lineRule="exact"/>
        <w:rPr>
          <w:sz w:val="20"/>
          <w:szCs w:val="20"/>
          <w:color w:val="auto"/>
        </w:rPr>
      </w:pPr>
    </w:p>
    <w:p>
      <w:pPr>
        <w:ind w:left="1280" w:right="80" w:hanging="519"/>
        <w:spacing w:after="0" w:line="251" w:lineRule="auto"/>
        <w:tabs>
          <w:tab w:leader="none" w:pos="1260" w:val="left"/>
        </w:tabs>
        <w:rPr>
          <w:rFonts w:ascii="Arial" w:cs="Arial" w:eastAsia="Arial" w:hAnsi="Arial"/>
          <w:sz w:val="11"/>
          <w:szCs w:val="11"/>
          <w:u w:val="single" w:color="auto"/>
          <w:color w:val="0000FF"/>
        </w:rPr>
      </w:pPr>
      <w:r>
        <w:rPr>
          <w:rFonts w:ascii="Arial" w:cs="Arial" w:eastAsia="Arial" w:hAnsi="Arial"/>
          <w:sz w:val="11"/>
          <w:szCs w:val="11"/>
          <w:color w:val="auto"/>
        </w:rPr>
        <w:t>10.6</w:t>
      </w:r>
      <w:r>
        <w:rPr>
          <w:sz w:val="20"/>
          <w:szCs w:val="20"/>
          <w:color w:val="auto"/>
        </w:rPr>
        <w:tab/>
      </w:r>
      <w:hyperlink r:id="rId250">
        <w:r>
          <w:rPr>
            <w:rFonts w:ascii="Arial" w:cs="Arial" w:eastAsia="Arial" w:hAnsi="Arial"/>
            <w:sz w:val="11"/>
            <w:szCs w:val="11"/>
            <w:u w:val="single" w:color="auto"/>
            <w:color w:val="0000FF"/>
          </w:rPr>
          <w:t>Form of Stock Appreciation Right Award Agreement under the Capital Bancorp, Inc. 2017 Stock and Incentive Compensation Plan (incorporated by reference to Exhibit 10.6 to the Company’s Form</w:t>
        </w:r>
      </w:hyperlink>
      <w:r>
        <w:rPr>
          <w:rFonts w:ascii="Arial" w:cs="Arial" w:eastAsia="Arial" w:hAnsi="Arial"/>
          <w:sz w:val="11"/>
          <w:szCs w:val="11"/>
          <w:u w:val="single" w:color="auto"/>
          <w:color w:val="0000FF"/>
        </w:rPr>
        <w:t xml:space="preserve"> </w:t>
      </w:r>
      <w:hyperlink r:id="rId250">
        <w:r>
          <w:rPr>
            <w:rFonts w:ascii="Arial" w:cs="Arial" w:eastAsia="Arial" w:hAnsi="Arial"/>
            <w:sz w:val="11"/>
            <w:szCs w:val="11"/>
            <w:u w:val="single" w:color="auto"/>
            <w:color w:val="0000FF"/>
          </w:rPr>
          <w:t>S-1/A filed on September 17, 2018)</w:t>
        </w:r>
      </w:hyperlink>
    </w:p>
    <w:p>
      <w:pPr>
        <w:spacing w:after="0" w:line="1" w:lineRule="exact"/>
        <w:rPr>
          <w:sz w:val="20"/>
          <w:szCs w:val="20"/>
          <w:color w:val="auto"/>
        </w:rPr>
      </w:pPr>
    </w:p>
    <w:p>
      <w:pPr>
        <w:ind w:left="760"/>
        <w:spacing w:after="0"/>
        <w:tabs>
          <w:tab w:leader="none" w:pos="1260" w:val="left"/>
        </w:tabs>
        <w:rPr>
          <w:sz w:val="20"/>
          <w:szCs w:val="20"/>
          <w:color w:val="auto"/>
        </w:rPr>
      </w:pPr>
      <w:r>
        <w:rPr>
          <w:rFonts w:ascii="Arial" w:cs="Arial" w:eastAsia="Arial" w:hAnsi="Arial"/>
          <w:sz w:val="11"/>
          <w:szCs w:val="11"/>
          <w:color w:val="auto"/>
        </w:rPr>
        <w:t>10.7</w:t>
      </w:r>
      <w:r>
        <w:rPr>
          <w:sz w:val="20"/>
          <w:szCs w:val="20"/>
          <w:color w:val="auto"/>
        </w:rPr>
        <w:tab/>
      </w:r>
      <w:r>
        <w:rPr>
          <w:rFonts w:ascii="Arial" w:cs="Arial" w:eastAsia="Arial" w:hAnsi="Arial"/>
          <w:sz w:val="11"/>
          <w:szCs w:val="11"/>
          <w:u w:val="single" w:color="auto"/>
          <w:color w:val="0000FF"/>
        </w:rPr>
        <w:t>Form of 2017 Stock and Incentive Plan Incentive Stock Option Award Agreement for Executive Officers</w:t>
      </w:r>
    </w:p>
    <w:p>
      <w:pPr>
        <w:spacing w:after="0" w:line="33" w:lineRule="exact"/>
        <w:rPr>
          <w:sz w:val="20"/>
          <w:szCs w:val="20"/>
          <w:color w:val="auto"/>
        </w:rPr>
      </w:pPr>
    </w:p>
    <w:p>
      <w:pPr>
        <w:ind w:left="760"/>
        <w:spacing w:after="0"/>
        <w:tabs>
          <w:tab w:leader="none" w:pos="1260" w:val="left"/>
        </w:tabs>
        <w:rPr>
          <w:sz w:val="20"/>
          <w:szCs w:val="20"/>
          <w:color w:val="auto"/>
        </w:rPr>
      </w:pPr>
      <w:r>
        <w:rPr>
          <w:rFonts w:ascii="Arial" w:cs="Arial" w:eastAsia="Arial" w:hAnsi="Arial"/>
          <w:sz w:val="11"/>
          <w:szCs w:val="11"/>
          <w:color w:val="auto"/>
        </w:rPr>
        <w:t>10.8</w:t>
      </w:r>
      <w:r>
        <w:rPr>
          <w:sz w:val="20"/>
          <w:szCs w:val="20"/>
          <w:color w:val="auto"/>
        </w:rPr>
        <w:tab/>
      </w:r>
      <w:r>
        <w:rPr>
          <w:rFonts w:ascii="Arial" w:cs="Arial" w:eastAsia="Arial" w:hAnsi="Arial"/>
          <w:sz w:val="11"/>
          <w:szCs w:val="11"/>
          <w:u w:val="single" w:color="auto"/>
          <w:color w:val="0000FF"/>
        </w:rPr>
        <w:t>Form of 2017 Stock and Incentive Compensation Plan Restricted Stock Unit Award Agreement for Executive Officers</w:t>
      </w:r>
    </w:p>
    <w:p>
      <w:pPr>
        <w:spacing w:after="0" w:line="33" w:lineRule="exact"/>
        <w:rPr>
          <w:sz w:val="20"/>
          <w:szCs w:val="20"/>
          <w:color w:val="auto"/>
        </w:rPr>
      </w:pPr>
    </w:p>
    <w:p>
      <w:pPr>
        <w:ind w:left="760"/>
        <w:spacing w:after="0"/>
        <w:tabs>
          <w:tab w:leader="none" w:pos="1260" w:val="left"/>
        </w:tabs>
        <w:rPr>
          <w:rFonts w:ascii="Arial" w:cs="Arial" w:eastAsia="Arial" w:hAnsi="Arial"/>
          <w:sz w:val="11"/>
          <w:szCs w:val="11"/>
          <w:u w:val="single" w:color="auto"/>
          <w:color w:val="0000FF"/>
        </w:rPr>
      </w:pPr>
      <w:r>
        <w:rPr>
          <w:rFonts w:ascii="Arial" w:cs="Arial" w:eastAsia="Arial" w:hAnsi="Arial"/>
          <w:sz w:val="11"/>
          <w:szCs w:val="11"/>
          <w:color w:val="auto"/>
        </w:rPr>
        <w:t>10.9</w:t>
      </w:r>
      <w:r>
        <w:rPr>
          <w:sz w:val="20"/>
          <w:szCs w:val="20"/>
          <w:color w:val="auto"/>
        </w:rPr>
        <w:tab/>
      </w:r>
      <w:hyperlink r:id="rId251">
        <w:r>
          <w:rPr>
            <w:rFonts w:ascii="Arial" w:cs="Arial" w:eastAsia="Arial" w:hAnsi="Arial"/>
            <w:sz w:val="11"/>
            <w:szCs w:val="11"/>
            <w:u w:val="single" w:color="auto"/>
            <w:color w:val="0000FF"/>
          </w:rPr>
          <w:t>Employment Agreement dated January 1, 2022 between Capital Bank, N.A. and Scot R. Browning (incorporated by reference to Exhibit 10.1 to the Company’s Form 8-K filed on January 6. 2022)</w:t>
        </w:r>
      </w:hyperlink>
    </w:p>
    <w:p>
      <w:pPr>
        <w:spacing w:after="0" w:line="33" w:lineRule="exact"/>
        <w:rPr>
          <w:sz w:val="20"/>
          <w:szCs w:val="20"/>
          <w:color w:val="auto"/>
        </w:rPr>
      </w:pPr>
    </w:p>
    <w:p>
      <w:pPr>
        <w:ind w:left="680"/>
        <w:spacing w:after="0"/>
        <w:tabs>
          <w:tab w:leader="none" w:pos="1260" w:val="left"/>
        </w:tabs>
        <w:rPr>
          <w:sz w:val="20"/>
          <w:szCs w:val="20"/>
          <w:color w:val="auto"/>
        </w:rPr>
      </w:pPr>
      <w:r>
        <w:rPr>
          <w:rFonts w:ascii="Arial" w:cs="Arial" w:eastAsia="Arial" w:hAnsi="Arial"/>
          <w:sz w:val="11"/>
          <w:szCs w:val="11"/>
          <w:color w:val="auto"/>
        </w:rPr>
        <w:t>10.10</w:t>
      </w:r>
      <w:r>
        <w:rPr>
          <w:sz w:val="20"/>
          <w:szCs w:val="20"/>
          <w:color w:val="auto"/>
        </w:rPr>
        <w:tab/>
      </w:r>
      <w:r>
        <w:rPr>
          <w:rFonts w:ascii="Arial" w:cs="Arial" w:eastAsia="Arial" w:hAnsi="Arial"/>
          <w:sz w:val="11"/>
          <w:szCs w:val="11"/>
          <w:u w:val="single" w:color="auto"/>
          <w:color w:val="0000FF"/>
        </w:rPr>
        <w:t>Amendment to Employment Agreement, dated April 13, 2023, between Capital Bank, N.A. and Scot R. Browning</w:t>
      </w:r>
    </w:p>
    <w:p>
      <w:pPr>
        <w:spacing w:after="0" w:line="33" w:lineRule="exact"/>
        <w:rPr>
          <w:sz w:val="20"/>
          <w:szCs w:val="20"/>
          <w:color w:val="auto"/>
        </w:rPr>
      </w:pPr>
    </w:p>
    <w:p>
      <w:pPr>
        <w:ind w:left="1280" w:right="100" w:hanging="574"/>
        <w:spacing w:after="0" w:line="251" w:lineRule="auto"/>
        <w:tabs>
          <w:tab w:leader="none" w:pos="1260" w:val="left"/>
        </w:tabs>
        <w:rPr>
          <w:rFonts w:ascii="Arial" w:cs="Arial" w:eastAsia="Arial" w:hAnsi="Arial"/>
          <w:sz w:val="11"/>
          <w:szCs w:val="11"/>
          <w:u w:val="single" w:color="auto"/>
          <w:color w:val="0000FF"/>
        </w:rPr>
      </w:pPr>
      <w:r>
        <w:rPr>
          <w:rFonts w:ascii="Arial" w:cs="Arial" w:eastAsia="Arial" w:hAnsi="Arial"/>
          <w:sz w:val="11"/>
          <w:szCs w:val="11"/>
          <w:color w:val="auto"/>
        </w:rPr>
        <w:t>10.11</w:t>
      </w:r>
      <w:r>
        <w:rPr>
          <w:sz w:val="20"/>
          <w:szCs w:val="20"/>
          <w:color w:val="auto"/>
        </w:rPr>
        <w:tab/>
      </w:r>
      <w:hyperlink r:id="rId252">
        <w:r>
          <w:rPr>
            <w:rFonts w:ascii="Arial" w:cs="Arial" w:eastAsia="Arial" w:hAnsi="Arial"/>
            <w:sz w:val="11"/>
            <w:szCs w:val="11"/>
            <w:u w:val="single" w:color="auto"/>
            <w:color w:val="0000FF"/>
          </w:rPr>
          <w:t>Employment Contract, dated April 30, 2018, by and among Capital Bank, N.A. and Karl F. Dicker (incorporated by reference to Exhibit 10.1 to the Company’s Quarterly Report on Form 10-Q for the</w:t>
        </w:r>
      </w:hyperlink>
      <w:r>
        <w:rPr>
          <w:rFonts w:ascii="Arial" w:cs="Arial" w:eastAsia="Arial" w:hAnsi="Arial"/>
          <w:sz w:val="11"/>
          <w:szCs w:val="11"/>
          <w:u w:val="single" w:color="auto"/>
          <w:color w:val="0000FF"/>
        </w:rPr>
        <w:t xml:space="preserve"> </w:t>
      </w:r>
      <w:hyperlink r:id="rId252">
        <w:r>
          <w:rPr>
            <w:rFonts w:ascii="Arial" w:cs="Arial" w:eastAsia="Arial" w:hAnsi="Arial"/>
            <w:sz w:val="11"/>
            <w:szCs w:val="11"/>
            <w:u w:val="single" w:color="auto"/>
            <w:color w:val="0000FF"/>
          </w:rPr>
          <w:t>period ended March 31, 2020, filed on May 11, 2020)</w:t>
        </w:r>
      </w:hyperlink>
    </w:p>
    <w:p>
      <w:pPr>
        <w:spacing w:after="0" w:line="1" w:lineRule="exact"/>
        <w:rPr>
          <w:sz w:val="20"/>
          <w:szCs w:val="20"/>
          <w:color w:val="auto"/>
        </w:rPr>
      </w:pPr>
    </w:p>
    <w:p>
      <w:pPr>
        <w:ind w:left="680"/>
        <w:spacing w:after="0"/>
        <w:tabs>
          <w:tab w:leader="none" w:pos="1260" w:val="left"/>
        </w:tabs>
        <w:rPr>
          <w:sz w:val="20"/>
          <w:szCs w:val="20"/>
          <w:color w:val="auto"/>
        </w:rPr>
      </w:pPr>
      <w:r>
        <w:rPr>
          <w:rFonts w:ascii="Arial" w:cs="Arial" w:eastAsia="Arial" w:hAnsi="Arial"/>
          <w:sz w:val="11"/>
          <w:szCs w:val="11"/>
          <w:color w:val="auto"/>
        </w:rPr>
        <w:t>10.12</w:t>
      </w:r>
      <w:r>
        <w:rPr>
          <w:sz w:val="20"/>
          <w:szCs w:val="20"/>
          <w:color w:val="auto"/>
        </w:rPr>
        <w:tab/>
      </w:r>
      <w:r>
        <w:rPr>
          <w:rFonts w:ascii="Arial" w:cs="Arial" w:eastAsia="Arial" w:hAnsi="Arial"/>
          <w:sz w:val="11"/>
          <w:szCs w:val="11"/>
          <w:u w:val="single" w:color="auto"/>
          <w:color w:val="0000FF"/>
        </w:rPr>
        <w:t>Nonqualified Deferred Compensation Plan dated January 1, 2021</w:t>
      </w:r>
    </w:p>
    <w:p>
      <w:pPr>
        <w:spacing w:after="0" w:line="33" w:lineRule="exact"/>
        <w:rPr>
          <w:sz w:val="20"/>
          <w:szCs w:val="20"/>
          <w:color w:val="auto"/>
        </w:rPr>
      </w:pPr>
    </w:p>
    <w:p>
      <w:pPr>
        <w:ind w:left="680"/>
        <w:spacing w:after="0"/>
        <w:tabs>
          <w:tab w:leader="none" w:pos="1260" w:val="left"/>
        </w:tabs>
        <w:rPr>
          <w:rFonts w:ascii="Arial" w:cs="Arial" w:eastAsia="Arial" w:hAnsi="Arial"/>
          <w:sz w:val="11"/>
          <w:szCs w:val="11"/>
          <w:u w:val="single" w:color="auto"/>
          <w:color w:val="0000FF"/>
        </w:rPr>
      </w:pPr>
      <w:r>
        <w:rPr>
          <w:rFonts w:ascii="Arial" w:cs="Arial" w:eastAsia="Arial" w:hAnsi="Arial"/>
          <w:sz w:val="11"/>
          <w:szCs w:val="11"/>
          <w:color w:val="auto"/>
        </w:rPr>
        <w:t>10.13</w:t>
      </w:r>
      <w:r>
        <w:rPr>
          <w:sz w:val="20"/>
          <w:szCs w:val="20"/>
          <w:color w:val="auto"/>
        </w:rPr>
        <w:tab/>
      </w:r>
      <w:hyperlink r:id="rId253">
        <w:r>
          <w:rPr>
            <w:rFonts w:ascii="Arial" w:cs="Arial" w:eastAsia="Arial" w:hAnsi="Arial"/>
            <w:sz w:val="11"/>
            <w:szCs w:val="11"/>
            <w:u w:val="single" w:color="auto"/>
            <w:color w:val="0000FF"/>
          </w:rPr>
          <w:t>Employment Agreement, effective June 29, 2022 between Capital Bank, N.A. and Edward F. Barry (incorporated by reference to Exhibit 10.1 to the Company’s Form 8-K filed on July 1, 2022</w:t>
        </w:r>
      </w:hyperlink>
      <w:r>
        <w:rPr>
          <w:rFonts w:ascii="Arial" w:cs="Arial" w:eastAsia="Arial" w:hAnsi="Arial"/>
          <w:sz w:val="11"/>
          <w:szCs w:val="11"/>
          <w:color w:val="000000"/>
        </w:rPr>
        <w:t>)</w:t>
      </w:r>
    </w:p>
    <w:p>
      <w:pPr>
        <w:spacing w:after="0" w:line="33" w:lineRule="exact"/>
        <w:rPr>
          <w:sz w:val="20"/>
          <w:szCs w:val="20"/>
          <w:color w:val="auto"/>
        </w:rPr>
      </w:pPr>
    </w:p>
    <w:p>
      <w:pPr>
        <w:ind w:left="680"/>
        <w:spacing w:after="0"/>
        <w:tabs>
          <w:tab w:leader="none" w:pos="1260" w:val="left"/>
        </w:tabs>
        <w:rPr>
          <w:rFonts w:ascii="Arial" w:cs="Arial" w:eastAsia="Arial" w:hAnsi="Arial"/>
          <w:sz w:val="11"/>
          <w:szCs w:val="11"/>
          <w:u w:val="single" w:color="auto"/>
          <w:color w:val="0000FF"/>
        </w:rPr>
      </w:pPr>
      <w:r>
        <w:rPr>
          <w:rFonts w:ascii="Arial" w:cs="Arial" w:eastAsia="Arial" w:hAnsi="Arial"/>
          <w:sz w:val="11"/>
          <w:szCs w:val="11"/>
          <w:color w:val="auto"/>
        </w:rPr>
        <w:t>10.14</w:t>
      </w:r>
      <w:r>
        <w:rPr>
          <w:sz w:val="20"/>
          <w:szCs w:val="20"/>
          <w:color w:val="auto"/>
        </w:rPr>
        <w:tab/>
      </w:r>
      <w:hyperlink r:id="rId254">
        <w:r>
          <w:rPr>
            <w:rFonts w:ascii="Arial" w:cs="Arial" w:eastAsia="Arial" w:hAnsi="Arial"/>
            <w:sz w:val="11"/>
            <w:szCs w:val="11"/>
            <w:u w:val="single" w:color="auto"/>
            <w:color w:val="0000FF"/>
          </w:rPr>
          <w:t>Employment Agreement, effective October 11, 2022 between Capital Bank, N.A. and Steven Poynot (incorporated by reference to Exhibit 10.1 to the Company’s Form 8-K filed on October 11, 2022</w:t>
        </w:r>
      </w:hyperlink>
      <w:r>
        <w:rPr>
          <w:rFonts w:ascii="Arial" w:cs="Arial" w:eastAsia="Arial" w:hAnsi="Arial"/>
          <w:sz w:val="11"/>
          <w:szCs w:val="11"/>
          <w:color w:val="000000"/>
        </w:rPr>
        <w:t>)</w:t>
      </w:r>
    </w:p>
    <w:p>
      <w:pPr>
        <w:spacing w:after="0" w:line="33" w:lineRule="exact"/>
        <w:rPr>
          <w:sz w:val="20"/>
          <w:szCs w:val="20"/>
          <w:color w:val="auto"/>
        </w:rPr>
      </w:pPr>
    </w:p>
    <w:p>
      <w:pPr>
        <w:ind w:left="680"/>
        <w:spacing w:after="0"/>
        <w:tabs>
          <w:tab w:leader="none" w:pos="1260" w:val="left"/>
        </w:tabs>
        <w:rPr>
          <w:sz w:val="20"/>
          <w:szCs w:val="20"/>
          <w:color w:val="auto"/>
        </w:rPr>
      </w:pPr>
      <w:r>
        <w:rPr>
          <w:rFonts w:ascii="Arial" w:cs="Arial" w:eastAsia="Arial" w:hAnsi="Arial"/>
          <w:sz w:val="11"/>
          <w:szCs w:val="11"/>
          <w:color w:val="auto"/>
        </w:rPr>
        <w:t>10.15</w:t>
      </w:r>
      <w:r>
        <w:rPr>
          <w:sz w:val="20"/>
          <w:szCs w:val="20"/>
          <w:color w:val="auto"/>
        </w:rPr>
        <w:tab/>
      </w:r>
      <w:r>
        <w:rPr>
          <w:rFonts w:ascii="Arial" w:cs="Arial" w:eastAsia="Arial" w:hAnsi="Arial"/>
          <w:sz w:val="11"/>
          <w:szCs w:val="11"/>
          <w:u w:val="single" w:color="auto"/>
          <w:color w:val="0000FF"/>
        </w:rPr>
        <w:t>Amendment to Employment Agreement, dated April 13, 2023, between Capital Bank, N.A. and Steven Poynot</w:t>
      </w:r>
    </w:p>
    <w:p>
      <w:pPr>
        <w:spacing w:after="0" w:line="33" w:lineRule="exact"/>
        <w:rPr>
          <w:sz w:val="20"/>
          <w:szCs w:val="20"/>
          <w:color w:val="auto"/>
        </w:rPr>
      </w:pPr>
    </w:p>
    <w:p>
      <w:pPr>
        <w:ind w:left="680"/>
        <w:spacing w:after="0"/>
        <w:tabs>
          <w:tab w:leader="none" w:pos="1260" w:val="left"/>
        </w:tabs>
        <w:rPr>
          <w:rFonts w:ascii="Arial" w:cs="Arial" w:eastAsia="Arial" w:hAnsi="Arial"/>
          <w:sz w:val="11"/>
          <w:szCs w:val="11"/>
          <w:u w:val="single" w:color="auto"/>
          <w:color w:val="0000FF"/>
        </w:rPr>
      </w:pPr>
      <w:r>
        <w:rPr>
          <w:rFonts w:ascii="Arial" w:cs="Arial" w:eastAsia="Arial" w:hAnsi="Arial"/>
          <w:sz w:val="11"/>
          <w:szCs w:val="11"/>
          <w:color w:val="auto"/>
        </w:rPr>
        <w:t>10.16</w:t>
      </w:r>
      <w:r>
        <w:rPr>
          <w:sz w:val="20"/>
          <w:szCs w:val="20"/>
          <w:color w:val="auto"/>
        </w:rPr>
        <w:tab/>
      </w:r>
      <w:hyperlink r:id="rId255">
        <w:r>
          <w:rPr>
            <w:rFonts w:ascii="Arial" w:cs="Arial" w:eastAsia="Arial" w:hAnsi="Arial"/>
            <w:sz w:val="11"/>
            <w:szCs w:val="11"/>
            <w:u w:val="single" w:color="auto"/>
            <w:color w:val="0000FF"/>
          </w:rPr>
          <w:t>Employment Agreement effective June 26, 2023 between Capital Bank, N.A. and Jennings "Jay" Walker (incorporated by reference to Exhibit 10.1 to the Company's Form 8-K filed on June 13, 2023</w:t>
        </w:r>
      </w:hyperlink>
      <w:r>
        <w:rPr>
          <w:rFonts w:ascii="Arial" w:cs="Arial" w:eastAsia="Arial" w:hAnsi="Arial"/>
          <w:sz w:val="11"/>
          <w:szCs w:val="11"/>
          <w:color w:val="000000"/>
        </w:rPr>
        <w:t>)</w:t>
      </w:r>
    </w:p>
    <w:p>
      <w:pPr>
        <w:spacing w:after="0" w:line="33" w:lineRule="exact"/>
        <w:rPr>
          <w:sz w:val="20"/>
          <w:szCs w:val="20"/>
          <w:color w:val="auto"/>
        </w:rPr>
      </w:pPr>
    </w:p>
    <w:p>
      <w:pPr>
        <w:ind w:left="680"/>
        <w:spacing w:after="0"/>
        <w:tabs>
          <w:tab w:leader="none" w:pos="1260" w:val="left"/>
        </w:tabs>
        <w:rPr>
          <w:rFonts w:ascii="Arial" w:cs="Arial" w:eastAsia="Arial" w:hAnsi="Arial"/>
          <w:sz w:val="11"/>
          <w:szCs w:val="11"/>
          <w:u w:val="single" w:color="auto"/>
          <w:color w:val="0000FF"/>
        </w:rPr>
      </w:pPr>
      <w:r>
        <w:rPr>
          <w:rFonts w:ascii="Arial" w:cs="Arial" w:eastAsia="Arial" w:hAnsi="Arial"/>
          <w:sz w:val="11"/>
          <w:szCs w:val="11"/>
          <w:color w:val="auto"/>
        </w:rPr>
        <w:t>10.17</w:t>
      </w:r>
      <w:r>
        <w:rPr>
          <w:sz w:val="20"/>
          <w:szCs w:val="20"/>
          <w:color w:val="auto"/>
        </w:rPr>
        <w:tab/>
      </w:r>
      <w:hyperlink r:id="rId245">
        <w:r>
          <w:rPr>
            <w:rFonts w:ascii="Arial" w:cs="Arial" w:eastAsia="Arial" w:hAnsi="Arial"/>
            <w:sz w:val="11"/>
            <w:szCs w:val="11"/>
            <w:u w:val="single" w:color="auto"/>
            <w:color w:val="0000FF"/>
          </w:rPr>
          <w:t>Capital Bancorp, Inc. Amended and Restated 2017 Stock and Incentive Compensation Plan (incorporated by reference to Exhibit 10.1 of the Company’s Form 8-K filed with the SEC on November</w:t>
        </w:r>
      </w:hyperlink>
    </w:p>
    <w:p>
      <w:pPr>
        <w:ind w:left="1280"/>
        <w:spacing w:after="0"/>
        <w:rPr>
          <w:rFonts w:ascii="Arial" w:cs="Arial" w:eastAsia="Arial" w:hAnsi="Arial"/>
          <w:sz w:val="11"/>
          <w:szCs w:val="11"/>
          <w:u w:val="single" w:color="auto"/>
          <w:color w:val="0000FF"/>
        </w:rPr>
      </w:pPr>
      <w:hyperlink r:id="rId245">
        <w:r>
          <w:rPr>
            <w:rFonts w:ascii="Arial" w:cs="Arial" w:eastAsia="Arial" w:hAnsi="Arial"/>
            <w:sz w:val="11"/>
            <w:szCs w:val="11"/>
            <w:u w:val="single" w:color="auto"/>
            <w:color w:val="0000FF"/>
          </w:rPr>
          <w:t>17, 2023)</w:t>
        </w:r>
      </w:hyperlink>
    </w:p>
    <w:p>
      <w:pPr>
        <w:spacing w:after="0" w:line="12" w:lineRule="exact"/>
        <w:rPr>
          <w:sz w:val="20"/>
          <w:szCs w:val="20"/>
          <w:color w:val="auto"/>
        </w:rPr>
      </w:pPr>
    </w:p>
    <w:p>
      <w:pPr>
        <w:ind w:left="760"/>
        <w:spacing w:after="0"/>
        <w:tabs>
          <w:tab w:leader="none" w:pos="1260" w:val="left"/>
        </w:tabs>
        <w:rPr>
          <w:sz w:val="20"/>
          <w:szCs w:val="20"/>
          <w:color w:val="auto"/>
        </w:rPr>
      </w:pPr>
      <w:r>
        <w:rPr>
          <w:rFonts w:ascii="Arial" w:cs="Arial" w:eastAsia="Arial" w:hAnsi="Arial"/>
          <w:sz w:val="11"/>
          <w:szCs w:val="11"/>
          <w:color w:val="auto"/>
        </w:rPr>
        <w:t>21.0</w:t>
      </w:r>
      <w:r>
        <w:rPr>
          <w:sz w:val="20"/>
          <w:szCs w:val="20"/>
          <w:color w:val="auto"/>
        </w:rPr>
        <w:tab/>
      </w:r>
      <w:r>
        <w:rPr>
          <w:rFonts w:ascii="Arial" w:cs="Arial" w:eastAsia="Arial" w:hAnsi="Arial"/>
          <w:sz w:val="11"/>
          <w:szCs w:val="11"/>
          <w:color w:val="auto"/>
        </w:rPr>
        <w:t>Subsidiaries of Capital Bancorp, Inc. (reference is made to “Item 1. Business” for the required information)</w:t>
      </w:r>
    </w:p>
    <w:p>
      <w:pPr>
        <w:spacing w:after="0" w:line="33" w:lineRule="exact"/>
        <w:rPr>
          <w:sz w:val="20"/>
          <w:szCs w:val="20"/>
          <w:color w:val="auto"/>
        </w:rPr>
      </w:pPr>
    </w:p>
    <w:p>
      <w:pPr>
        <w:ind w:left="760"/>
        <w:spacing w:after="0"/>
        <w:tabs>
          <w:tab w:leader="none" w:pos="1260" w:val="left"/>
        </w:tabs>
        <w:rPr>
          <w:sz w:val="20"/>
          <w:szCs w:val="20"/>
          <w:color w:val="auto"/>
        </w:rPr>
      </w:pPr>
      <w:r>
        <w:rPr>
          <w:rFonts w:ascii="Arial" w:cs="Arial" w:eastAsia="Arial" w:hAnsi="Arial"/>
          <w:sz w:val="11"/>
          <w:szCs w:val="11"/>
          <w:color w:val="auto"/>
        </w:rPr>
        <w:t>23.1</w:t>
      </w:r>
      <w:r>
        <w:rPr>
          <w:sz w:val="20"/>
          <w:szCs w:val="20"/>
          <w:color w:val="auto"/>
        </w:rPr>
        <w:tab/>
      </w:r>
      <w:r>
        <w:rPr>
          <w:rFonts w:ascii="Arial" w:cs="Arial" w:eastAsia="Arial" w:hAnsi="Arial"/>
          <w:sz w:val="11"/>
          <w:szCs w:val="11"/>
          <w:u w:val="single" w:color="auto"/>
          <w:color w:val="0000FF"/>
        </w:rPr>
        <w:t>Consent of Elliott Davis, PLLC</w:t>
      </w:r>
    </w:p>
    <w:p>
      <w:pPr>
        <w:spacing w:after="0" w:line="33" w:lineRule="exact"/>
        <w:rPr>
          <w:sz w:val="20"/>
          <w:szCs w:val="20"/>
          <w:color w:val="auto"/>
        </w:rPr>
      </w:pPr>
    </w:p>
    <w:p>
      <w:pPr>
        <w:ind w:left="760"/>
        <w:spacing w:after="0"/>
        <w:tabs>
          <w:tab w:leader="none" w:pos="1260" w:val="left"/>
        </w:tabs>
        <w:rPr>
          <w:sz w:val="20"/>
          <w:szCs w:val="20"/>
          <w:color w:val="auto"/>
        </w:rPr>
      </w:pPr>
      <w:r>
        <w:rPr>
          <w:rFonts w:ascii="Arial" w:cs="Arial" w:eastAsia="Arial" w:hAnsi="Arial"/>
          <w:sz w:val="11"/>
          <w:szCs w:val="11"/>
          <w:color w:val="auto"/>
        </w:rPr>
        <w:t>31.1</w:t>
      </w:r>
      <w:r>
        <w:rPr>
          <w:sz w:val="20"/>
          <w:szCs w:val="20"/>
          <w:color w:val="auto"/>
        </w:rPr>
        <w:tab/>
      </w:r>
      <w:r>
        <w:rPr>
          <w:rFonts w:ascii="Arial" w:cs="Arial" w:eastAsia="Arial" w:hAnsi="Arial"/>
          <w:sz w:val="11"/>
          <w:szCs w:val="11"/>
          <w:u w:val="single" w:color="auto"/>
          <w:color w:val="0000FF"/>
        </w:rPr>
        <w:t>Rule 13a-14(a) Certification of the Principal Executive Officer</w:t>
      </w:r>
    </w:p>
    <w:p>
      <w:pPr>
        <w:spacing w:after="0" w:line="33" w:lineRule="exact"/>
        <w:rPr>
          <w:sz w:val="20"/>
          <w:szCs w:val="20"/>
          <w:color w:val="auto"/>
        </w:rPr>
      </w:pPr>
    </w:p>
    <w:p>
      <w:pPr>
        <w:ind w:left="760"/>
        <w:spacing w:after="0"/>
        <w:tabs>
          <w:tab w:leader="none" w:pos="1260" w:val="left"/>
        </w:tabs>
        <w:rPr>
          <w:sz w:val="20"/>
          <w:szCs w:val="20"/>
          <w:color w:val="auto"/>
        </w:rPr>
      </w:pPr>
      <w:r>
        <w:rPr>
          <w:rFonts w:ascii="Arial" w:cs="Arial" w:eastAsia="Arial" w:hAnsi="Arial"/>
          <w:sz w:val="11"/>
          <w:szCs w:val="11"/>
          <w:color w:val="auto"/>
        </w:rPr>
        <w:t>31.2</w:t>
      </w:r>
      <w:r>
        <w:rPr>
          <w:sz w:val="20"/>
          <w:szCs w:val="20"/>
          <w:color w:val="auto"/>
        </w:rPr>
        <w:tab/>
      </w:r>
      <w:r>
        <w:rPr>
          <w:rFonts w:ascii="Arial" w:cs="Arial" w:eastAsia="Arial" w:hAnsi="Arial"/>
          <w:sz w:val="11"/>
          <w:szCs w:val="11"/>
          <w:u w:val="single" w:color="auto"/>
          <w:color w:val="0000FF"/>
        </w:rPr>
        <w:t>Rule 13a-14(a) Certification of the Principal Financial Officer</w:t>
      </w:r>
    </w:p>
    <w:p>
      <w:pPr>
        <w:spacing w:after="0" w:line="33" w:lineRule="exact"/>
        <w:rPr>
          <w:sz w:val="20"/>
          <w:szCs w:val="20"/>
          <w:color w:val="auto"/>
        </w:rPr>
      </w:pPr>
    </w:p>
    <w:p>
      <w:pPr>
        <w:ind w:left="760"/>
        <w:spacing w:after="0"/>
        <w:tabs>
          <w:tab w:leader="none" w:pos="1260" w:val="left"/>
        </w:tabs>
        <w:rPr>
          <w:sz w:val="20"/>
          <w:szCs w:val="20"/>
          <w:color w:val="auto"/>
        </w:rPr>
      </w:pPr>
      <w:r>
        <w:rPr>
          <w:rFonts w:ascii="Arial" w:cs="Arial" w:eastAsia="Arial" w:hAnsi="Arial"/>
          <w:sz w:val="11"/>
          <w:szCs w:val="11"/>
          <w:color w:val="auto"/>
        </w:rPr>
        <w:t>32.1</w:t>
      </w:r>
      <w:r>
        <w:rPr>
          <w:sz w:val="20"/>
          <w:szCs w:val="20"/>
          <w:color w:val="auto"/>
        </w:rPr>
        <w:tab/>
      </w:r>
      <w:r>
        <w:rPr>
          <w:rFonts w:ascii="Arial" w:cs="Arial" w:eastAsia="Arial" w:hAnsi="Arial"/>
          <w:sz w:val="11"/>
          <w:szCs w:val="11"/>
          <w:u w:val="single" w:color="auto"/>
          <w:color w:val="0000FF"/>
        </w:rPr>
        <w:t>Section 1350 Certification of Principal Executive Officer and Principal Financial Officer</w:t>
      </w:r>
    </w:p>
    <w:p>
      <w:pPr>
        <w:spacing w:after="0" w:line="33" w:lineRule="exact"/>
        <w:rPr>
          <w:sz w:val="20"/>
          <w:szCs w:val="20"/>
          <w:color w:val="auto"/>
        </w:rPr>
      </w:pPr>
    </w:p>
    <w:p>
      <w:pPr>
        <w:ind w:left="760"/>
        <w:spacing w:after="0"/>
        <w:tabs>
          <w:tab w:leader="none" w:pos="1260" w:val="left"/>
        </w:tabs>
        <w:rPr>
          <w:sz w:val="20"/>
          <w:szCs w:val="20"/>
          <w:color w:val="auto"/>
        </w:rPr>
      </w:pPr>
      <w:r>
        <w:rPr>
          <w:rFonts w:ascii="Arial" w:cs="Arial" w:eastAsia="Arial" w:hAnsi="Arial"/>
          <w:sz w:val="11"/>
          <w:szCs w:val="11"/>
          <w:color w:val="auto"/>
        </w:rPr>
        <w:t>97.1</w:t>
      </w:r>
      <w:r>
        <w:rPr>
          <w:sz w:val="20"/>
          <w:szCs w:val="20"/>
          <w:color w:val="auto"/>
        </w:rPr>
        <w:tab/>
      </w:r>
      <w:r>
        <w:rPr>
          <w:rFonts w:ascii="Arial" w:cs="Arial" w:eastAsia="Arial" w:hAnsi="Arial"/>
          <w:sz w:val="11"/>
          <w:szCs w:val="11"/>
          <w:u w:val="single" w:color="auto"/>
          <w:color w:val="0000FF"/>
        </w:rPr>
        <w:t>Compensation Recovery Policy</w:t>
      </w:r>
    </w:p>
    <w:p>
      <w:pPr>
        <w:spacing w:after="0" w:line="33" w:lineRule="exact"/>
        <w:rPr>
          <w:sz w:val="20"/>
          <w:szCs w:val="20"/>
          <w:color w:val="auto"/>
        </w:rPr>
      </w:pPr>
    </w:p>
    <w:p>
      <w:pPr>
        <w:ind w:left="1280" w:right="80" w:hanging="498"/>
        <w:spacing w:after="0" w:line="234" w:lineRule="auto"/>
        <w:tabs>
          <w:tab w:leader="none" w:pos="1280" w:val="left"/>
        </w:tabs>
        <w:numPr>
          <w:ilvl w:val="0"/>
          <w:numId w:val="27"/>
        </w:numPr>
        <w:rPr>
          <w:rFonts w:ascii="Arial" w:cs="Arial" w:eastAsia="Arial" w:hAnsi="Arial"/>
          <w:sz w:val="11"/>
          <w:szCs w:val="11"/>
          <w:color w:val="auto"/>
        </w:rPr>
      </w:pPr>
      <w:r>
        <w:rPr>
          <w:rFonts w:ascii="Arial" w:cs="Arial" w:eastAsia="Arial" w:hAnsi="Arial"/>
          <w:sz w:val="11"/>
          <w:szCs w:val="11"/>
          <w:color w:val="auto"/>
        </w:rPr>
        <w:t>The following materials from the Annual Report on Form 10-K of Capital Bancorp, Inc. for the year ended December 31, 2023, formatted in eXtensible Business Reporting Language (XBRL): (i) Consolidated Balance Sheets, (ii) Consolidated Statements of Income, (iii) Consolidated Statements of Comprehensive Income, (iv) Consolidated Statement of Changes in Shareholders’ Equity, (v) Consolidated Statements of Cash Flows and (vi) Notes to Consolidated Financial Statements.</w:t>
      </w:r>
    </w:p>
    <w:p>
      <w:pPr>
        <w:spacing w:after="0" w:line="12" w:lineRule="exact"/>
        <w:rPr>
          <w:sz w:val="20"/>
          <w:szCs w:val="20"/>
          <w:color w:val="auto"/>
        </w:rPr>
      </w:pPr>
    </w:p>
    <w:p>
      <w:pPr>
        <w:ind w:left="780"/>
        <w:spacing w:after="0"/>
        <w:tabs>
          <w:tab w:leader="none" w:pos="1260" w:val="left"/>
        </w:tabs>
        <w:rPr>
          <w:sz w:val="20"/>
          <w:szCs w:val="20"/>
          <w:color w:val="auto"/>
        </w:rPr>
      </w:pPr>
      <w:r>
        <w:rPr>
          <w:rFonts w:ascii="Arial" w:cs="Arial" w:eastAsia="Arial" w:hAnsi="Arial"/>
          <w:sz w:val="11"/>
          <w:szCs w:val="11"/>
          <w:color w:val="auto"/>
        </w:rPr>
        <w:t>104</w:t>
      </w:r>
      <w:r>
        <w:rPr>
          <w:sz w:val="20"/>
          <w:szCs w:val="20"/>
          <w:color w:val="auto"/>
        </w:rPr>
        <w:tab/>
      </w:r>
      <w:r>
        <w:rPr>
          <w:rFonts w:ascii="Arial" w:cs="Arial" w:eastAsia="Arial" w:hAnsi="Arial"/>
          <w:sz w:val="11"/>
          <w:szCs w:val="11"/>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313" w:right="4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4"/>
          <w:szCs w:val="14"/>
          <w:b w:val="1"/>
          <w:bCs w:val="1"/>
          <w:color w:val="auto"/>
        </w:rPr>
        <w:t>SIGNATURES</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52"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CAPITAL BANCORP, INC.</w:t>
      </w:r>
    </w:p>
    <w:p>
      <w:pPr>
        <w:spacing w:after="0" w:line="380"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Edward F. Barry</w:t>
      </w:r>
    </w:p>
    <w:p>
      <w:pPr>
        <w:spacing w:after="0" w:line="25"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Name: Edward F. Barry</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Dated: March 15, 2024</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Pursuant to the requirements of the Securities Exchange Act of 1934, this report has been signed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84"/>
        </w:trPr>
        <w:tc>
          <w:tcPr>
            <w:tcW w:w="5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Signature</w:t>
            </w:r>
          </w:p>
        </w:tc>
      </w:tr>
      <w:tr>
        <w:trPr>
          <w:trHeight w:val="362"/>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Edward F. Barry</w:t>
            </w:r>
          </w:p>
        </w:tc>
      </w:tr>
      <w:tr>
        <w:trPr>
          <w:trHeight w:val="177"/>
        </w:trPr>
        <w:tc>
          <w:tcPr>
            <w:tcW w:w="500" w:type="dxa"/>
            <w:vAlign w:val="bottom"/>
          </w:tcPr>
          <w:p>
            <w:pPr>
              <w:spacing w:after="0"/>
              <w:rPr>
                <w:sz w:val="15"/>
                <w:szCs w:val="15"/>
                <w:color w:val="auto"/>
              </w:rPr>
            </w:pPr>
          </w:p>
        </w:tc>
        <w:tc>
          <w:tcPr>
            <w:tcW w:w="3240" w:type="dxa"/>
            <w:vAlign w:val="bottom"/>
          </w:tcPr>
          <w:p>
            <w:pPr>
              <w:spacing w:after="0"/>
              <w:rPr>
                <w:sz w:val="20"/>
                <w:szCs w:val="20"/>
                <w:color w:val="auto"/>
              </w:rPr>
            </w:pPr>
            <w:r>
              <w:rPr>
                <w:rFonts w:ascii="Arial" w:cs="Arial" w:eastAsia="Arial" w:hAnsi="Arial"/>
                <w:sz w:val="14"/>
                <w:szCs w:val="14"/>
                <w:color w:val="auto"/>
              </w:rPr>
              <w:t>Edward F. Barry</w:t>
            </w:r>
          </w:p>
        </w:tc>
      </w:tr>
      <w:tr>
        <w:trPr>
          <w:trHeight w:val="684"/>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Jay Walker</w:t>
            </w:r>
          </w:p>
        </w:tc>
      </w:tr>
      <w:tr>
        <w:trPr>
          <w:trHeight w:val="177"/>
        </w:trPr>
        <w:tc>
          <w:tcPr>
            <w:tcW w:w="500" w:type="dxa"/>
            <w:vAlign w:val="bottom"/>
          </w:tcPr>
          <w:p>
            <w:pPr>
              <w:spacing w:after="0"/>
              <w:rPr>
                <w:sz w:val="15"/>
                <w:szCs w:val="15"/>
                <w:color w:val="auto"/>
              </w:rPr>
            </w:pPr>
          </w:p>
        </w:tc>
        <w:tc>
          <w:tcPr>
            <w:tcW w:w="3240" w:type="dxa"/>
            <w:vAlign w:val="bottom"/>
          </w:tcPr>
          <w:p>
            <w:pPr>
              <w:spacing w:after="0"/>
              <w:rPr>
                <w:sz w:val="20"/>
                <w:szCs w:val="20"/>
                <w:color w:val="auto"/>
              </w:rPr>
            </w:pPr>
            <w:r>
              <w:rPr>
                <w:rFonts w:ascii="Arial" w:cs="Arial" w:eastAsia="Arial" w:hAnsi="Arial"/>
                <w:sz w:val="14"/>
                <w:szCs w:val="14"/>
                <w:color w:val="auto"/>
              </w:rPr>
              <w:t>Jay Walker</w:t>
            </w:r>
          </w:p>
        </w:tc>
      </w:tr>
      <w:tr>
        <w:trPr>
          <w:trHeight w:val="653"/>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Jerome R. Bailey</w:t>
            </w:r>
          </w:p>
        </w:tc>
      </w:tr>
      <w:tr>
        <w:trPr>
          <w:trHeight w:val="186"/>
        </w:trPr>
        <w:tc>
          <w:tcPr>
            <w:tcW w:w="50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4"/>
                <w:szCs w:val="14"/>
                <w:color w:val="auto"/>
              </w:rPr>
              <w:t>Jerome R. Bailey</w:t>
            </w:r>
          </w:p>
        </w:tc>
      </w:tr>
      <w:tr>
        <w:trPr>
          <w:trHeight w:val="440"/>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Joshua Bernstein</w:t>
            </w:r>
          </w:p>
        </w:tc>
      </w:tr>
      <w:tr>
        <w:trPr>
          <w:trHeight w:val="177"/>
        </w:trPr>
        <w:tc>
          <w:tcPr>
            <w:tcW w:w="500" w:type="dxa"/>
            <w:vAlign w:val="bottom"/>
          </w:tcPr>
          <w:p>
            <w:pPr>
              <w:spacing w:after="0"/>
              <w:rPr>
                <w:sz w:val="15"/>
                <w:szCs w:val="15"/>
                <w:color w:val="auto"/>
              </w:rPr>
            </w:pPr>
          </w:p>
        </w:tc>
        <w:tc>
          <w:tcPr>
            <w:tcW w:w="3240" w:type="dxa"/>
            <w:vAlign w:val="bottom"/>
          </w:tcPr>
          <w:p>
            <w:pPr>
              <w:spacing w:after="0"/>
              <w:rPr>
                <w:sz w:val="20"/>
                <w:szCs w:val="20"/>
                <w:color w:val="auto"/>
              </w:rPr>
            </w:pPr>
            <w:r>
              <w:rPr>
                <w:rFonts w:ascii="Arial" w:cs="Arial" w:eastAsia="Arial" w:hAnsi="Arial"/>
                <w:sz w:val="14"/>
                <w:szCs w:val="14"/>
                <w:color w:val="auto"/>
              </w:rPr>
              <w:t>Joshua Bernstein</w:t>
            </w:r>
          </w:p>
        </w:tc>
      </w:tr>
      <w:tr>
        <w:trPr>
          <w:trHeight w:val="431"/>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 Scott Brannan</w:t>
            </w:r>
          </w:p>
        </w:tc>
      </w:tr>
      <w:tr>
        <w:trPr>
          <w:trHeight w:val="186"/>
        </w:trPr>
        <w:tc>
          <w:tcPr>
            <w:tcW w:w="50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4"/>
                <w:szCs w:val="14"/>
                <w:color w:val="auto"/>
              </w:rPr>
              <w:t>C. Scott Brannan</w:t>
            </w:r>
          </w:p>
        </w:tc>
      </w:tr>
      <w:tr>
        <w:trPr>
          <w:trHeight w:val="440"/>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Scot. R. Browning</w:t>
            </w:r>
          </w:p>
        </w:tc>
      </w:tr>
      <w:tr>
        <w:trPr>
          <w:trHeight w:val="177"/>
        </w:trPr>
        <w:tc>
          <w:tcPr>
            <w:tcW w:w="500" w:type="dxa"/>
            <w:vAlign w:val="bottom"/>
          </w:tcPr>
          <w:p>
            <w:pPr>
              <w:spacing w:after="0"/>
              <w:rPr>
                <w:sz w:val="15"/>
                <w:szCs w:val="15"/>
                <w:color w:val="auto"/>
              </w:rPr>
            </w:pPr>
          </w:p>
        </w:tc>
        <w:tc>
          <w:tcPr>
            <w:tcW w:w="3240" w:type="dxa"/>
            <w:vAlign w:val="bottom"/>
          </w:tcPr>
          <w:p>
            <w:pPr>
              <w:spacing w:after="0"/>
              <w:rPr>
                <w:sz w:val="20"/>
                <w:szCs w:val="20"/>
                <w:color w:val="auto"/>
              </w:rPr>
            </w:pPr>
            <w:r>
              <w:rPr>
                <w:rFonts w:ascii="Arial" w:cs="Arial" w:eastAsia="Arial" w:hAnsi="Arial"/>
                <w:sz w:val="14"/>
                <w:szCs w:val="14"/>
                <w:color w:val="auto"/>
              </w:rPr>
              <w:t>Scot R. Browning</w:t>
            </w:r>
          </w:p>
        </w:tc>
      </w:tr>
      <w:tr>
        <w:trPr>
          <w:trHeight w:val="419"/>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Fred J. Lewis</w:t>
            </w:r>
          </w:p>
        </w:tc>
      </w:tr>
      <w:tr>
        <w:trPr>
          <w:trHeight w:val="177"/>
        </w:trPr>
        <w:tc>
          <w:tcPr>
            <w:tcW w:w="500" w:type="dxa"/>
            <w:vAlign w:val="bottom"/>
          </w:tcPr>
          <w:p>
            <w:pPr>
              <w:spacing w:after="0"/>
              <w:rPr>
                <w:sz w:val="15"/>
                <w:szCs w:val="15"/>
                <w:color w:val="auto"/>
              </w:rPr>
            </w:pPr>
          </w:p>
        </w:tc>
        <w:tc>
          <w:tcPr>
            <w:tcW w:w="3240" w:type="dxa"/>
            <w:vAlign w:val="bottom"/>
          </w:tcPr>
          <w:p>
            <w:pPr>
              <w:spacing w:after="0"/>
              <w:rPr>
                <w:sz w:val="20"/>
                <w:szCs w:val="20"/>
                <w:color w:val="auto"/>
              </w:rPr>
            </w:pPr>
            <w:r>
              <w:rPr>
                <w:rFonts w:ascii="Arial" w:cs="Arial" w:eastAsia="Arial" w:hAnsi="Arial"/>
                <w:sz w:val="14"/>
                <w:szCs w:val="14"/>
                <w:color w:val="auto"/>
              </w:rPr>
              <w:t>Fred J. Lewis</w:t>
            </w:r>
          </w:p>
        </w:tc>
      </w:tr>
      <w:tr>
        <w:trPr>
          <w:trHeight w:val="440"/>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Randall. J. Levitt</w:t>
            </w:r>
          </w:p>
        </w:tc>
      </w:tr>
      <w:tr>
        <w:trPr>
          <w:trHeight w:val="177"/>
        </w:trPr>
        <w:tc>
          <w:tcPr>
            <w:tcW w:w="500" w:type="dxa"/>
            <w:vAlign w:val="bottom"/>
          </w:tcPr>
          <w:p>
            <w:pPr>
              <w:spacing w:after="0"/>
              <w:rPr>
                <w:sz w:val="15"/>
                <w:szCs w:val="15"/>
                <w:color w:val="auto"/>
              </w:rPr>
            </w:pPr>
          </w:p>
        </w:tc>
        <w:tc>
          <w:tcPr>
            <w:tcW w:w="3240" w:type="dxa"/>
            <w:vAlign w:val="bottom"/>
          </w:tcPr>
          <w:p>
            <w:pPr>
              <w:spacing w:after="0"/>
              <w:rPr>
                <w:sz w:val="20"/>
                <w:szCs w:val="20"/>
                <w:color w:val="auto"/>
              </w:rPr>
            </w:pPr>
            <w:r>
              <w:rPr>
                <w:rFonts w:ascii="Arial" w:cs="Arial" w:eastAsia="Arial" w:hAnsi="Arial"/>
                <w:sz w:val="14"/>
                <w:szCs w:val="14"/>
                <w:color w:val="auto"/>
              </w:rPr>
              <w:t>Randall J. Levitt</w:t>
            </w:r>
          </w:p>
        </w:tc>
      </w:tr>
      <w:tr>
        <w:trPr>
          <w:trHeight w:val="398"/>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Mary Ann Scully</w:t>
            </w:r>
          </w:p>
        </w:tc>
      </w:tr>
      <w:tr>
        <w:trPr>
          <w:trHeight w:val="177"/>
        </w:trPr>
        <w:tc>
          <w:tcPr>
            <w:tcW w:w="500" w:type="dxa"/>
            <w:vAlign w:val="bottom"/>
          </w:tcPr>
          <w:p>
            <w:pPr>
              <w:spacing w:after="0"/>
              <w:rPr>
                <w:sz w:val="15"/>
                <w:szCs w:val="15"/>
                <w:color w:val="auto"/>
              </w:rPr>
            </w:pPr>
          </w:p>
        </w:tc>
        <w:tc>
          <w:tcPr>
            <w:tcW w:w="3240" w:type="dxa"/>
            <w:vAlign w:val="bottom"/>
          </w:tcPr>
          <w:p>
            <w:pPr>
              <w:spacing w:after="0"/>
              <w:rPr>
                <w:sz w:val="20"/>
                <w:szCs w:val="20"/>
                <w:color w:val="auto"/>
              </w:rPr>
            </w:pPr>
            <w:r>
              <w:rPr>
                <w:rFonts w:ascii="Arial" w:cs="Arial" w:eastAsia="Arial" w:hAnsi="Arial"/>
                <w:sz w:val="14"/>
                <w:szCs w:val="14"/>
                <w:color w:val="auto"/>
              </w:rPr>
              <w:t>Mary Ann Scully</w:t>
            </w:r>
          </w:p>
        </w:tc>
      </w:tr>
      <w:tr>
        <w:trPr>
          <w:trHeight w:val="440"/>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Deborah Ratner Salzberg</w:t>
            </w:r>
          </w:p>
        </w:tc>
      </w:tr>
      <w:tr>
        <w:trPr>
          <w:trHeight w:val="177"/>
        </w:trPr>
        <w:tc>
          <w:tcPr>
            <w:tcW w:w="500" w:type="dxa"/>
            <w:vAlign w:val="bottom"/>
          </w:tcPr>
          <w:p>
            <w:pPr>
              <w:spacing w:after="0"/>
              <w:rPr>
                <w:sz w:val="15"/>
                <w:szCs w:val="15"/>
                <w:color w:val="auto"/>
              </w:rPr>
            </w:pPr>
          </w:p>
        </w:tc>
        <w:tc>
          <w:tcPr>
            <w:tcW w:w="3240" w:type="dxa"/>
            <w:vAlign w:val="bottom"/>
          </w:tcPr>
          <w:p>
            <w:pPr>
              <w:spacing w:after="0"/>
              <w:rPr>
                <w:sz w:val="20"/>
                <w:szCs w:val="20"/>
                <w:color w:val="auto"/>
              </w:rPr>
            </w:pPr>
            <w:r>
              <w:rPr>
                <w:rFonts w:ascii="Arial" w:cs="Arial" w:eastAsia="Arial" w:hAnsi="Arial"/>
                <w:sz w:val="14"/>
                <w:szCs w:val="14"/>
                <w:color w:val="auto"/>
              </w:rPr>
              <w:t>Deborah Ratner Salzberg</w:t>
            </w:r>
          </w:p>
        </w:tc>
      </w:tr>
      <w:tr>
        <w:trPr>
          <w:trHeight w:val="440"/>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Steven J. Schwartz</w:t>
            </w:r>
          </w:p>
        </w:tc>
      </w:tr>
      <w:tr>
        <w:trPr>
          <w:trHeight w:val="177"/>
        </w:trPr>
        <w:tc>
          <w:tcPr>
            <w:tcW w:w="500" w:type="dxa"/>
            <w:vAlign w:val="bottom"/>
          </w:tcPr>
          <w:p>
            <w:pPr>
              <w:spacing w:after="0"/>
              <w:rPr>
                <w:sz w:val="15"/>
                <w:szCs w:val="15"/>
                <w:color w:val="auto"/>
              </w:rPr>
            </w:pPr>
          </w:p>
        </w:tc>
        <w:tc>
          <w:tcPr>
            <w:tcW w:w="3240" w:type="dxa"/>
            <w:vAlign w:val="bottom"/>
          </w:tcPr>
          <w:p>
            <w:pPr>
              <w:spacing w:after="0"/>
              <w:rPr>
                <w:sz w:val="20"/>
                <w:szCs w:val="20"/>
                <w:color w:val="auto"/>
              </w:rPr>
            </w:pPr>
            <w:r>
              <w:rPr>
                <w:rFonts w:ascii="Arial" w:cs="Arial" w:eastAsia="Arial" w:hAnsi="Arial"/>
                <w:sz w:val="14"/>
                <w:szCs w:val="14"/>
                <w:color w:val="auto"/>
              </w:rPr>
              <w:t>Steven J. Schwartz</w:t>
            </w:r>
          </w:p>
        </w:tc>
      </w:tr>
      <w:tr>
        <w:trPr>
          <w:trHeight w:val="387"/>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James F. Whalen</w:t>
            </w:r>
          </w:p>
        </w:tc>
      </w:tr>
      <w:tr>
        <w:trPr>
          <w:trHeight w:val="177"/>
        </w:trPr>
        <w:tc>
          <w:tcPr>
            <w:tcW w:w="500" w:type="dxa"/>
            <w:vAlign w:val="bottom"/>
          </w:tcPr>
          <w:p>
            <w:pPr>
              <w:spacing w:after="0"/>
              <w:rPr>
                <w:sz w:val="15"/>
                <w:szCs w:val="15"/>
                <w:color w:val="auto"/>
              </w:rPr>
            </w:pPr>
          </w:p>
        </w:tc>
        <w:tc>
          <w:tcPr>
            <w:tcW w:w="3240" w:type="dxa"/>
            <w:vAlign w:val="bottom"/>
          </w:tcPr>
          <w:p>
            <w:pPr>
              <w:spacing w:after="0"/>
              <w:rPr>
                <w:sz w:val="20"/>
                <w:szCs w:val="20"/>
                <w:color w:val="auto"/>
              </w:rPr>
            </w:pPr>
            <w:r>
              <w:rPr>
                <w:rFonts w:ascii="Arial" w:cs="Arial" w:eastAsia="Arial" w:hAnsi="Arial"/>
                <w:sz w:val="14"/>
                <w:szCs w:val="14"/>
                <w:color w:val="auto"/>
              </w:rPr>
              <w:t>James F. Whalen</w:t>
            </w:r>
          </w:p>
        </w:tc>
      </w:tr>
    </w:tbl>
    <w:p>
      <w:pPr>
        <w:spacing w:after="0" w:line="20" w:lineRule="exact"/>
        <w:rPr>
          <w:sz w:val="20"/>
          <w:szCs w:val="20"/>
          <w:color w:val="auto"/>
        </w:rPr>
      </w:pPr>
      <w:r>
        <w:rPr>
          <w:sz w:val="20"/>
          <w:szCs w:val="20"/>
          <w:color w:val="auto"/>
        </w:rPr>
        <w:br w:type="column"/>
      </w:r>
    </w:p>
    <w:p>
      <w:pPr>
        <w:jc w:val="center"/>
        <w:ind w:right="146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14605</wp:posOffset>
            </wp:positionV>
            <wp:extent cx="326072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3260725" cy="6985"/>
                    </a:xfrm>
                    <a:prstGeom prst="rect">
                      <a:avLst/>
                    </a:prstGeom>
                    <a:noFill/>
                  </pic:spPr>
                </pic:pic>
              </a:graphicData>
            </a:graphic>
          </wp:anchor>
        </w:drawing>
      </w:r>
    </w:p>
    <w:p>
      <w:pPr>
        <w:spacing w:after="0" w:line="160" w:lineRule="exact"/>
        <w:rPr>
          <w:sz w:val="20"/>
          <w:szCs w:val="20"/>
          <w:color w:val="auto"/>
        </w:rPr>
      </w:pPr>
    </w:p>
    <w:p>
      <w:pPr>
        <w:jc w:val="center"/>
        <w:ind w:right="1460"/>
        <w:spacing w:after="0"/>
        <w:rPr>
          <w:sz w:val="20"/>
          <w:szCs w:val="20"/>
          <w:color w:val="auto"/>
        </w:rPr>
      </w:pPr>
      <w:r>
        <w:rPr>
          <w:rFonts w:ascii="Arial" w:cs="Arial" w:eastAsia="Arial" w:hAnsi="Arial"/>
          <w:sz w:val="14"/>
          <w:szCs w:val="14"/>
          <w:color w:val="auto"/>
        </w:rPr>
        <w:t>Chief Executive</w:t>
      </w:r>
    </w:p>
    <w:p>
      <w:pPr>
        <w:jc w:val="center"/>
        <w:ind w:right="1460"/>
        <w:spacing w:after="0" w:line="221" w:lineRule="auto"/>
        <w:rPr>
          <w:sz w:val="20"/>
          <w:szCs w:val="20"/>
          <w:color w:val="auto"/>
        </w:rPr>
      </w:pPr>
      <w:r>
        <w:rPr>
          <w:rFonts w:ascii="Arial" w:cs="Arial" w:eastAsia="Arial" w:hAnsi="Arial"/>
          <w:sz w:val="14"/>
          <w:szCs w:val="14"/>
          <w:color w:val="auto"/>
        </w:rPr>
        <w:t>Officer and Director</w:t>
      </w:r>
    </w:p>
    <w:p>
      <w:pPr>
        <w:ind w:left="220"/>
        <w:spacing w:after="0"/>
        <w:rPr>
          <w:sz w:val="20"/>
          <w:szCs w:val="20"/>
          <w:color w:val="auto"/>
        </w:rPr>
      </w:pPr>
      <w:r>
        <w:rPr>
          <w:rFonts w:ascii="Arial" w:cs="Arial" w:eastAsia="Arial" w:hAnsi="Arial"/>
          <w:sz w:val="14"/>
          <w:szCs w:val="14"/>
          <w:color w:val="auto"/>
        </w:rPr>
        <w:t>(Principal Executive Officer)</w:t>
      </w:r>
    </w:p>
    <w:p>
      <w:pPr>
        <w:spacing w:after="0" w:line="200" w:lineRule="exact"/>
        <w:rPr>
          <w:sz w:val="20"/>
          <w:szCs w:val="20"/>
          <w:color w:val="auto"/>
        </w:rPr>
      </w:pPr>
    </w:p>
    <w:p>
      <w:pPr>
        <w:spacing w:after="0" w:line="348" w:lineRule="exact"/>
        <w:rPr>
          <w:sz w:val="20"/>
          <w:szCs w:val="20"/>
          <w:color w:val="auto"/>
        </w:rPr>
      </w:pPr>
    </w:p>
    <w:p>
      <w:pPr>
        <w:jc w:val="center"/>
        <w:ind w:right="1460"/>
        <w:spacing w:after="0"/>
        <w:rPr>
          <w:sz w:val="20"/>
          <w:szCs w:val="20"/>
          <w:color w:val="auto"/>
        </w:rPr>
      </w:pPr>
      <w:r>
        <w:rPr>
          <w:rFonts w:ascii="Arial" w:cs="Arial" w:eastAsia="Arial" w:hAnsi="Arial"/>
          <w:sz w:val="14"/>
          <w:szCs w:val="14"/>
          <w:color w:val="auto"/>
        </w:rPr>
        <w:t>Executive Vice President</w:t>
      </w:r>
    </w:p>
    <w:p>
      <w:pPr>
        <w:jc w:val="center"/>
        <w:ind w:right="1460"/>
        <w:spacing w:after="0"/>
        <w:rPr>
          <w:sz w:val="20"/>
          <w:szCs w:val="20"/>
          <w:color w:val="auto"/>
        </w:rPr>
      </w:pPr>
      <w:r>
        <w:rPr>
          <w:rFonts w:ascii="Arial" w:cs="Arial" w:eastAsia="Arial" w:hAnsi="Arial"/>
          <w:sz w:val="14"/>
          <w:szCs w:val="14"/>
          <w:color w:val="auto"/>
        </w:rPr>
        <w:t>Chief Financial Officer</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(Principal Financial Officer)</w:t>
      </w:r>
    </w:p>
    <w:p>
      <w:pPr>
        <w:spacing w:after="0" w:line="263" w:lineRule="exact"/>
        <w:rPr>
          <w:sz w:val="20"/>
          <w:szCs w:val="20"/>
          <w:color w:val="auto"/>
        </w:rPr>
      </w:pPr>
    </w:p>
    <w:p>
      <w:pPr>
        <w:ind w:left="84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ind w:left="84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ind w:left="84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ind w:left="84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ind w:left="84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33" w:lineRule="exact"/>
        <w:rPr>
          <w:sz w:val="20"/>
          <w:szCs w:val="20"/>
          <w:color w:val="auto"/>
        </w:rPr>
      </w:pPr>
    </w:p>
    <w:p>
      <w:pPr>
        <w:ind w:left="84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ind w:left="84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Chairman of the Board of Directors</w:t>
      </w:r>
    </w:p>
    <w:p>
      <w:pPr>
        <w:spacing w:after="0" w:line="200" w:lineRule="exact"/>
        <w:rPr>
          <w:sz w:val="20"/>
          <w:szCs w:val="20"/>
          <w:color w:val="auto"/>
        </w:rPr>
      </w:pPr>
    </w:p>
    <w:p>
      <w:pPr>
        <w:spacing w:after="0" w:line="223" w:lineRule="exact"/>
        <w:rPr>
          <w:sz w:val="20"/>
          <w:szCs w:val="20"/>
          <w:color w:val="auto"/>
        </w:rPr>
      </w:pPr>
    </w:p>
    <w:p>
      <w:pPr>
        <w:ind w:left="84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14605</wp:posOffset>
            </wp:positionV>
            <wp:extent cx="132715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1327150" cy="698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March 15, 2024</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2"/>
          <w:szCs w:val="12"/>
          <w:color w:val="auto"/>
        </w:rPr>
        <w:t>March 15, 2024</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color w:val="auto"/>
        </w:rPr>
        <w:t>March 15, 2024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March 15, 2024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March 15, 2024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March 15, 2024</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2"/>
          <w:szCs w:val="12"/>
          <w:color w:val="auto"/>
        </w:rPr>
        <w:t>March 15, 2024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March 15, 2024</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March 15, 2024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March 15, 2024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March 15, 2024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color w:val="auto"/>
        </w:rPr>
        <w:t>March 15, 2024</w:t>
      </w:r>
    </w:p>
    <w:p>
      <w:pPr>
        <w:sectPr>
          <w:pgSz w:w="11900" w:h="16838" w:orient="portrait"/>
          <w:cols w:equalWidth="0" w:num="3">
            <w:col w:w="4600" w:space="720"/>
            <w:col w:w="3640" w:space="720"/>
            <w:col w:w="900"/>
          </w:cols>
          <w:pgMar w:left="360" w:top="1345" w:right="959" w:bottom="1440" w:gutter="0" w:footer="0" w:header="0"/>
        </w:sectPr>
      </w:pPr>
    </w:p>
    <w:bookmarkStart w:id="129" w:name="page130"/>
    <w:bookmarkEnd w:id="129"/>
    <w:p>
      <w:pPr>
        <w:jc w:val="right"/>
        <w:spacing w:after="0"/>
        <w:rPr>
          <w:sz w:val="20"/>
          <w:szCs w:val="20"/>
          <w:color w:val="auto"/>
        </w:rPr>
      </w:pPr>
      <w:r>
        <w:rPr>
          <w:rFonts w:ascii="Arial" w:cs="Arial" w:eastAsia="Arial" w:hAnsi="Arial"/>
          <w:sz w:val="14"/>
          <w:szCs w:val="14"/>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Option Agreement Number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CAPITAL BANCORP, INC.</w:t>
      </w:r>
    </w:p>
    <w:p>
      <w:pPr>
        <w:jc w:val="center"/>
        <w:spacing w:after="0" w:line="237" w:lineRule="auto"/>
        <w:rPr>
          <w:sz w:val="20"/>
          <w:szCs w:val="20"/>
          <w:color w:val="auto"/>
        </w:rPr>
      </w:pPr>
      <w:r>
        <w:rPr>
          <w:rFonts w:ascii="Arial" w:cs="Arial" w:eastAsia="Arial" w:hAnsi="Arial"/>
          <w:sz w:val="14"/>
          <w:szCs w:val="14"/>
          <w:b w:val="1"/>
          <w:bCs w:val="1"/>
          <w:color w:val="auto"/>
        </w:rPr>
        <w:t>2017 STOCK AND INCENTIVE COMPENSATION PLAN</w:t>
      </w:r>
    </w:p>
    <w:p>
      <w:pPr>
        <w:jc w:val="center"/>
        <w:spacing w:after="0"/>
        <w:rPr>
          <w:sz w:val="20"/>
          <w:szCs w:val="20"/>
          <w:color w:val="auto"/>
        </w:rPr>
      </w:pPr>
      <w:r>
        <w:rPr>
          <w:rFonts w:ascii="Arial" w:cs="Arial" w:eastAsia="Arial" w:hAnsi="Arial"/>
          <w:sz w:val="14"/>
          <w:szCs w:val="14"/>
          <w:b w:val="1"/>
          <w:bCs w:val="1"/>
          <w:color w:val="auto"/>
        </w:rPr>
        <w:t>INCENTIVE STOCK OPTION AWARD AGREEMENT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This INCENTIVE STOCK OPTION AGREEMENT (“Agreement”) is made and entered into as of this ___ day of ______________, 2018 (the “Grant Date”), between Capital</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Bancorp, Inc., a Maryland corporation (“the Company”) and __________ (“Participant”).</w:t>
      </w:r>
    </w:p>
    <w:p>
      <w:pPr>
        <w:spacing w:after="0" w:line="80"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WHEREAS the Company desires to grant the Participant certain options to purchase shares of the Company’s Common Stock (“Shares”) pursuant to the Capital Bancorp, Inc. 2017 Stock and Incentive Compensation Plan, as approved by the stockholders on August 3, 2017, effective as of August 29, 2017 (the “Plan”) a copy of which has been furnished to the Participant and the terms of which are incorporated herein by reference. Unless otherwise indicated, whenever capitalized terms are used in this Agreement, they shall have the meanings set forth in the Plan.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WHEREAS the parties enter into this Agreement to evidence the grant of such stock options and set forth the terms and conditions governing their exercise.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NOW, THEREFORE, the parties agree as follows:</w:t>
      </w:r>
    </w:p>
    <w:p>
      <w:pPr>
        <w:spacing w:after="0" w:line="94" w:lineRule="exact"/>
        <w:rPr>
          <w:sz w:val="20"/>
          <w:szCs w:val="20"/>
          <w:color w:val="auto"/>
        </w:rPr>
      </w:pPr>
    </w:p>
    <w:p>
      <w:pPr>
        <w:ind w:left="520" w:right="60" w:hanging="260"/>
        <w:spacing w:after="0" w:line="260" w:lineRule="auto"/>
        <w:tabs>
          <w:tab w:leader="none" w:pos="511" w:val="left"/>
        </w:tabs>
        <w:numPr>
          <w:ilvl w:val="0"/>
          <w:numId w:val="28"/>
        </w:numPr>
        <w:rPr>
          <w:rFonts w:ascii="Arial" w:cs="Arial" w:eastAsia="Arial" w:hAnsi="Arial"/>
          <w:sz w:val="14"/>
          <w:szCs w:val="14"/>
          <w:color w:val="auto"/>
        </w:rPr>
      </w:pPr>
      <w:r>
        <w:rPr>
          <w:rFonts w:ascii="Arial" w:cs="Arial" w:eastAsia="Arial" w:hAnsi="Arial"/>
          <w:sz w:val="14"/>
          <w:szCs w:val="14"/>
          <w:b w:val="1"/>
          <w:bCs w:val="1"/>
          <w:color w:val="auto"/>
        </w:rPr>
        <w:t>Grant of Options</w:t>
      </w:r>
      <w:r>
        <w:rPr>
          <w:rFonts w:ascii="Arial" w:cs="Arial" w:eastAsia="Arial" w:hAnsi="Arial"/>
          <w:sz w:val="14"/>
          <w:szCs w:val="14"/>
          <w:color w:val="auto"/>
        </w:rPr>
        <w:t>. The Company grants to Participant an option (“the Stock Options”) to purchase an aggregate of ______ Shares. The Stock Options shall constitute</w:t>
      </w:r>
      <w:r>
        <w:rPr>
          <w:rFonts w:ascii="Arial" w:cs="Arial" w:eastAsia="Arial" w:hAnsi="Arial"/>
          <w:sz w:val="14"/>
          <w:szCs w:val="14"/>
          <w:b w:val="1"/>
          <w:bCs w:val="1"/>
          <w:color w:val="auto"/>
        </w:rPr>
        <w:t xml:space="preserve"> </w:t>
      </w:r>
      <w:r>
        <w:rPr>
          <w:rFonts w:ascii="Arial" w:cs="Arial" w:eastAsia="Arial" w:hAnsi="Arial"/>
          <w:sz w:val="14"/>
          <w:szCs w:val="14"/>
          <w:color w:val="auto"/>
        </w:rPr>
        <w:t>“incentive stock options” within the meaning of Section 422 of the Internal Revenue Code of 1954, as amended, to the extent that the Market Value of Common Stock with respect to which incentive stock options are exercisable for the first time by the Participant during any calendar year (under all plans of the Company) exceeds $100,000, such options shall be treated as Nonqualified Stock Options and (the Company shall designate which Options will be treated as Nonqualified Stock Options). If the Option granted hereunder fails to qualify as an Incentive Stock Option for any reason, then the Option, or portion thereof that does not so qualify, shall be treated as a Nonqualified Stock Option.</w:t>
      </w:r>
    </w:p>
    <w:p>
      <w:pPr>
        <w:spacing w:after="0" w:line="56" w:lineRule="exact"/>
        <w:rPr>
          <w:rFonts w:ascii="Arial" w:cs="Arial" w:eastAsia="Arial" w:hAnsi="Arial"/>
          <w:sz w:val="14"/>
          <w:szCs w:val="14"/>
          <w:color w:val="auto"/>
        </w:rPr>
      </w:pPr>
    </w:p>
    <w:p>
      <w:pPr>
        <w:ind w:left="500" w:hanging="240"/>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b w:val="1"/>
          <w:bCs w:val="1"/>
          <w:color w:val="auto"/>
        </w:rPr>
        <w:t>Option Price</w:t>
      </w:r>
      <w:r>
        <w:rPr>
          <w:rFonts w:ascii="Arial" w:cs="Arial" w:eastAsia="Arial" w:hAnsi="Arial"/>
          <w:sz w:val="14"/>
          <w:szCs w:val="14"/>
          <w:color w:val="auto"/>
        </w:rPr>
        <w:t>. The exercise price of the Stock Options is _____ dollars and _____ cents (</w:t>
      </w:r>
      <w:r>
        <w:rPr>
          <w:rFonts w:ascii="Arial" w:cs="Arial" w:eastAsia="Arial" w:hAnsi="Arial"/>
          <w:sz w:val="14"/>
          <w:szCs w:val="14"/>
          <w:b w:val="1"/>
          <w:bCs w:val="1"/>
          <w:color w:val="auto"/>
        </w:rPr>
        <w:t xml:space="preserve">$ </w:t>
      </w:r>
      <w:r>
        <w:rPr>
          <w:rFonts w:ascii="Arial" w:cs="Arial" w:eastAsia="Arial" w:hAnsi="Arial"/>
          <w:sz w:val="14"/>
          <w:szCs w:val="14"/>
          <w:color w:val="auto"/>
        </w:rPr>
        <w:t>) per share (“the Option Price”).</w:t>
      </w:r>
    </w:p>
    <w:p>
      <w:pPr>
        <w:spacing w:after="0" w:line="93" w:lineRule="exact"/>
        <w:rPr>
          <w:rFonts w:ascii="Arial" w:cs="Arial" w:eastAsia="Arial" w:hAnsi="Arial"/>
          <w:sz w:val="14"/>
          <w:szCs w:val="14"/>
          <w:color w:val="auto"/>
        </w:rPr>
      </w:pPr>
    </w:p>
    <w:p>
      <w:pPr>
        <w:ind w:left="520" w:right="200" w:hanging="260"/>
        <w:spacing w:after="0" w:line="262" w:lineRule="auto"/>
        <w:tabs>
          <w:tab w:leader="none" w:pos="511" w:val="left"/>
        </w:tabs>
        <w:numPr>
          <w:ilvl w:val="0"/>
          <w:numId w:val="28"/>
        </w:numPr>
        <w:rPr>
          <w:rFonts w:ascii="Arial" w:cs="Arial" w:eastAsia="Arial" w:hAnsi="Arial"/>
          <w:sz w:val="14"/>
          <w:szCs w:val="14"/>
          <w:color w:val="auto"/>
        </w:rPr>
      </w:pPr>
      <w:r>
        <w:rPr>
          <w:rFonts w:ascii="Arial" w:cs="Arial" w:eastAsia="Arial" w:hAnsi="Arial"/>
          <w:sz w:val="14"/>
          <w:szCs w:val="14"/>
          <w:b w:val="1"/>
          <w:bCs w:val="1"/>
          <w:color w:val="auto"/>
        </w:rPr>
        <w:t>Term</w:t>
      </w:r>
      <w:r>
        <w:rPr>
          <w:rFonts w:ascii="Arial" w:cs="Arial" w:eastAsia="Arial" w:hAnsi="Arial"/>
          <w:sz w:val="14"/>
          <w:szCs w:val="14"/>
          <w:color w:val="auto"/>
        </w:rPr>
        <w:t>. Subject to each and every one of the conditions and limitations set forth in the Plan, as approved by the stockholders, including but not limited to the termination of</w:t>
      </w:r>
      <w:r>
        <w:rPr>
          <w:rFonts w:ascii="Arial" w:cs="Arial" w:eastAsia="Arial" w:hAnsi="Arial"/>
          <w:sz w:val="14"/>
          <w:szCs w:val="14"/>
          <w:b w:val="1"/>
          <w:bCs w:val="1"/>
          <w:color w:val="auto"/>
        </w:rPr>
        <w:t xml:space="preserve"> </w:t>
      </w:r>
      <w:r>
        <w:rPr>
          <w:rFonts w:ascii="Arial" w:cs="Arial" w:eastAsia="Arial" w:hAnsi="Arial"/>
          <w:sz w:val="14"/>
          <w:szCs w:val="14"/>
          <w:color w:val="auto"/>
        </w:rPr>
        <w:t>stock options in the event that the Participant ceases to be an employee of the Company or its wholly-owned subsidiary, Capital Bank N.A., the Stock Options that have vested may be exercised by the Participant, in whole or in part, at any time period commencing during the period beginning on the Grant Date and terminating on the fifth anniversary of the Grant Date (the “Expiration Date”). Any of the Stock Options that are outstanding and unexercised at the close of business on the Expiration Date shall automatically, and without further action by the Company or the Participant, be canceled or terminated.</w:t>
      </w:r>
    </w:p>
    <w:p>
      <w:pPr>
        <w:spacing w:after="0" w:line="54" w:lineRule="exact"/>
        <w:rPr>
          <w:rFonts w:ascii="Arial" w:cs="Arial" w:eastAsia="Arial" w:hAnsi="Arial"/>
          <w:sz w:val="14"/>
          <w:szCs w:val="14"/>
          <w:color w:val="auto"/>
        </w:rPr>
      </w:pPr>
    </w:p>
    <w:p>
      <w:pPr>
        <w:ind w:left="520" w:right="60" w:hanging="260"/>
        <w:spacing w:after="0" w:line="265" w:lineRule="auto"/>
        <w:tabs>
          <w:tab w:leader="none" w:pos="511" w:val="left"/>
        </w:tabs>
        <w:numPr>
          <w:ilvl w:val="0"/>
          <w:numId w:val="28"/>
        </w:numPr>
        <w:rPr>
          <w:rFonts w:ascii="Arial" w:cs="Arial" w:eastAsia="Arial" w:hAnsi="Arial"/>
          <w:sz w:val="14"/>
          <w:szCs w:val="14"/>
          <w:color w:val="auto"/>
        </w:rPr>
      </w:pPr>
      <w:r>
        <w:rPr>
          <w:rFonts w:ascii="Arial" w:cs="Arial" w:eastAsia="Arial" w:hAnsi="Arial"/>
          <w:sz w:val="14"/>
          <w:szCs w:val="14"/>
          <w:b w:val="1"/>
          <w:bCs w:val="1"/>
          <w:color w:val="auto"/>
        </w:rPr>
        <w:t>Exercise</w:t>
      </w:r>
      <w:r>
        <w:rPr>
          <w:rFonts w:ascii="Arial" w:cs="Arial" w:eastAsia="Arial" w:hAnsi="Arial"/>
          <w:sz w:val="14"/>
          <w:szCs w:val="14"/>
          <w:color w:val="auto"/>
        </w:rPr>
        <w:t>. The Stock Options may be exercised, in whole or in part, by delivery of written notice to the Chairman of the Board of the Company or their designee by the</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 indicating the number of the Stock Options that the Participant wishes to exercise. Such notice shall be accompanied by the payment of the Option Price for the total number of Shares being purchased by the Participant pursuant to the exercise of all or any portion of the Stock Options. The Option Price shall be paid in cash or by check (U.S. dollars).</w:t>
      </w:r>
    </w:p>
    <w:p>
      <w:pPr>
        <w:sectPr>
          <w:pgSz w:w="11900" w:h="16838" w:orient="portrait"/>
          <w:cols w:equalWidth="0" w:num="1">
            <w:col w:w="11280"/>
          </w:cols>
          <w:pgMar w:left="300" w:top="125" w:right="319" w:bottom="1440" w:gutter="0" w:footer="0" w:header="0"/>
        </w:sectPr>
      </w:pPr>
    </w:p>
    <w:bookmarkStart w:id="130" w:name="page131"/>
    <w:bookmarkEnd w:id="130"/>
    <w:p>
      <w:pPr>
        <w:ind w:left="260" w:right="400" w:hanging="260"/>
        <w:spacing w:after="0" w:line="290" w:lineRule="auto"/>
        <w:tabs>
          <w:tab w:leader="none" w:pos="251" w:val="left"/>
        </w:tabs>
        <w:numPr>
          <w:ilvl w:val="0"/>
          <w:numId w:val="29"/>
        </w:numPr>
        <w:rPr>
          <w:rFonts w:ascii="Arial" w:cs="Arial" w:eastAsia="Arial" w:hAnsi="Arial"/>
          <w:sz w:val="14"/>
          <w:szCs w:val="14"/>
          <w:color w:val="auto"/>
        </w:rPr>
      </w:pPr>
      <w:r>
        <w:rPr>
          <w:rFonts w:ascii="Arial" w:cs="Arial" w:eastAsia="Arial" w:hAnsi="Arial"/>
          <w:sz w:val="14"/>
          <w:szCs w:val="14"/>
          <w:b w:val="1"/>
          <w:bCs w:val="1"/>
          <w:color w:val="auto"/>
        </w:rPr>
        <w:t>Vesting</w:t>
      </w:r>
      <w:r>
        <w:rPr>
          <w:rFonts w:ascii="Arial" w:cs="Arial" w:eastAsia="Arial" w:hAnsi="Arial"/>
          <w:sz w:val="14"/>
          <w:szCs w:val="14"/>
          <w:color w:val="auto"/>
        </w:rPr>
        <w:t>. Subject to the forfeiture provisions set forth in Articles VI and XV of the Plan, and subject to any accelerated vesting permitted under Article X of the Plan, the</w:t>
      </w:r>
      <w:r>
        <w:rPr>
          <w:rFonts w:ascii="Arial" w:cs="Arial" w:eastAsia="Arial" w:hAnsi="Arial"/>
          <w:sz w:val="14"/>
          <w:szCs w:val="14"/>
          <w:b w:val="1"/>
          <w:bCs w:val="1"/>
          <w:color w:val="auto"/>
        </w:rPr>
        <w:t xml:space="preserve"> </w:t>
      </w:r>
      <w:r>
        <w:rPr>
          <w:rFonts w:ascii="Arial" w:cs="Arial" w:eastAsia="Arial" w:hAnsi="Arial"/>
          <w:sz w:val="14"/>
          <w:szCs w:val="14"/>
          <w:color w:val="auto"/>
        </w:rPr>
        <w:t>Options granted under this Agreement vest as follows:</w:t>
      </w:r>
    </w:p>
    <w:p>
      <w:pPr>
        <w:spacing w:after="0" w:line="51" w:lineRule="exact"/>
        <w:rPr>
          <w:sz w:val="20"/>
          <w:szCs w:val="20"/>
          <w:color w:val="auto"/>
        </w:rPr>
      </w:pPr>
    </w:p>
    <w:tbl>
      <w:tblPr>
        <w:tblLayout w:type="fixed"/>
        <w:tblInd w:w="270" w:type="dxa"/>
        <w:tblCellMar>
          <w:top w:w="0" w:type="dxa"/>
          <w:left w:w="0" w:type="dxa"/>
          <w:bottom w:w="0" w:type="dxa"/>
          <w:right w:w="0" w:type="dxa"/>
        </w:tblCellMar>
      </w:tblPr>
      <w:tr>
        <w:trPr>
          <w:trHeight w:val="204"/>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First anniversary of the Grant Date</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25%</w:t>
            </w:r>
          </w:p>
        </w:tc>
      </w:tr>
      <w:tr>
        <w:trPr>
          <w:trHeight w:val="192"/>
        </w:trPr>
        <w:tc>
          <w:tcPr>
            <w:tcW w:w="4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Second anniversary of the Grant Date</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50%</w:t>
            </w:r>
          </w:p>
        </w:tc>
      </w:tr>
      <w:tr>
        <w:trPr>
          <w:trHeight w:val="192"/>
        </w:trPr>
        <w:tc>
          <w:tcPr>
            <w:tcW w:w="4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Third anniversary of the Grant Date</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75%</w:t>
            </w:r>
          </w:p>
        </w:tc>
      </w:tr>
      <w:tr>
        <w:trPr>
          <w:trHeight w:val="192"/>
        </w:trPr>
        <w:tc>
          <w:tcPr>
            <w:tcW w:w="4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Fourth anniversary of the Grant Date</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r>
    </w:tbl>
    <w:p>
      <w:pPr>
        <w:spacing w:after="0" w:line="200" w:lineRule="exact"/>
        <w:rPr>
          <w:sz w:val="20"/>
          <w:szCs w:val="20"/>
          <w:color w:val="auto"/>
        </w:rPr>
      </w:pPr>
    </w:p>
    <w:p>
      <w:pPr>
        <w:spacing w:after="0" w:line="220" w:lineRule="exact"/>
        <w:rPr>
          <w:sz w:val="20"/>
          <w:szCs w:val="20"/>
          <w:color w:val="auto"/>
        </w:rPr>
      </w:pPr>
    </w:p>
    <w:p>
      <w:pPr>
        <w:ind w:left="240" w:hanging="240"/>
        <w:spacing w:after="0"/>
        <w:tabs>
          <w:tab w:leader="none" w:pos="240" w:val="left"/>
        </w:tabs>
        <w:numPr>
          <w:ilvl w:val="0"/>
          <w:numId w:val="30"/>
        </w:numPr>
        <w:rPr>
          <w:rFonts w:ascii="Arial" w:cs="Arial" w:eastAsia="Arial" w:hAnsi="Arial"/>
          <w:sz w:val="14"/>
          <w:szCs w:val="14"/>
          <w:color w:val="auto"/>
        </w:rPr>
      </w:pPr>
      <w:r>
        <w:rPr>
          <w:rFonts w:ascii="Arial" w:cs="Arial" w:eastAsia="Arial" w:hAnsi="Arial"/>
          <w:sz w:val="14"/>
          <w:szCs w:val="14"/>
          <w:b w:val="1"/>
          <w:bCs w:val="1"/>
          <w:color w:val="auto"/>
        </w:rPr>
        <w:t>Termination of Continuous Service</w:t>
      </w:r>
    </w:p>
    <w:p>
      <w:pPr>
        <w:spacing w:after="0" w:line="93" w:lineRule="exact"/>
        <w:rPr>
          <w:rFonts w:ascii="Arial" w:cs="Arial" w:eastAsia="Arial" w:hAnsi="Arial"/>
          <w:sz w:val="14"/>
          <w:szCs w:val="14"/>
          <w:color w:val="auto"/>
        </w:rPr>
      </w:pPr>
    </w:p>
    <w:p>
      <w:pPr>
        <w:ind w:left="760" w:right="80" w:hanging="251"/>
        <w:spacing w:after="0" w:line="290" w:lineRule="auto"/>
        <w:tabs>
          <w:tab w:leader="none" w:pos="751" w:val="left"/>
        </w:tabs>
        <w:numPr>
          <w:ilvl w:val="1"/>
          <w:numId w:val="30"/>
        </w:numPr>
        <w:rPr>
          <w:rFonts w:ascii="Arial" w:cs="Arial" w:eastAsia="Arial" w:hAnsi="Arial"/>
          <w:sz w:val="14"/>
          <w:szCs w:val="14"/>
          <w:color w:val="auto"/>
        </w:rPr>
      </w:pPr>
      <w:r>
        <w:rPr>
          <w:rFonts w:ascii="Arial" w:cs="Arial" w:eastAsia="Arial" w:hAnsi="Arial"/>
          <w:sz w:val="14"/>
          <w:szCs w:val="14"/>
          <w:color w:val="auto"/>
        </w:rPr>
        <w:t>For the purposes of the Plan, if the Participant is a party to an employment or service agreement with the Company and such agreement provides for a definition of the following terms, the following terms shall have the definition contained therein. If no such agreement exists or the it does not defined the below terms:</w:t>
      </w:r>
    </w:p>
    <w:p>
      <w:pPr>
        <w:spacing w:after="0" w:line="311" w:lineRule="exact"/>
        <w:rPr>
          <w:rFonts w:ascii="Arial" w:cs="Arial" w:eastAsia="Arial" w:hAnsi="Arial"/>
          <w:sz w:val="14"/>
          <w:szCs w:val="14"/>
          <w:color w:val="auto"/>
        </w:rPr>
      </w:pPr>
    </w:p>
    <w:p>
      <w:pPr>
        <w:ind w:left="1280" w:hanging="332"/>
        <w:spacing w:after="0" w:line="258" w:lineRule="auto"/>
        <w:tabs>
          <w:tab w:leader="none" w:pos="1281" w:val="left"/>
        </w:tabs>
        <w:numPr>
          <w:ilvl w:val="2"/>
          <w:numId w:val="30"/>
        </w:numPr>
        <w:rPr>
          <w:rFonts w:ascii="Arial" w:cs="Arial" w:eastAsia="Arial" w:hAnsi="Arial"/>
          <w:sz w:val="14"/>
          <w:szCs w:val="14"/>
          <w:color w:val="auto"/>
        </w:rPr>
      </w:pPr>
      <w:r>
        <w:rPr>
          <w:rFonts w:ascii="Arial" w:cs="Arial" w:eastAsia="Arial" w:hAnsi="Arial"/>
          <w:sz w:val="14"/>
          <w:szCs w:val="14"/>
          <w:color w:val="1F4D78"/>
        </w:rPr>
        <w:t>“Cause” shall mean (A) the commission of, or plea of guilty or no contest to, a felony or a crime involving moral turpitude or the commission of any other act involving willful malfeasance or material fiduciary breach with respect to the Company; (B) conduct that results in or is reasonably likely to result in harm to the reputation or business of the Company; (C) gross negligence or willful misconduct with respect to the Company or an Affiliate; or (D) material violation of state or federal securities laws. With respect to any Director, a determination by a majority of the disinterested Board members that the Director has engaged in any of the following: malfeasance in office; gross misconduct or neglect; false or fraudulent misrepresentation inducing the director’s appointment; willful conversion of corporate funds; or repeated failure to participate in Board meetings on a regular basis despite having received proper notice of the meetings in advance. The Committee, in its absolute discretion, shall determine the effect of all matters and questions relating to whether a Participant has been discharged for Cause.</w:t>
      </w:r>
    </w:p>
    <w:p>
      <w:pPr>
        <w:spacing w:after="0" w:line="58" w:lineRule="exact"/>
        <w:rPr>
          <w:rFonts w:ascii="Arial" w:cs="Arial" w:eastAsia="Arial" w:hAnsi="Arial"/>
          <w:sz w:val="14"/>
          <w:szCs w:val="14"/>
          <w:color w:val="auto"/>
        </w:rPr>
      </w:pPr>
    </w:p>
    <w:p>
      <w:pPr>
        <w:ind w:left="1280" w:right="40" w:hanging="364"/>
        <w:spacing w:after="0" w:line="262" w:lineRule="auto"/>
        <w:tabs>
          <w:tab w:leader="none" w:pos="1281" w:val="left"/>
        </w:tabs>
        <w:numPr>
          <w:ilvl w:val="2"/>
          <w:numId w:val="30"/>
        </w:numPr>
        <w:rPr>
          <w:rFonts w:ascii="Arial" w:cs="Arial" w:eastAsia="Arial" w:hAnsi="Arial"/>
          <w:sz w:val="14"/>
          <w:szCs w:val="14"/>
          <w:color w:val="auto"/>
        </w:rPr>
      </w:pPr>
      <w:r>
        <w:rPr>
          <w:rFonts w:ascii="Arial" w:cs="Arial" w:eastAsia="Arial" w:hAnsi="Arial"/>
          <w:sz w:val="14"/>
          <w:szCs w:val="14"/>
          <w:color w:val="1F4D78"/>
        </w:rPr>
        <w:t xml:space="preserve">“Disability” shall mean that the Participant is unable to engage in any substantial gainful activity by reason of any medically determinable physical or mental impairment; </w:t>
      </w:r>
      <w:r>
        <w:rPr>
          <w:rFonts w:ascii="Arial" w:cs="Arial" w:eastAsia="Arial" w:hAnsi="Arial"/>
          <w:sz w:val="14"/>
          <w:szCs w:val="14"/>
          <w:i w:val="1"/>
          <w:iCs w:val="1"/>
          <w:color w:val="1F4D78"/>
        </w:rPr>
        <w:t>provided, however,</w:t>
      </w:r>
      <w:r>
        <w:rPr>
          <w:rFonts w:ascii="Arial" w:cs="Arial" w:eastAsia="Arial" w:hAnsi="Arial"/>
          <w:sz w:val="14"/>
          <w:szCs w:val="14"/>
          <w:color w:val="1F4D78"/>
        </w:rPr>
        <w:t xml:space="preserve"> for purposes of determining the term of an Incentive Stock Option pursuant to 3 hereof, the term Disability shall have the meaning ascribed to it under Section 22(e)(3) of the Code. Except in situations where the Committee is determining Disability for purposes of the term of an Incentive Stock Option pursuant to Section 6 hereof within the meaning of Section 22(e)(3) of the Code, the Committee may rely on any determination that a Participant is disabled for purposes of benefits under any long-term disability plan maintained by the Company in which a Participant participates.</w:t>
      </w:r>
    </w:p>
    <w:p>
      <w:pPr>
        <w:spacing w:after="0" w:line="54" w:lineRule="exact"/>
        <w:rPr>
          <w:rFonts w:ascii="Arial" w:cs="Arial" w:eastAsia="Arial" w:hAnsi="Arial"/>
          <w:sz w:val="14"/>
          <w:szCs w:val="14"/>
          <w:color w:val="auto"/>
        </w:rPr>
      </w:pPr>
    </w:p>
    <w:p>
      <w:pPr>
        <w:ind w:left="760" w:right="260" w:hanging="251"/>
        <w:spacing w:after="0" w:line="265" w:lineRule="auto"/>
        <w:tabs>
          <w:tab w:leader="none" w:pos="751" w:val="left"/>
        </w:tabs>
        <w:numPr>
          <w:ilvl w:val="1"/>
          <w:numId w:val="30"/>
        </w:numPr>
        <w:rPr>
          <w:rFonts w:ascii="Arial" w:cs="Arial" w:eastAsia="Arial" w:hAnsi="Arial"/>
          <w:sz w:val="14"/>
          <w:szCs w:val="14"/>
          <w:color w:val="auto"/>
        </w:rPr>
      </w:pPr>
      <w:r>
        <w:rPr>
          <w:rFonts w:ascii="Arial" w:cs="Arial" w:eastAsia="Arial" w:hAnsi="Arial"/>
          <w:sz w:val="14"/>
          <w:szCs w:val="14"/>
          <w:color w:val="auto"/>
        </w:rPr>
        <w:t>Termination for reasons other than Cause, death, Disability. If the Participant’s service with the Company, whether as an employee, consultant, or director (“Continuous Service”) is terminated for any reason other than Cause, death, or Disability, the Participant may exercise the vested portion of the Option, but only within such period of time ending on the earlier of (i) the date three months following the termination of the Participant’s Continuous Service or (ii) the Expiration Date.</w:t>
      </w:r>
    </w:p>
    <w:p>
      <w:pPr>
        <w:sectPr>
          <w:pgSz w:w="11900" w:h="16838" w:orient="portrait"/>
          <w:cols w:equalWidth="0" w:num="1">
            <w:col w:w="11020"/>
          </w:cols>
          <w:pgMar w:left="560" w:top="1143" w:right="319" w:bottom="1440" w:gutter="0" w:footer="0" w:header="0"/>
        </w:sectPr>
      </w:pPr>
    </w:p>
    <w:bookmarkStart w:id="131" w:name="page132"/>
    <w:bookmarkEnd w:id="131"/>
    <w:p>
      <w:pPr>
        <w:ind w:left="760" w:right="260" w:hanging="251"/>
        <w:spacing w:after="0" w:line="290" w:lineRule="auto"/>
        <w:tabs>
          <w:tab w:leader="none" w:pos="754" w:val="left"/>
        </w:tabs>
        <w:numPr>
          <w:ilvl w:val="1"/>
          <w:numId w:val="31"/>
        </w:numPr>
        <w:rPr>
          <w:rFonts w:ascii="Arial" w:cs="Arial" w:eastAsia="Arial" w:hAnsi="Arial"/>
          <w:sz w:val="14"/>
          <w:szCs w:val="14"/>
          <w:color w:val="auto"/>
        </w:rPr>
      </w:pPr>
      <w:r>
        <w:rPr>
          <w:rFonts w:ascii="Arial" w:cs="Arial" w:eastAsia="Arial" w:hAnsi="Arial"/>
          <w:sz w:val="14"/>
          <w:szCs w:val="14"/>
          <w:color w:val="auto"/>
        </w:rPr>
        <w:t>Termination for Cause. If the Participant’s Continuous Service is terminated for Cause, the Option (whether vested or unvested) shall immediately terminate and cease to be exercisable.</w:t>
      </w:r>
    </w:p>
    <w:p>
      <w:pPr>
        <w:spacing w:after="0" w:line="311" w:lineRule="exact"/>
        <w:rPr>
          <w:rFonts w:ascii="Arial" w:cs="Arial" w:eastAsia="Arial" w:hAnsi="Arial"/>
          <w:sz w:val="14"/>
          <w:szCs w:val="14"/>
          <w:color w:val="auto"/>
        </w:rPr>
      </w:pPr>
    </w:p>
    <w:p>
      <w:pPr>
        <w:ind w:left="760" w:right="60" w:hanging="251"/>
        <w:spacing w:after="0" w:line="271" w:lineRule="auto"/>
        <w:tabs>
          <w:tab w:leader="none" w:pos="751" w:val="left"/>
        </w:tabs>
        <w:numPr>
          <w:ilvl w:val="1"/>
          <w:numId w:val="31"/>
        </w:numPr>
        <w:rPr>
          <w:rFonts w:ascii="Arial" w:cs="Arial" w:eastAsia="Arial" w:hAnsi="Arial"/>
          <w:sz w:val="14"/>
          <w:szCs w:val="14"/>
          <w:color w:val="auto"/>
        </w:rPr>
      </w:pPr>
      <w:r>
        <w:rPr>
          <w:rFonts w:ascii="Arial" w:cs="Arial" w:eastAsia="Arial" w:hAnsi="Arial"/>
          <w:sz w:val="14"/>
          <w:szCs w:val="14"/>
          <w:color w:val="auto"/>
        </w:rPr>
        <w:t>Termination due to death or Disability. If the Participant’s Continuous Service terminates as a result of the Participant’s Disability, the Participant may exercise the vested portion of the Option, but only within such period of time ending on the earlier of: (i) the date 12 months following the Participant’s termination of Continuous Service or (ii) the Expiration Date.</w:t>
      </w:r>
    </w:p>
    <w:p>
      <w:pPr>
        <w:spacing w:after="0" w:line="324" w:lineRule="exact"/>
        <w:rPr>
          <w:rFonts w:ascii="Arial" w:cs="Arial" w:eastAsia="Arial" w:hAnsi="Arial"/>
          <w:sz w:val="14"/>
          <w:szCs w:val="14"/>
          <w:color w:val="auto"/>
        </w:rPr>
      </w:pPr>
    </w:p>
    <w:p>
      <w:pPr>
        <w:ind w:left="260" w:right="320" w:hanging="260"/>
        <w:spacing w:after="0" w:line="290" w:lineRule="auto"/>
        <w:tabs>
          <w:tab w:leader="none" w:pos="251" w:val="left"/>
        </w:tabs>
        <w:numPr>
          <w:ilvl w:val="0"/>
          <w:numId w:val="32"/>
        </w:numPr>
        <w:rPr>
          <w:rFonts w:ascii="Arial" w:cs="Arial" w:eastAsia="Arial" w:hAnsi="Arial"/>
          <w:sz w:val="14"/>
          <w:szCs w:val="14"/>
          <w:color w:val="auto"/>
        </w:rPr>
      </w:pPr>
      <w:r>
        <w:rPr>
          <w:rFonts w:ascii="Arial" w:cs="Arial" w:eastAsia="Arial" w:hAnsi="Arial"/>
          <w:sz w:val="14"/>
          <w:szCs w:val="14"/>
          <w:b w:val="1"/>
          <w:bCs w:val="1"/>
          <w:color w:val="auto"/>
        </w:rPr>
        <w:t>Delivery of Certificate</w:t>
      </w:r>
      <w:r>
        <w:rPr>
          <w:rFonts w:ascii="Arial" w:cs="Arial" w:eastAsia="Arial" w:hAnsi="Arial"/>
          <w:sz w:val="14"/>
          <w:szCs w:val="14"/>
          <w:color w:val="auto"/>
        </w:rPr>
        <w:t>. As soon as practicable following the exercise of the Stock Options by the Participant, the Company shall deliver or cause to be delivered to the</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 a certificate representing the Shares acquired pursuant to any such exercise.</w:t>
      </w:r>
    </w:p>
    <w:p>
      <w:pPr>
        <w:spacing w:after="0" w:line="35" w:lineRule="exact"/>
        <w:rPr>
          <w:rFonts w:ascii="Arial" w:cs="Arial" w:eastAsia="Arial" w:hAnsi="Arial"/>
          <w:sz w:val="14"/>
          <w:szCs w:val="14"/>
          <w:color w:val="auto"/>
        </w:rPr>
      </w:pPr>
    </w:p>
    <w:p>
      <w:pPr>
        <w:ind w:left="260" w:right="40" w:hanging="260"/>
        <w:spacing w:after="0" w:line="290" w:lineRule="auto"/>
        <w:tabs>
          <w:tab w:leader="none" w:pos="251" w:val="left"/>
        </w:tabs>
        <w:numPr>
          <w:ilvl w:val="0"/>
          <w:numId w:val="32"/>
        </w:numPr>
        <w:rPr>
          <w:rFonts w:ascii="Arial" w:cs="Arial" w:eastAsia="Arial" w:hAnsi="Arial"/>
          <w:sz w:val="14"/>
          <w:szCs w:val="14"/>
          <w:color w:val="auto"/>
        </w:rPr>
      </w:pPr>
      <w:r>
        <w:rPr>
          <w:rFonts w:ascii="Arial" w:cs="Arial" w:eastAsia="Arial" w:hAnsi="Arial"/>
          <w:sz w:val="14"/>
          <w:szCs w:val="14"/>
          <w:b w:val="1"/>
          <w:bCs w:val="1"/>
          <w:color w:val="auto"/>
        </w:rPr>
        <w:t>Investment</w:t>
      </w:r>
      <w:r>
        <w:rPr>
          <w:rFonts w:ascii="Arial" w:cs="Arial" w:eastAsia="Arial" w:hAnsi="Arial"/>
          <w:sz w:val="14"/>
          <w:szCs w:val="14"/>
          <w:color w:val="auto"/>
        </w:rPr>
        <w:t>. The Participant hereby represents and warrants to the Company that any and all Shares which shall be acquired pursuant to the exercise of the Stock Options</w:t>
      </w:r>
      <w:r>
        <w:rPr>
          <w:rFonts w:ascii="Arial" w:cs="Arial" w:eastAsia="Arial" w:hAnsi="Arial"/>
          <w:sz w:val="14"/>
          <w:szCs w:val="14"/>
          <w:b w:val="1"/>
          <w:bCs w:val="1"/>
          <w:color w:val="auto"/>
        </w:rPr>
        <w:t xml:space="preserve"> </w:t>
      </w:r>
      <w:r>
        <w:rPr>
          <w:rFonts w:ascii="Arial" w:cs="Arial" w:eastAsia="Arial" w:hAnsi="Arial"/>
          <w:sz w:val="14"/>
          <w:szCs w:val="14"/>
          <w:color w:val="auto"/>
        </w:rPr>
        <w:t>shall be acquired for the Participant’s own account, for investment, and not with a view toward resale.</w:t>
      </w:r>
    </w:p>
    <w:p>
      <w:pPr>
        <w:spacing w:after="0" w:line="35" w:lineRule="exact"/>
        <w:rPr>
          <w:rFonts w:ascii="Arial" w:cs="Arial" w:eastAsia="Arial" w:hAnsi="Arial"/>
          <w:sz w:val="14"/>
          <w:szCs w:val="14"/>
          <w:color w:val="auto"/>
        </w:rPr>
      </w:pPr>
    </w:p>
    <w:p>
      <w:pPr>
        <w:ind w:left="260" w:hanging="260"/>
        <w:spacing w:after="0" w:line="262" w:lineRule="auto"/>
        <w:tabs>
          <w:tab w:leader="none" w:pos="251" w:val="left"/>
        </w:tabs>
        <w:numPr>
          <w:ilvl w:val="0"/>
          <w:numId w:val="32"/>
        </w:numPr>
        <w:rPr>
          <w:rFonts w:ascii="Arial" w:cs="Arial" w:eastAsia="Arial" w:hAnsi="Arial"/>
          <w:sz w:val="14"/>
          <w:szCs w:val="14"/>
          <w:color w:val="auto"/>
        </w:rPr>
      </w:pPr>
      <w:r>
        <w:rPr>
          <w:rFonts w:ascii="Arial" w:cs="Arial" w:eastAsia="Arial" w:hAnsi="Arial"/>
          <w:sz w:val="14"/>
          <w:szCs w:val="14"/>
          <w:b w:val="1"/>
          <w:bCs w:val="1"/>
          <w:color w:val="auto"/>
        </w:rPr>
        <w:t>Withholding of Taxes</w:t>
      </w:r>
      <w:r>
        <w:rPr>
          <w:rFonts w:ascii="Arial" w:cs="Arial" w:eastAsia="Arial" w:hAnsi="Arial"/>
          <w:sz w:val="14"/>
          <w:szCs w:val="14"/>
          <w:color w:val="auto"/>
        </w:rPr>
        <w:t>. The Company shall withhold from any amounts due and payable by the Company to the Participant (or secure payment from the Participant in lieu</w:t>
      </w:r>
      <w:r>
        <w:rPr>
          <w:rFonts w:ascii="Arial" w:cs="Arial" w:eastAsia="Arial" w:hAnsi="Arial"/>
          <w:sz w:val="14"/>
          <w:szCs w:val="14"/>
          <w:b w:val="1"/>
          <w:bCs w:val="1"/>
          <w:color w:val="auto"/>
        </w:rPr>
        <w:t xml:space="preserve"> </w:t>
      </w:r>
      <w:r>
        <w:rPr>
          <w:rFonts w:ascii="Arial" w:cs="Arial" w:eastAsia="Arial" w:hAnsi="Arial"/>
          <w:sz w:val="14"/>
          <w:szCs w:val="14"/>
          <w:color w:val="auto"/>
        </w:rPr>
        <w:t>of withholding) the amount of any federal or state withholding or other taxes, if any, due from the Company with respect to the exercise of the Option, and the Company may defer such issuance until such withholding or payment is made unless otherwise indemnified to its satisfaction with respect thereto. The Company shall have the right to: (i) make deductions from any settlement of this Option, including the delivery of Shares, or require Shares or cash, or both, be withheld from any settlement of this Option, in each case in an amount sufficient to satisfy the withholding obligation; or (ii) take such other action as may be necessary or appropriate to satisfy the withholding obligation.</w:t>
      </w:r>
    </w:p>
    <w:p>
      <w:pPr>
        <w:spacing w:after="0" w:line="54" w:lineRule="exact"/>
        <w:rPr>
          <w:rFonts w:ascii="Arial" w:cs="Arial" w:eastAsia="Arial" w:hAnsi="Arial"/>
          <w:sz w:val="14"/>
          <w:szCs w:val="14"/>
          <w:color w:val="auto"/>
        </w:rPr>
      </w:pPr>
    </w:p>
    <w:p>
      <w:pPr>
        <w:ind w:left="260" w:right="80" w:hanging="260"/>
        <w:spacing w:after="0" w:line="271" w:lineRule="auto"/>
        <w:tabs>
          <w:tab w:leader="none" w:pos="255" w:val="left"/>
        </w:tabs>
        <w:numPr>
          <w:ilvl w:val="0"/>
          <w:numId w:val="32"/>
        </w:numPr>
        <w:rPr>
          <w:rFonts w:ascii="Arial" w:cs="Arial" w:eastAsia="Arial" w:hAnsi="Arial"/>
          <w:sz w:val="14"/>
          <w:szCs w:val="14"/>
          <w:color w:val="auto"/>
        </w:rPr>
      </w:pPr>
      <w:r>
        <w:rPr>
          <w:rFonts w:ascii="Arial" w:cs="Arial" w:eastAsia="Arial" w:hAnsi="Arial"/>
          <w:sz w:val="14"/>
          <w:szCs w:val="14"/>
          <w:b w:val="1"/>
          <w:bCs w:val="1"/>
          <w:color w:val="auto"/>
        </w:rPr>
        <w:t>Adjustments</w:t>
      </w:r>
      <w:r>
        <w:rPr>
          <w:rFonts w:ascii="Arial" w:cs="Arial" w:eastAsia="Arial" w:hAnsi="Arial"/>
          <w:sz w:val="14"/>
          <w:szCs w:val="14"/>
          <w:color w:val="auto"/>
        </w:rPr>
        <w:t>. If at any time while the Option is outstanding, the number of outstanding Shares is changed by reason of a reorganization, recapitalization, stock split or any</w:t>
      </w:r>
      <w:r>
        <w:rPr>
          <w:rFonts w:ascii="Arial" w:cs="Arial" w:eastAsia="Arial" w:hAnsi="Arial"/>
          <w:sz w:val="14"/>
          <w:szCs w:val="14"/>
          <w:b w:val="1"/>
          <w:bCs w:val="1"/>
          <w:color w:val="auto"/>
        </w:rPr>
        <w:t xml:space="preserve"> </w:t>
      </w:r>
      <w:r>
        <w:rPr>
          <w:rFonts w:ascii="Arial" w:cs="Arial" w:eastAsia="Arial" w:hAnsi="Arial"/>
          <w:sz w:val="14"/>
          <w:szCs w:val="14"/>
          <w:color w:val="auto"/>
        </w:rPr>
        <w:t>other event described in Section 4.4 of the Plan, the number and/or kind of Shares subject to the Option and/or the Option Price of such Shares shall be adjusted in accordance with the provisions of the Plan.</w:t>
      </w:r>
    </w:p>
    <w:p>
      <w:pPr>
        <w:spacing w:after="0" w:line="48" w:lineRule="exact"/>
        <w:rPr>
          <w:rFonts w:ascii="Arial" w:cs="Arial" w:eastAsia="Arial" w:hAnsi="Arial"/>
          <w:sz w:val="14"/>
          <w:szCs w:val="14"/>
          <w:color w:val="auto"/>
        </w:rPr>
      </w:pPr>
    </w:p>
    <w:p>
      <w:pPr>
        <w:ind w:left="260" w:right="40" w:hanging="260"/>
        <w:spacing w:after="0" w:line="262" w:lineRule="auto"/>
        <w:tabs>
          <w:tab w:leader="none" w:pos="245" w:val="left"/>
        </w:tabs>
        <w:numPr>
          <w:ilvl w:val="0"/>
          <w:numId w:val="32"/>
        </w:numPr>
        <w:rPr>
          <w:rFonts w:ascii="Arial" w:cs="Arial" w:eastAsia="Arial" w:hAnsi="Arial"/>
          <w:sz w:val="14"/>
          <w:szCs w:val="14"/>
          <w:color w:val="auto"/>
        </w:rPr>
      </w:pPr>
      <w:r>
        <w:rPr>
          <w:rFonts w:ascii="Arial" w:cs="Arial" w:eastAsia="Arial" w:hAnsi="Arial"/>
          <w:sz w:val="14"/>
          <w:szCs w:val="14"/>
          <w:b w:val="1"/>
          <w:bCs w:val="1"/>
          <w:color w:val="auto"/>
        </w:rPr>
        <w:t>Non-assignability</w:t>
      </w:r>
      <w:r>
        <w:rPr>
          <w:rFonts w:ascii="Arial" w:cs="Arial" w:eastAsia="Arial" w:hAnsi="Arial"/>
          <w:sz w:val="14"/>
          <w:szCs w:val="14"/>
          <w:color w:val="auto"/>
        </w:rPr>
        <w:t>. The Stock Options granted may not be transferred, pledged, assigned, hypothecated or otherwise disposed of in any way by the Participant except by</w:t>
      </w:r>
      <w:r>
        <w:rPr>
          <w:rFonts w:ascii="Arial" w:cs="Arial" w:eastAsia="Arial" w:hAnsi="Arial"/>
          <w:sz w:val="14"/>
          <w:szCs w:val="14"/>
          <w:b w:val="1"/>
          <w:bCs w:val="1"/>
          <w:color w:val="auto"/>
        </w:rPr>
        <w:t xml:space="preserve"> </w:t>
      </w:r>
      <w:r>
        <w:rPr>
          <w:rFonts w:ascii="Arial" w:cs="Arial" w:eastAsia="Arial" w:hAnsi="Arial"/>
          <w:sz w:val="14"/>
          <w:szCs w:val="14"/>
          <w:color w:val="auto"/>
        </w:rPr>
        <w:t>will or the laws of descent or distribution and are exercisable during the Participant’s lifetime only by the Participant. Any attempt to effect a transfer of this Option that is not otherwise permitted by the Board of Directors, the Plan, or this Agreement shall be null and void. During the period commencing on the date the Stock Options are exercised and terminating two (2) years thereafter, the Participant may not sell, assign, transfer, pledge or otherwise encumber the Shares purchased in settlement of the Stock Option.</w:t>
      </w:r>
    </w:p>
    <w:p>
      <w:pPr>
        <w:spacing w:after="0" w:line="54" w:lineRule="exact"/>
        <w:rPr>
          <w:rFonts w:ascii="Arial" w:cs="Arial" w:eastAsia="Arial" w:hAnsi="Arial"/>
          <w:sz w:val="14"/>
          <w:szCs w:val="14"/>
          <w:color w:val="auto"/>
        </w:rPr>
      </w:pPr>
    </w:p>
    <w:p>
      <w:pPr>
        <w:ind w:left="240" w:hanging="240"/>
        <w:spacing w:after="0"/>
        <w:tabs>
          <w:tab w:leader="none" w:pos="240" w:val="left"/>
        </w:tabs>
        <w:numPr>
          <w:ilvl w:val="0"/>
          <w:numId w:val="32"/>
        </w:numPr>
        <w:rPr>
          <w:rFonts w:ascii="Arial" w:cs="Arial" w:eastAsia="Arial" w:hAnsi="Arial"/>
          <w:sz w:val="14"/>
          <w:szCs w:val="14"/>
          <w:color w:val="auto"/>
        </w:rPr>
      </w:pPr>
      <w:r>
        <w:rPr>
          <w:rFonts w:ascii="Arial" w:cs="Arial" w:eastAsia="Arial" w:hAnsi="Arial"/>
          <w:sz w:val="14"/>
          <w:szCs w:val="14"/>
          <w:b w:val="1"/>
          <w:bCs w:val="1"/>
          <w:color w:val="auto"/>
        </w:rPr>
        <w:t>No Rights as a Shareholder or to Continued Employment</w:t>
      </w:r>
      <w:r>
        <w:rPr>
          <w:rFonts w:ascii="Arial" w:cs="Arial" w:eastAsia="Arial" w:hAnsi="Arial"/>
          <w:sz w:val="14"/>
          <w:szCs w:val="14"/>
          <w:color w:val="auto"/>
        </w:rPr>
        <w:t>.</w:t>
      </w:r>
    </w:p>
    <w:p>
      <w:pPr>
        <w:spacing w:after="0" w:line="93" w:lineRule="exact"/>
        <w:rPr>
          <w:rFonts w:ascii="Arial" w:cs="Arial" w:eastAsia="Arial" w:hAnsi="Arial"/>
          <w:sz w:val="14"/>
          <w:szCs w:val="14"/>
          <w:color w:val="auto"/>
        </w:rPr>
      </w:pPr>
    </w:p>
    <w:p>
      <w:pPr>
        <w:jc w:val="both"/>
        <w:ind w:left="760" w:right="120" w:hanging="251"/>
        <w:spacing w:after="0" w:line="271" w:lineRule="auto"/>
        <w:tabs>
          <w:tab w:leader="none" w:pos="751" w:val="left"/>
        </w:tabs>
        <w:numPr>
          <w:ilvl w:val="1"/>
          <w:numId w:val="32"/>
        </w:numPr>
        <w:rPr>
          <w:rFonts w:ascii="Arial" w:cs="Arial" w:eastAsia="Arial" w:hAnsi="Arial"/>
          <w:sz w:val="14"/>
          <w:szCs w:val="14"/>
          <w:color w:val="auto"/>
        </w:rPr>
      </w:pPr>
      <w:r>
        <w:rPr>
          <w:rFonts w:ascii="Arial" w:cs="Arial" w:eastAsia="Arial" w:hAnsi="Arial"/>
          <w:sz w:val="14"/>
          <w:szCs w:val="14"/>
          <w:u w:val="single" w:color="auto"/>
          <w:color w:val="auto"/>
        </w:rPr>
        <w:t>No Rights as a Shareholder</w:t>
      </w:r>
      <w:r>
        <w:rPr>
          <w:rFonts w:ascii="Arial" w:cs="Arial" w:eastAsia="Arial" w:hAnsi="Arial"/>
          <w:sz w:val="14"/>
          <w:szCs w:val="14"/>
          <w:color w:val="auto"/>
        </w:rPr>
        <w:t>. The Participant shall not have any privileges of a shareholder of the Company with respect to any Shares subject to (but not acquired upon valid exercise of) the Option, nor shall the Company have any obligation to pay any dividends or otherwise afford any rights to which Shares are entitled with respect to such Shares, until the date of the issuance to the Participant of a stock certificate evidencing such Shares.</w:t>
      </w:r>
    </w:p>
    <w:p>
      <w:pPr>
        <w:spacing w:after="0" w:line="325" w:lineRule="exact"/>
        <w:rPr>
          <w:sz w:val="20"/>
          <w:szCs w:val="20"/>
          <w:color w:val="auto"/>
        </w:rPr>
      </w:pPr>
    </w:p>
    <w:p>
      <w:pPr>
        <w:ind w:left="760" w:right="360" w:hanging="251"/>
        <w:spacing w:after="0" w:line="290" w:lineRule="auto"/>
        <w:tabs>
          <w:tab w:leader="none" w:pos="751"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No Right to Continued Employment</w:t>
      </w:r>
      <w:r>
        <w:rPr>
          <w:rFonts w:ascii="Arial" w:cs="Arial" w:eastAsia="Arial" w:hAnsi="Arial"/>
          <w:sz w:val="14"/>
          <w:szCs w:val="14"/>
          <w:color w:val="auto"/>
        </w:rPr>
        <w:t>. Nothing in this Agreement shall confer upon a Participant who is an employee of the Company any right to continue in the employ of the</w:t>
      </w:r>
    </w:p>
    <w:p>
      <w:pPr>
        <w:sectPr>
          <w:pgSz w:w="11900" w:h="16838" w:orient="portrait"/>
          <w:cols w:equalWidth="0" w:num="1">
            <w:col w:w="11000"/>
          </w:cols>
          <w:pgMar w:left="560" w:top="1143" w:right="339" w:bottom="1440" w:gutter="0" w:footer="0" w:header="0"/>
        </w:sectPr>
      </w:pPr>
    </w:p>
    <w:bookmarkStart w:id="132" w:name="page133"/>
    <w:bookmarkEnd w:id="132"/>
    <w:p>
      <w:pPr>
        <w:ind w:left="860"/>
        <w:spacing w:after="0"/>
        <w:rPr>
          <w:sz w:val="20"/>
          <w:szCs w:val="20"/>
          <w:color w:val="auto"/>
        </w:rPr>
      </w:pPr>
      <w:r>
        <w:rPr>
          <w:rFonts w:ascii="Arial" w:cs="Arial" w:eastAsia="Arial" w:hAnsi="Arial"/>
          <w:sz w:val="14"/>
          <w:szCs w:val="14"/>
          <w:color w:val="auto"/>
        </w:rPr>
        <w:t>Company or to interfere in any way with the right of the Company to terminate the Participant’s employment at any time.</w:t>
      </w:r>
    </w:p>
    <w:p>
      <w:pPr>
        <w:spacing w:after="0" w:line="369" w:lineRule="exact"/>
        <w:rPr>
          <w:sz w:val="20"/>
          <w:szCs w:val="20"/>
          <w:color w:val="auto"/>
        </w:rPr>
      </w:pPr>
    </w:p>
    <w:p>
      <w:pPr>
        <w:ind w:left="360" w:right="20" w:hanging="260"/>
        <w:spacing w:after="0" w:line="271" w:lineRule="auto"/>
        <w:tabs>
          <w:tab w:leader="none" w:pos="355" w:val="left"/>
        </w:tabs>
        <w:numPr>
          <w:ilvl w:val="0"/>
          <w:numId w:val="34"/>
        </w:numPr>
        <w:rPr>
          <w:rFonts w:ascii="Arial" w:cs="Arial" w:eastAsia="Arial" w:hAnsi="Arial"/>
          <w:sz w:val="14"/>
          <w:szCs w:val="14"/>
          <w:color w:val="auto"/>
        </w:rPr>
      </w:pPr>
      <w:r>
        <w:rPr>
          <w:rFonts w:ascii="Arial" w:cs="Arial" w:eastAsia="Arial" w:hAnsi="Arial"/>
          <w:sz w:val="14"/>
          <w:szCs w:val="14"/>
          <w:b w:val="1"/>
          <w:bCs w:val="1"/>
          <w:color w:val="auto"/>
        </w:rPr>
        <w:t xml:space="preserve">Disqualifying Disposition. </w:t>
      </w:r>
      <w:r>
        <w:rPr>
          <w:rFonts w:ascii="Arial" w:cs="Arial" w:eastAsia="Arial" w:hAnsi="Arial"/>
          <w:sz w:val="14"/>
          <w:szCs w:val="14"/>
          <w:color w:val="auto"/>
        </w:rPr>
        <w:t>If Shares acquired by exercise of the Option are disposed of within two years following the Grant Date or one year following the transfer of such</w:t>
      </w:r>
      <w:r>
        <w:rPr>
          <w:rFonts w:ascii="Arial" w:cs="Arial" w:eastAsia="Arial" w:hAnsi="Arial"/>
          <w:sz w:val="14"/>
          <w:szCs w:val="14"/>
          <w:b w:val="1"/>
          <w:bCs w:val="1"/>
          <w:color w:val="auto"/>
        </w:rPr>
        <w:t xml:space="preserve"> </w:t>
      </w:r>
      <w:r>
        <w:rPr>
          <w:rFonts w:ascii="Arial" w:cs="Arial" w:eastAsia="Arial" w:hAnsi="Arial"/>
          <w:sz w:val="14"/>
          <w:szCs w:val="14"/>
          <w:color w:val="auto"/>
        </w:rPr>
        <w:t>Shares to the Participant upon exercise, the Participant shall, promptly following such disposition, notify the Company in writing of the date and terms of such disposition and provide such other information regarding the disposition as the Committee may reasonably require.</w:t>
      </w:r>
    </w:p>
    <w:p>
      <w:pPr>
        <w:spacing w:after="0" w:line="48" w:lineRule="exact"/>
        <w:rPr>
          <w:rFonts w:ascii="Arial" w:cs="Arial" w:eastAsia="Arial" w:hAnsi="Arial"/>
          <w:sz w:val="14"/>
          <w:szCs w:val="14"/>
          <w:color w:val="auto"/>
        </w:rPr>
      </w:pPr>
    </w:p>
    <w:p>
      <w:pPr>
        <w:jc w:val="both"/>
        <w:ind w:left="360" w:hanging="260"/>
        <w:spacing w:after="0" w:line="271" w:lineRule="auto"/>
        <w:tabs>
          <w:tab w:leader="none" w:pos="355" w:val="left"/>
        </w:tabs>
        <w:numPr>
          <w:ilvl w:val="0"/>
          <w:numId w:val="34"/>
        </w:numPr>
        <w:rPr>
          <w:rFonts w:ascii="Arial" w:cs="Arial" w:eastAsia="Arial" w:hAnsi="Arial"/>
          <w:sz w:val="14"/>
          <w:szCs w:val="14"/>
          <w:color w:val="auto"/>
        </w:rPr>
      </w:pPr>
      <w:r>
        <w:rPr>
          <w:rFonts w:ascii="Arial" w:cs="Arial" w:eastAsia="Arial" w:hAnsi="Arial"/>
          <w:sz w:val="14"/>
          <w:szCs w:val="14"/>
          <w:b w:val="1"/>
          <w:bCs w:val="1"/>
          <w:color w:val="auto"/>
        </w:rPr>
        <w:t>Notices</w:t>
      </w:r>
      <w:r>
        <w:rPr>
          <w:rFonts w:ascii="Arial" w:cs="Arial" w:eastAsia="Arial" w:hAnsi="Arial"/>
          <w:sz w:val="14"/>
          <w:szCs w:val="14"/>
          <w:color w:val="auto"/>
        </w:rPr>
        <w:t>. All notices, requests and demands to or upon a party hereto shall be in writing and shall be deemed to have been duly given when delivered by hand or three days</w:t>
      </w:r>
      <w:r>
        <w:rPr>
          <w:rFonts w:ascii="Arial" w:cs="Arial" w:eastAsia="Arial" w:hAnsi="Arial"/>
          <w:sz w:val="14"/>
          <w:szCs w:val="14"/>
          <w:b w:val="1"/>
          <w:bCs w:val="1"/>
          <w:color w:val="auto"/>
        </w:rPr>
        <w:t xml:space="preserve"> </w:t>
      </w:r>
      <w:r>
        <w:rPr>
          <w:rFonts w:ascii="Arial" w:cs="Arial" w:eastAsia="Arial" w:hAnsi="Arial"/>
          <w:sz w:val="14"/>
          <w:szCs w:val="14"/>
          <w:color w:val="auto"/>
        </w:rPr>
        <w:t>after being deposited in the mail, postage prepaid or, in the case of facsimile notice, when received, addressed as follows or to such other address as either party may have furnished to the other in writing in accordance herewith, except that notices of change of address shall be effective only upon receipt.</w:t>
      </w:r>
    </w:p>
    <w:p>
      <w:pPr>
        <w:spacing w:after="0" w:line="48"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If to the Company, to the following address:</w:t>
      </w:r>
    </w:p>
    <w:p>
      <w:pPr>
        <w:spacing w:after="0" w:line="9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Attn: Secretary</w:t>
      </w:r>
    </w:p>
    <w:p>
      <w:pPr>
        <w:spacing w:after="0" w:line="9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Capital Bancorp, Inc.</w:t>
      </w:r>
    </w:p>
    <w:p>
      <w:pPr>
        <w:spacing w:after="0" w:line="9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One Church Street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 20850</w:t>
      </w:r>
    </w:p>
    <w:p>
      <w:pPr>
        <w:spacing w:after="0" w:line="3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If to the Participant, to the address or facsimile number as shown on the signature page hereto.</w:t>
      </w:r>
    </w:p>
    <w:p>
      <w:pPr>
        <w:spacing w:after="0" w:line="94" w:lineRule="exact"/>
        <w:rPr>
          <w:sz w:val="20"/>
          <w:szCs w:val="20"/>
          <w:color w:val="auto"/>
        </w:rPr>
      </w:pPr>
    </w:p>
    <w:p>
      <w:pPr>
        <w:ind w:left="360" w:right="80" w:hanging="260"/>
        <w:spacing w:after="0" w:line="290" w:lineRule="auto"/>
        <w:tabs>
          <w:tab w:leader="none" w:pos="355" w:val="left"/>
        </w:tabs>
        <w:numPr>
          <w:ilvl w:val="0"/>
          <w:numId w:val="35"/>
        </w:numPr>
        <w:rPr>
          <w:rFonts w:ascii="Arial" w:cs="Arial" w:eastAsia="Arial" w:hAnsi="Arial"/>
          <w:sz w:val="14"/>
          <w:szCs w:val="14"/>
          <w:color w:val="auto"/>
        </w:rPr>
      </w:pPr>
      <w:r>
        <w:rPr>
          <w:rFonts w:ascii="Arial" w:cs="Arial" w:eastAsia="Arial" w:hAnsi="Arial"/>
          <w:sz w:val="14"/>
          <w:szCs w:val="14"/>
          <w:b w:val="1"/>
          <w:bCs w:val="1"/>
          <w:color w:val="auto"/>
        </w:rPr>
        <w:t>Governing Law</w:t>
      </w:r>
      <w:r>
        <w:rPr>
          <w:rFonts w:ascii="Arial" w:cs="Arial" w:eastAsia="Arial" w:hAnsi="Arial"/>
          <w:sz w:val="14"/>
          <w:szCs w:val="14"/>
          <w:color w:val="auto"/>
        </w:rPr>
        <w:t>. This Agreement shall be construed and interpreted in accordance with and governed by the laws of the State of Maryland (without regard to choice of law</w:t>
      </w:r>
      <w:r>
        <w:rPr>
          <w:rFonts w:ascii="Arial" w:cs="Arial" w:eastAsia="Arial" w:hAnsi="Arial"/>
          <w:sz w:val="14"/>
          <w:szCs w:val="14"/>
          <w:b w:val="1"/>
          <w:bCs w:val="1"/>
          <w:color w:val="auto"/>
        </w:rPr>
        <w:t xml:space="preserve"> </w:t>
      </w:r>
      <w:r>
        <w:rPr>
          <w:rFonts w:ascii="Arial" w:cs="Arial" w:eastAsia="Arial" w:hAnsi="Arial"/>
          <w:sz w:val="14"/>
          <w:szCs w:val="14"/>
          <w:color w:val="auto"/>
        </w:rPr>
        <w:t>provisions).</w:t>
      </w:r>
    </w:p>
    <w:p>
      <w:pPr>
        <w:spacing w:after="0" w:line="35" w:lineRule="exact"/>
        <w:rPr>
          <w:rFonts w:ascii="Arial" w:cs="Arial" w:eastAsia="Arial" w:hAnsi="Arial"/>
          <w:sz w:val="14"/>
          <w:szCs w:val="14"/>
          <w:color w:val="auto"/>
        </w:rPr>
      </w:pPr>
    </w:p>
    <w:p>
      <w:pPr>
        <w:ind w:left="360" w:right="280" w:hanging="260"/>
        <w:spacing w:after="0" w:line="290" w:lineRule="auto"/>
        <w:tabs>
          <w:tab w:leader="none" w:pos="355" w:val="left"/>
        </w:tabs>
        <w:numPr>
          <w:ilvl w:val="0"/>
          <w:numId w:val="35"/>
        </w:numPr>
        <w:rPr>
          <w:rFonts w:ascii="Arial" w:cs="Arial" w:eastAsia="Arial" w:hAnsi="Arial"/>
          <w:sz w:val="14"/>
          <w:szCs w:val="14"/>
          <w:color w:val="auto"/>
        </w:rPr>
      </w:pPr>
      <w:r>
        <w:rPr>
          <w:rFonts w:ascii="Arial" w:cs="Arial" w:eastAsia="Arial" w:hAnsi="Arial"/>
          <w:sz w:val="14"/>
          <w:szCs w:val="14"/>
          <w:b w:val="1"/>
          <w:bCs w:val="1"/>
          <w:color w:val="auto"/>
        </w:rPr>
        <w:t>Entire Agreement</w:t>
      </w:r>
      <w:r>
        <w:rPr>
          <w:rFonts w:ascii="Arial" w:cs="Arial" w:eastAsia="Arial" w:hAnsi="Arial"/>
          <w:sz w:val="14"/>
          <w:szCs w:val="14"/>
          <w:color w:val="auto"/>
        </w:rPr>
        <w:t>. This Agreement and the Plan constitute the entire agreement among the parties hereto with respect to the subject matter hereof and supersedes all</w:t>
      </w:r>
      <w:r>
        <w:rPr>
          <w:rFonts w:ascii="Arial" w:cs="Arial" w:eastAsia="Arial" w:hAnsi="Arial"/>
          <w:sz w:val="14"/>
          <w:szCs w:val="14"/>
          <w:b w:val="1"/>
          <w:bCs w:val="1"/>
          <w:color w:val="auto"/>
        </w:rPr>
        <w:t xml:space="preserve"> </w:t>
      </w:r>
      <w:r>
        <w:rPr>
          <w:rFonts w:ascii="Arial" w:cs="Arial" w:eastAsia="Arial" w:hAnsi="Arial"/>
          <w:sz w:val="14"/>
          <w:szCs w:val="14"/>
          <w:color w:val="auto"/>
        </w:rPr>
        <w:t>prior agreements, understandings and arrangements, both oral and written, between the parties hereto with respect to such subject matter.</w:t>
      </w:r>
    </w:p>
    <w:p>
      <w:pPr>
        <w:spacing w:after="0" w:line="35" w:lineRule="exact"/>
        <w:rPr>
          <w:rFonts w:ascii="Arial" w:cs="Arial" w:eastAsia="Arial" w:hAnsi="Arial"/>
          <w:sz w:val="14"/>
          <w:szCs w:val="14"/>
          <w:color w:val="auto"/>
        </w:rPr>
      </w:pPr>
    </w:p>
    <w:p>
      <w:pPr>
        <w:ind w:left="360" w:hanging="260"/>
        <w:spacing w:after="0" w:line="290" w:lineRule="auto"/>
        <w:tabs>
          <w:tab w:leader="none" w:pos="355" w:val="left"/>
        </w:tabs>
        <w:numPr>
          <w:ilvl w:val="0"/>
          <w:numId w:val="35"/>
        </w:numPr>
        <w:rPr>
          <w:rFonts w:ascii="Arial" w:cs="Arial" w:eastAsia="Arial" w:hAnsi="Arial"/>
          <w:sz w:val="14"/>
          <w:szCs w:val="14"/>
          <w:color w:val="auto"/>
        </w:rPr>
      </w:pPr>
      <w:r>
        <w:rPr>
          <w:rFonts w:ascii="Arial" w:cs="Arial" w:eastAsia="Arial" w:hAnsi="Arial"/>
          <w:sz w:val="14"/>
          <w:szCs w:val="14"/>
          <w:b w:val="1"/>
          <w:bCs w:val="1"/>
          <w:color w:val="auto"/>
        </w:rPr>
        <w:t>Amendment</w:t>
      </w:r>
      <w:r>
        <w:rPr>
          <w:rFonts w:ascii="Arial" w:cs="Arial" w:eastAsia="Arial" w:hAnsi="Arial"/>
          <w:sz w:val="14"/>
          <w:szCs w:val="14"/>
          <w:color w:val="auto"/>
        </w:rPr>
        <w:t>. In accordance with Article III of the Plan, this Agreement may not be amended or modified in any way that adversely affects the Participant unless by a written</w:t>
      </w:r>
      <w:r>
        <w:rPr>
          <w:rFonts w:ascii="Arial" w:cs="Arial" w:eastAsia="Arial" w:hAnsi="Arial"/>
          <w:sz w:val="14"/>
          <w:szCs w:val="14"/>
          <w:b w:val="1"/>
          <w:bCs w:val="1"/>
          <w:color w:val="auto"/>
        </w:rPr>
        <w:t xml:space="preserve"> </w:t>
      </w:r>
      <w:r>
        <w:rPr>
          <w:rFonts w:ascii="Arial" w:cs="Arial" w:eastAsia="Arial" w:hAnsi="Arial"/>
          <w:sz w:val="14"/>
          <w:szCs w:val="14"/>
          <w:color w:val="auto"/>
        </w:rPr>
        <w:t>instrument that specifically states that it is amending this Agreement, executed by each of the parties hereto.</w:t>
      </w:r>
    </w:p>
    <w:p>
      <w:pPr>
        <w:spacing w:after="0" w:line="35" w:lineRule="exact"/>
        <w:rPr>
          <w:rFonts w:ascii="Arial" w:cs="Arial" w:eastAsia="Arial" w:hAnsi="Arial"/>
          <w:sz w:val="14"/>
          <w:szCs w:val="14"/>
          <w:color w:val="auto"/>
        </w:rPr>
      </w:pPr>
    </w:p>
    <w:p>
      <w:pPr>
        <w:ind w:left="360" w:right="20" w:hanging="260"/>
        <w:spacing w:after="0" w:line="290" w:lineRule="auto"/>
        <w:tabs>
          <w:tab w:leader="none" w:pos="355" w:val="left"/>
        </w:tabs>
        <w:numPr>
          <w:ilvl w:val="0"/>
          <w:numId w:val="35"/>
        </w:numPr>
        <w:rPr>
          <w:rFonts w:ascii="Arial" w:cs="Arial" w:eastAsia="Arial" w:hAnsi="Arial"/>
          <w:sz w:val="14"/>
          <w:szCs w:val="14"/>
          <w:color w:val="auto"/>
        </w:rPr>
      </w:pPr>
      <w:r>
        <w:rPr>
          <w:rFonts w:ascii="Arial" w:cs="Arial" w:eastAsia="Arial" w:hAnsi="Arial"/>
          <w:sz w:val="14"/>
          <w:szCs w:val="14"/>
          <w:b w:val="1"/>
          <w:bCs w:val="1"/>
          <w:color w:val="auto"/>
        </w:rPr>
        <w:t>Benefits; Binding Effect</w:t>
      </w:r>
      <w:r>
        <w:rPr>
          <w:rFonts w:ascii="Arial" w:cs="Arial" w:eastAsia="Arial" w:hAnsi="Arial"/>
          <w:sz w:val="14"/>
          <w:szCs w:val="14"/>
          <w:color w:val="auto"/>
        </w:rPr>
        <w:t>. This Agreement shall ensure to the benefit of and shall be binding upon the parties hereto and their respective heirs, representatives, successors</w:t>
      </w:r>
      <w:r>
        <w:rPr>
          <w:rFonts w:ascii="Arial" w:cs="Arial" w:eastAsia="Arial" w:hAnsi="Arial"/>
          <w:sz w:val="14"/>
          <w:szCs w:val="14"/>
          <w:b w:val="1"/>
          <w:bCs w:val="1"/>
          <w:color w:val="auto"/>
        </w:rPr>
        <w:t xml:space="preserve"> </w:t>
      </w:r>
      <w:r>
        <w:rPr>
          <w:rFonts w:ascii="Arial" w:cs="Arial" w:eastAsia="Arial" w:hAnsi="Arial"/>
          <w:sz w:val="14"/>
          <w:szCs w:val="14"/>
          <w:color w:val="auto"/>
        </w:rPr>
        <w:t>and assigns.</w:t>
      </w:r>
    </w:p>
    <w:p>
      <w:pPr>
        <w:spacing w:after="0" w:line="35" w:lineRule="exact"/>
        <w:rPr>
          <w:rFonts w:ascii="Arial" w:cs="Arial" w:eastAsia="Arial" w:hAnsi="Arial"/>
          <w:sz w:val="14"/>
          <w:szCs w:val="14"/>
          <w:color w:val="auto"/>
        </w:rPr>
      </w:pPr>
    </w:p>
    <w:p>
      <w:pPr>
        <w:ind w:left="340" w:hanging="240"/>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b w:val="1"/>
          <w:bCs w:val="1"/>
          <w:color w:val="auto"/>
        </w:rPr>
        <w:t>Section Headings</w:t>
      </w:r>
      <w:r>
        <w:rPr>
          <w:rFonts w:ascii="Arial" w:cs="Arial" w:eastAsia="Arial" w:hAnsi="Arial"/>
          <w:sz w:val="14"/>
          <w:szCs w:val="14"/>
          <w:color w:val="auto"/>
        </w:rPr>
        <w:t>. The section headings contained in this Agreement are for reference purposes only and shall not in any way affect the meaning or interpretation hereof.</w:t>
      </w:r>
    </w:p>
    <w:p>
      <w:pPr>
        <w:spacing w:after="0" w:line="93" w:lineRule="exact"/>
        <w:rPr>
          <w:rFonts w:ascii="Arial" w:cs="Arial" w:eastAsia="Arial" w:hAnsi="Arial"/>
          <w:sz w:val="14"/>
          <w:szCs w:val="14"/>
          <w:color w:val="auto"/>
        </w:rPr>
      </w:pPr>
    </w:p>
    <w:p>
      <w:pPr>
        <w:ind w:left="360" w:right="20" w:hanging="260"/>
        <w:spacing w:after="0" w:line="290" w:lineRule="auto"/>
        <w:tabs>
          <w:tab w:leader="none" w:pos="355" w:val="left"/>
        </w:tabs>
        <w:numPr>
          <w:ilvl w:val="0"/>
          <w:numId w:val="35"/>
        </w:numPr>
        <w:rPr>
          <w:rFonts w:ascii="Arial" w:cs="Arial" w:eastAsia="Arial" w:hAnsi="Arial"/>
          <w:sz w:val="14"/>
          <w:szCs w:val="14"/>
          <w:color w:val="auto"/>
        </w:rPr>
      </w:pPr>
      <w:r>
        <w:rPr>
          <w:rFonts w:ascii="Arial" w:cs="Arial" w:eastAsia="Arial" w:hAnsi="Arial"/>
          <w:sz w:val="14"/>
          <w:szCs w:val="14"/>
          <w:b w:val="1"/>
          <w:bCs w:val="1"/>
          <w:color w:val="auto"/>
        </w:rPr>
        <w:t>Counterparts</w:t>
      </w:r>
      <w:r>
        <w:rPr>
          <w:rFonts w:ascii="Arial" w:cs="Arial" w:eastAsia="Arial" w:hAnsi="Arial"/>
          <w:sz w:val="14"/>
          <w:szCs w:val="14"/>
          <w:color w:val="auto"/>
        </w:rPr>
        <w:t>. This Agreement may be executed in any number of counterparts and by the parties hereto in separate counterparts, each of which shall be deemed to be an</w:t>
      </w:r>
      <w:r>
        <w:rPr>
          <w:rFonts w:ascii="Arial" w:cs="Arial" w:eastAsia="Arial" w:hAnsi="Arial"/>
          <w:sz w:val="14"/>
          <w:szCs w:val="14"/>
          <w:b w:val="1"/>
          <w:bCs w:val="1"/>
          <w:color w:val="auto"/>
        </w:rPr>
        <w:t xml:space="preserve"> </w:t>
      </w:r>
      <w:r>
        <w:rPr>
          <w:rFonts w:ascii="Arial" w:cs="Arial" w:eastAsia="Arial" w:hAnsi="Arial"/>
          <w:sz w:val="14"/>
          <w:szCs w:val="14"/>
          <w:color w:val="auto"/>
        </w:rPr>
        <w:t>original and all of which shall be deemed to be one and the same instrument.</w:t>
      </w:r>
    </w:p>
    <w:p>
      <w:pPr>
        <w:spacing w:after="0" w:line="35" w:lineRule="exact"/>
        <w:rPr>
          <w:rFonts w:ascii="Arial" w:cs="Arial" w:eastAsia="Arial" w:hAnsi="Arial"/>
          <w:sz w:val="14"/>
          <w:szCs w:val="14"/>
          <w:color w:val="auto"/>
        </w:rPr>
      </w:pPr>
    </w:p>
    <w:p>
      <w:pPr>
        <w:ind w:left="360" w:right="480" w:hanging="260"/>
        <w:spacing w:after="0" w:line="271" w:lineRule="auto"/>
        <w:tabs>
          <w:tab w:leader="none" w:pos="355" w:val="left"/>
        </w:tabs>
        <w:numPr>
          <w:ilvl w:val="0"/>
          <w:numId w:val="35"/>
        </w:numPr>
        <w:rPr>
          <w:rFonts w:ascii="Arial" w:cs="Arial" w:eastAsia="Arial" w:hAnsi="Arial"/>
          <w:sz w:val="14"/>
          <w:szCs w:val="14"/>
          <w:color w:val="auto"/>
        </w:rPr>
      </w:pPr>
      <w:r>
        <w:rPr>
          <w:rFonts w:ascii="Arial" w:cs="Arial" w:eastAsia="Arial" w:hAnsi="Arial"/>
          <w:sz w:val="14"/>
          <w:szCs w:val="14"/>
          <w:b w:val="1"/>
          <w:bCs w:val="1"/>
          <w:color w:val="auto"/>
        </w:rPr>
        <w:t>Clawback</w:t>
      </w:r>
      <w:r>
        <w:rPr>
          <w:rFonts w:ascii="Arial" w:cs="Arial" w:eastAsia="Arial" w:hAnsi="Arial"/>
          <w:sz w:val="14"/>
          <w:szCs w:val="14"/>
          <w:color w:val="auto"/>
        </w:rPr>
        <w:t>. By accepting this Option, the Participant agrees to be bound by the clawback provisions as set forth in Section 15.3 of the Plan, as in effect or as may be</w:t>
      </w:r>
      <w:r>
        <w:rPr>
          <w:rFonts w:ascii="Arial" w:cs="Arial" w:eastAsia="Arial" w:hAnsi="Arial"/>
          <w:sz w:val="14"/>
          <w:szCs w:val="14"/>
          <w:b w:val="1"/>
          <w:bCs w:val="1"/>
          <w:color w:val="auto"/>
        </w:rPr>
        <w:t xml:space="preserve"> </w:t>
      </w:r>
      <w:r>
        <w:rPr>
          <w:rFonts w:ascii="Arial" w:cs="Arial" w:eastAsia="Arial" w:hAnsi="Arial"/>
          <w:sz w:val="14"/>
          <w:szCs w:val="14"/>
          <w:color w:val="auto"/>
        </w:rPr>
        <w:t>adopted and/or modified from time to time by the Company in its discretion (including, without limitation, to comply with applicable law or stock exchange listing requirements).</w:t>
      </w:r>
    </w:p>
    <w:p>
      <w:pPr>
        <w:spacing w:after="0" w:line="327" w:lineRule="exact"/>
        <w:rPr>
          <w:sz w:val="20"/>
          <w:szCs w:val="20"/>
          <w:color w:val="auto"/>
        </w:rPr>
      </w:pPr>
    </w:p>
    <w:p>
      <w:pPr>
        <w:jc w:val="center"/>
        <w:ind w:right="140"/>
        <w:spacing w:after="0"/>
        <w:rPr>
          <w:sz w:val="20"/>
          <w:szCs w:val="20"/>
          <w:color w:val="auto"/>
        </w:rPr>
      </w:pPr>
      <w:r>
        <w:rPr>
          <w:rFonts w:ascii="Arial" w:cs="Arial" w:eastAsia="Arial" w:hAnsi="Arial"/>
          <w:sz w:val="14"/>
          <w:szCs w:val="14"/>
          <w:i w:val="1"/>
          <w:iCs w:val="1"/>
          <w:color w:val="auto"/>
        </w:rPr>
        <w:t>Signature page follows.</w:t>
      </w:r>
    </w:p>
    <w:p>
      <w:pPr>
        <w:sectPr>
          <w:pgSz w:w="11900" w:h="16838" w:orient="portrait"/>
          <w:cols w:equalWidth="0" w:num="1">
            <w:col w:w="11100"/>
          </w:cols>
          <w:pgMar w:left="460" w:top="1143" w:right="33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color w:val="auto"/>
        </w:rPr>
        <w:t>IN WITNESS HEREOF, the parties have executed and delivered this Agreement as of the date first above written.</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Capital Bancorp, Inc.</w:t>
      </w:r>
    </w:p>
    <w:p>
      <w:pPr>
        <w:spacing w:after="0" w:line="369"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By:</w:t>
      </w:r>
    </w:p>
    <w:p>
      <w:pPr>
        <w:spacing w:after="0" w:line="94" w:lineRule="exact"/>
        <w:rPr>
          <w:sz w:val="20"/>
          <w:szCs w:val="20"/>
          <w:color w:val="auto"/>
        </w:rPr>
      </w:pPr>
    </w:p>
    <w:p>
      <w:pPr>
        <w:ind w:left="3560"/>
        <w:spacing w:after="0"/>
        <w:rPr>
          <w:sz w:val="20"/>
          <w:szCs w:val="20"/>
          <w:color w:val="auto"/>
        </w:rPr>
      </w:pPr>
      <w:r>
        <w:rPr>
          <w:rFonts w:ascii="Arial" w:cs="Arial" w:eastAsia="Arial" w:hAnsi="Arial"/>
          <w:sz w:val="14"/>
          <w:szCs w:val="14"/>
          <w:color w:val="auto"/>
        </w:rPr>
        <w:t>Edward Barry, CEO</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Attested by:</w:t>
      </w:r>
    </w:p>
    <w:p>
      <w:pPr>
        <w:spacing w:after="0" w:line="369"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PARTICIPANT</w:t>
      </w:r>
    </w:p>
    <w:p>
      <w:pPr>
        <w:spacing w:after="0" w:line="369"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By:</w:t>
      </w:r>
    </w:p>
    <w:p>
      <w:pPr>
        <w:spacing w:after="0" w:line="94" w:lineRule="exact"/>
        <w:rPr>
          <w:sz w:val="20"/>
          <w:szCs w:val="20"/>
          <w:color w:val="auto"/>
        </w:rPr>
      </w:pPr>
    </w:p>
    <w:p>
      <w:pPr>
        <w:ind w:left="3560"/>
        <w:spacing w:after="0"/>
        <w:rPr>
          <w:sz w:val="20"/>
          <w:szCs w:val="20"/>
          <w:color w:val="auto"/>
        </w:rPr>
      </w:pPr>
      <w:r>
        <w:rPr>
          <w:rFonts w:ascii="Arial" w:cs="Arial" w:eastAsia="Arial" w:hAnsi="Arial"/>
          <w:sz w:val="14"/>
          <w:szCs w:val="14"/>
          <w:color w:val="auto"/>
        </w:rPr>
        <w:t>[INSERT PARTICIPANT NAME]</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Address:</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___________________________________</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___________________________________</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Phone Number:</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Facsimile:</w:t>
      </w:r>
    </w:p>
    <w:p>
      <w:pPr>
        <w:sectPr>
          <w:pgSz w:w="11900" w:h="16838" w:orient="portrait"/>
          <w:cols w:equalWidth="0" w:num="1">
            <w:col w:w="10159"/>
          </w:cols>
          <w:pgMar w:left="300" w:top="1419"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4"/>
          <w:szCs w:val="14"/>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CAPITAL BANCORP, INC.</w:t>
      </w:r>
    </w:p>
    <w:p>
      <w:pPr>
        <w:jc w:val="center"/>
        <w:spacing w:after="0"/>
        <w:rPr>
          <w:sz w:val="20"/>
          <w:szCs w:val="20"/>
          <w:color w:val="auto"/>
        </w:rPr>
      </w:pPr>
      <w:r>
        <w:rPr>
          <w:rFonts w:ascii="Arial" w:cs="Arial" w:eastAsia="Arial" w:hAnsi="Arial"/>
          <w:sz w:val="14"/>
          <w:szCs w:val="14"/>
          <w:b w:val="1"/>
          <w:bCs w:val="1"/>
          <w:color w:val="auto"/>
        </w:rPr>
        <w:t>2017 STOCK AND INCENTIVE COMPENSATION PLAN RESTRICTED STOCK UNIT AWARD AGREEMENT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This RESTRICTED STOCK UNIT AWARD AGREEMENT (“Agreement”) is made and entered into as of this ___ day of ______________, 2018 (the “Grant Date”), between Capital</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Bancorp, Inc., a Maryland corporation (“the Company”) and __________ (“Participant”).</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WHEREAS the Company desires to grant the Participant certain Restricted Stock Units pursuant to the Capital Bancorp, Inc. 2017 Stock and Incentive Compensation Plan, as approved by the stockholders on August 3, 2017, effective as of August 29, 2017 (the “Plan”) a copy of which has been furnished to the Participant and the terms of which are incorporated herein by reference. Unless otherwise indicated, whenever capitalized terms are used in this Agreement, they shall have the meanings set forth in the Plan.</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WHEREAS the parties enter into this Agreement to evidence the grant of such Restricted Stock Units (also referred to as “RSUs”) and set forth the terms and conditions governing their exercise.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NOW, THEREFORE, the parties agree as follows:</w:t>
      </w:r>
    </w:p>
    <w:p>
      <w:pPr>
        <w:spacing w:after="0" w:line="94" w:lineRule="exact"/>
        <w:rPr>
          <w:sz w:val="20"/>
          <w:szCs w:val="20"/>
          <w:color w:val="auto"/>
        </w:rPr>
      </w:pPr>
    </w:p>
    <w:p>
      <w:pPr>
        <w:jc w:val="both"/>
        <w:ind w:left="520" w:hanging="260"/>
        <w:spacing w:after="0" w:line="265" w:lineRule="auto"/>
        <w:tabs>
          <w:tab w:leader="none" w:pos="511" w:val="left"/>
        </w:tabs>
        <w:numPr>
          <w:ilvl w:val="0"/>
          <w:numId w:val="36"/>
        </w:numPr>
        <w:rPr>
          <w:rFonts w:ascii="Arial" w:cs="Arial" w:eastAsia="Arial" w:hAnsi="Arial"/>
          <w:sz w:val="14"/>
          <w:szCs w:val="14"/>
          <w:color w:val="auto"/>
        </w:rPr>
      </w:pPr>
      <w:r>
        <w:rPr>
          <w:rFonts w:ascii="Arial" w:cs="Arial" w:eastAsia="Arial" w:hAnsi="Arial"/>
          <w:sz w:val="14"/>
          <w:szCs w:val="14"/>
          <w:b w:val="1"/>
          <w:bCs w:val="1"/>
          <w:u w:val="single" w:color="auto"/>
          <w:color w:val="auto"/>
        </w:rPr>
        <w:t>Incorporation By Reference; Plan Document Receipt</w:t>
      </w:r>
      <w:r>
        <w:rPr>
          <w:rFonts w:ascii="Arial" w:cs="Arial" w:eastAsia="Arial" w:hAnsi="Arial"/>
          <w:sz w:val="14"/>
          <w:szCs w:val="14"/>
          <w:color w:val="auto"/>
        </w:rPr>
        <w:t>. This Agreement is subject in all respects to the terms and provisions of the Plan (including, without limitation, any</w:t>
      </w:r>
      <w:r>
        <w:rPr>
          <w:rFonts w:ascii="Arial" w:cs="Arial" w:eastAsia="Arial" w:hAnsi="Arial"/>
          <w:sz w:val="14"/>
          <w:szCs w:val="14"/>
          <w:b w:val="1"/>
          <w:bCs w:val="1"/>
          <w:color w:val="auto"/>
        </w:rPr>
        <w:t xml:space="preserve"> </w:t>
      </w:r>
      <w:r>
        <w:rPr>
          <w:rFonts w:ascii="Arial" w:cs="Arial" w:eastAsia="Arial" w:hAnsi="Arial"/>
          <w:sz w:val="14"/>
          <w:szCs w:val="14"/>
          <w:color w:val="auto"/>
        </w:rPr>
        <w:t>amendments thereto adopted at any time and from time to time unless such amendments are expressly intended not to apply to the grant of the RSUs hereunder), all of which terms and provisions are made a part of and incorporated in this Agreement as if they were each expressly set forth herein, subject to applicable securities laws. In the event of any conflict between the terms of this Agreement and the terms of the Plan, the terms of the Plan shall control.</w:t>
      </w:r>
    </w:p>
    <w:p>
      <w:pPr>
        <w:spacing w:after="0" w:line="52" w:lineRule="exact"/>
        <w:rPr>
          <w:rFonts w:ascii="Arial" w:cs="Arial" w:eastAsia="Arial" w:hAnsi="Arial"/>
          <w:sz w:val="14"/>
          <w:szCs w:val="14"/>
          <w:color w:val="auto"/>
        </w:rPr>
      </w:pPr>
    </w:p>
    <w:p>
      <w:pPr>
        <w:jc w:val="both"/>
        <w:ind w:left="520" w:hanging="260"/>
        <w:spacing w:after="0" w:line="265" w:lineRule="auto"/>
        <w:tabs>
          <w:tab w:leader="none" w:pos="511" w:val="left"/>
        </w:tabs>
        <w:numPr>
          <w:ilvl w:val="0"/>
          <w:numId w:val="36"/>
        </w:numPr>
        <w:rPr>
          <w:rFonts w:ascii="Arial" w:cs="Arial" w:eastAsia="Arial" w:hAnsi="Arial"/>
          <w:sz w:val="14"/>
          <w:szCs w:val="14"/>
          <w:color w:val="auto"/>
        </w:rPr>
      </w:pPr>
      <w:r>
        <w:rPr>
          <w:rFonts w:ascii="Arial" w:cs="Arial" w:eastAsia="Arial" w:hAnsi="Arial"/>
          <w:sz w:val="14"/>
          <w:szCs w:val="14"/>
          <w:b w:val="1"/>
          <w:bCs w:val="1"/>
          <w:u w:val="single" w:color="auto"/>
          <w:color w:val="auto"/>
        </w:rPr>
        <w:t>Grant of Restricted Stock Unit Award</w:t>
      </w:r>
      <w:r>
        <w:rPr>
          <w:rFonts w:ascii="Arial" w:cs="Arial" w:eastAsia="Arial" w:hAnsi="Arial"/>
          <w:sz w:val="14"/>
          <w:szCs w:val="14"/>
          <w:color w:val="auto"/>
        </w:rPr>
        <w:t>. The Company hereby grants to the Participant, as of the Grant Date specified above, the number of RSUs specified above. Except</w:t>
      </w:r>
      <w:r>
        <w:rPr>
          <w:rFonts w:ascii="Arial" w:cs="Arial" w:eastAsia="Arial" w:hAnsi="Arial"/>
          <w:sz w:val="14"/>
          <w:szCs w:val="14"/>
          <w:b w:val="1"/>
          <w:bCs w:val="1"/>
          <w:color w:val="auto"/>
        </w:rPr>
        <w:t xml:space="preserve"> </w:t>
      </w:r>
      <w:r>
        <w:rPr>
          <w:rFonts w:ascii="Arial" w:cs="Arial" w:eastAsia="Arial" w:hAnsi="Arial"/>
          <w:sz w:val="14"/>
          <w:szCs w:val="14"/>
          <w:color w:val="auto"/>
        </w:rPr>
        <w:t>as otherwise provided by the Plan, the Participant agrees and understands that nothing contained in this Agreement provides, or is intended to provide, the Participant with any protection against potential future dilution of the Participant’s interest in the Company for any reason. The Participant shall not have the rights of a stockholder in respect of the Shares underlying this Award until such Shares, if any, are delivered to the Participant in accordance with Section 4.</w:t>
      </w:r>
    </w:p>
    <w:p>
      <w:pPr>
        <w:spacing w:after="0" w:line="52" w:lineRule="exact"/>
        <w:rPr>
          <w:rFonts w:ascii="Arial" w:cs="Arial" w:eastAsia="Arial" w:hAnsi="Arial"/>
          <w:sz w:val="14"/>
          <w:szCs w:val="14"/>
          <w:color w:val="auto"/>
        </w:rPr>
      </w:pPr>
    </w:p>
    <w:p>
      <w:pPr>
        <w:jc w:val="both"/>
        <w:ind w:left="520" w:hanging="260"/>
        <w:spacing w:after="0" w:line="262" w:lineRule="auto"/>
        <w:tabs>
          <w:tab w:leader="none" w:pos="511" w:val="left"/>
        </w:tabs>
        <w:numPr>
          <w:ilvl w:val="0"/>
          <w:numId w:val="36"/>
        </w:numPr>
        <w:rPr>
          <w:rFonts w:ascii="Arial" w:cs="Arial" w:eastAsia="Arial" w:hAnsi="Arial"/>
          <w:sz w:val="14"/>
          <w:szCs w:val="14"/>
          <w:color w:val="auto"/>
        </w:rPr>
      </w:pPr>
      <w:r>
        <w:rPr>
          <w:rFonts w:ascii="Arial" w:cs="Arial" w:eastAsia="Arial" w:hAnsi="Arial"/>
          <w:sz w:val="14"/>
          <w:szCs w:val="14"/>
          <w:b w:val="1"/>
          <w:bCs w:val="1"/>
          <w:u w:val="single" w:color="auto"/>
          <w:color w:val="auto"/>
        </w:rPr>
        <w:t>Vesting</w:t>
      </w:r>
      <w:r>
        <w:rPr>
          <w:rFonts w:ascii="Arial" w:cs="Arial" w:eastAsia="Arial" w:hAnsi="Arial"/>
          <w:sz w:val="14"/>
          <w:szCs w:val="14"/>
          <w:color w:val="auto"/>
        </w:rPr>
        <w:t>. Except as otherwise provided in this Section 3 and subject to any accelerated vesting permitted under Article X of the Plan, RSUs subject to this grant shall vest as</w:t>
      </w:r>
      <w:r>
        <w:rPr>
          <w:rFonts w:ascii="Arial" w:cs="Arial" w:eastAsia="Arial" w:hAnsi="Arial"/>
          <w:sz w:val="14"/>
          <w:szCs w:val="14"/>
          <w:b w:val="1"/>
          <w:bCs w:val="1"/>
          <w:color w:val="auto"/>
        </w:rPr>
        <w:t xml:space="preserve"> </w:t>
      </w:r>
      <w:r>
        <w:rPr>
          <w:rFonts w:ascii="Arial" w:cs="Arial" w:eastAsia="Arial" w:hAnsi="Arial"/>
          <w:sz w:val="14"/>
          <w:szCs w:val="14"/>
          <w:color w:val="auto"/>
        </w:rPr>
        <w:t>set forth below, provided that the Participant is then actively employed by the Company and/or one of its Subsidiaries or Affiliates on each such vesting date. All unvested RSUs that are held by a Participant shall immediately be forfeited upon the last day on which the Participant is actively employed, not including any period during which the Participant is in receipt of non-working notice, pay in lieu of notice, severance pay or any other monies in relation to the cessation of the Participant’s employment (the “Termination”).</w:t>
      </w:r>
    </w:p>
    <w:p>
      <w:pPr>
        <w:spacing w:after="0" w:line="347" w:lineRule="exact"/>
        <w:rPr>
          <w:sz w:val="20"/>
          <w:szCs w:val="20"/>
          <w:color w:val="auto"/>
        </w:rPr>
      </w:pPr>
    </w:p>
    <w:tbl>
      <w:tblPr>
        <w:tblLayout w:type="fixed"/>
        <w:tblInd w:w="530" w:type="dxa"/>
        <w:tblCellMar>
          <w:top w:w="0" w:type="dxa"/>
          <w:left w:w="0" w:type="dxa"/>
          <w:bottom w:w="0" w:type="dxa"/>
          <w:right w:w="0" w:type="dxa"/>
        </w:tblCellMar>
      </w:tblPr>
      <w:tr>
        <w:trPr>
          <w:trHeight w:val="191"/>
        </w:trPr>
        <w:tc>
          <w:tcPr>
            <w:tcW w:w="50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First anniversary of the Grant Date</w:t>
            </w:r>
          </w:p>
        </w:tc>
        <w:tc>
          <w:tcPr>
            <w:tcW w:w="26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25%</w:t>
            </w:r>
          </w:p>
        </w:tc>
      </w:tr>
      <w:tr>
        <w:trPr>
          <w:trHeight w:val="171"/>
        </w:trPr>
        <w:tc>
          <w:tcPr>
            <w:tcW w:w="5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Second anniversary of the Grant Date</w:t>
            </w: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50%</w:t>
            </w:r>
          </w:p>
        </w:tc>
      </w:tr>
      <w:tr>
        <w:trPr>
          <w:trHeight w:val="171"/>
        </w:trPr>
        <w:tc>
          <w:tcPr>
            <w:tcW w:w="5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Third anniversary of the Grant Date</w:t>
            </w: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75%</w:t>
            </w:r>
          </w:p>
        </w:tc>
      </w:tr>
      <w:tr>
        <w:trPr>
          <w:trHeight w:val="171"/>
        </w:trPr>
        <w:tc>
          <w:tcPr>
            <w:tcW w:w="5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Fourth anniversary of the Grant Date</w:t>
            </w: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100%</w:t>
            </w:r>
          </w:p>
        </w:tc>
      </w:tr>
    </w:tbl>
    <w:p>
      <w:pPr>
        <w:sectPr>
          <w:pgSz w:w="11900" w:h="16838" w:orient="portrait"/>
          <w:cols w:equalWidth="0" w:num="1">
            <w:col w:w="11280"/>
          </w:cols>
          <w:pgMar w:left="300" w:top="125" w:right="319" w:bottom="1440" w:gutter="0" w:footer="0" w:header="0"/>
        </w:sectPr>
      </w:pPr>
    </w:p>
    <w:bookmarkStart w:id="135" w:name="page136"/>
    <w:bookmarkEnd w:id="135"/>
    <w:p>
      <w:pPr>
        <w:ind w:left="240" w:hanging="240"/>
        <w:spacing w:after="0"/>
        <w:tabs>
          <w:tab w:leader="none" w:pos="240" w:val="left"/>
        </w:tabs>
        <w:numPr>
          <w:ilvl w:val="0"/>
          <w:numId w:val="37"/>
        </w:numPr>
        <w:rPr>
          <w:rFonts w:ascii="Arial" w:cs="Arial" w:eastAsia="Arial" w:hAnsi="Arial"/>
          <w:sz w:val="14"/>
          <w:szCs w:val="14"/>
          <w:color w:val="auto"/>
        </w:rPr>
      </w:pPr>
      <w:r>
        <w:rPr>
          <w:rFonts w:ascii="Arial" w:cs="Arial" w:eastAsia="Arial" w:hAnsi="Arial"/>
          <w:sz w:val="14"/>
          <w:szCs w:val="14"/>
          <w:b w:val="1"/>
          <w:bCs w:val="1"/>
          <w:u w:val="single" w:color="auto"/>
          <w:color w:val="auto"/>
        </w:rPr>
        <w:t>Settlement of RSUs</w:t>
      </w:r>
      <w:r>
        <w:rPr>
          <w:rFonts w:ascii="Arial" w:cs="Arial" w:eastAsia="Arial" w:hAnsi="Arial"/>
          <w:sz w:val="14"/>
          <w:szCs w:val="14"/>
          <w:color w:val="auto"/>
        </w:rPr>
        <w:t>.</w:t>
      </w:r>
    </w:p>
    <w:p>
      <w:pPr>
        <w:spacing w:after="0" w:line="93" w:lineRule="exact"/>
        <w:rPr>
          <w:rFonts w:ascii="Arial" w:cs="Arial" w:eastAsia="Arial" w:hAnsi="Arial"/>
          <w:sz w:val="14"/>
          <w:szCs w:val="14"/>
          <w:color w:val="auto"/>
        </w:rPr>
      </w:pPr>
    </w:p>
    <w:p>
      <w:pPr>
        <w:jc w:val="both"/>
        <w:ind w:left="760" w:hanging="251"/>
        <w:spacing w:after="0" w:line="260" w:lineRule="auto"/>
        <w:tabs>
          <w:tab w:leader="none" w:pos="751" w:val="left"/>
        </w:tabs>
        <w:numPr>
          <w:ilvl w:val="1"/>
          <w:numId w:val="37"/>
        </w:numPr>
        <w:rPr>
          <w:rFonts w:ascii="Arial" w:cs="Arial" w:eastAsia="Arial" w:hAnsi="Arial"/>
          <w:sz w:val="14"/>
          <w:szCs w:val="14"/>
          <w:color w:val="auto"/>
        </w:rPr>
      </w:pPr>
      <w:r>
        <w:rPr>
          <w:rFonts w:ascii="Arial" w:cs="Arial" w:eastAsia="Arial" w:hAnsi="Arial"/>
          <w:sz w:val="14"/>
          <w:szCs w:val="14"/>
          <w:color w:val="auto"/>
        </w:rPr>
        <w:t>At the time of Grant, the Committee may permit the Participant to defer the settlement of the RSUs by offering such Participant a deferral election form. Unless the Participant timely and properly elects to defer the settlement of his or her RSUs and designates a deferred settlement date in compliance with Section 409A of the Code and such other rules and procedures as the Board deems advisable, the Company shall fully settle a Participant’s vested RSUs within thirty (30) days following the date any portion of the Award of RSUs become vested. If a Participant timely and properly elects to defer the settlement of his or her RSUs, the Company shall settle the RSUS within thirty (30) days of the earliest of: (i) the deferred settlement date designated by the Participant; (ii) the date of the Participant’s death; or (iii) the date of a Change in Control.</w:t>
      </w:r>
    </w:p>
    <w:p>
      <w:pPr>
        <w:spacing w:after="0" w:line="56" w:lineRule="exact"/>
        <w:rPr>
          <w:rFonts w:ascii="Arial" w:cs="Arial" w:eastAsia="Arial" w:hAnsi="Arial"/>
          <w:sz w:val="14"/>
          <w:szCs w:val="14"/>
          <w:color w:val="auto"/>
        </w:rPr>
      </w:pPr>
    </w:p>
    <w:p>
      <w:pPr>
        <w:ind w:left="760" w:hanging="251"/>
        <w:spacing w:after="0" w:line="290" w:lineRule="auto"/>
        <w:tabs>
          <w:tab w:leader="none" w:pos="751" w:val="left"/>
        </w:tabs>
        <w:numPr>
          <w:ilvl w:val="1"/>
          <w:numId w:val="37"/>
        </w:numPr>
        <w:rPr>
          <w:rFonts w:ascii="Arial" w:cs="Arial" w:eastAsia="Arial" w:hAnsi="Arial"/>
          <w:sz w:val="14"/>
          <w:szCs w:val="14"/>
          <w:color w:val="auto"/>
        </w:rPr>
      </w:pPr>
      <w:r>
        <w:rPr>
          <w:rFonts w:ascii="Arial" w:cs="Arial" w:eastAsia="Arial" w:hAnsi="Arial"/>
          <w:sz w:val="14"/>
          <w:szCs w:val="14"/>
          <w:color w:val="auto"/>
        </w:rPr>
        <w:t>On such settlement date, the Company shall deliver either (i) a certificate evidencing a number of shares of Common Stock equal to the same number of vested RSUs; (ii) cash equal to the Fair Market Value of one Share, as of the settlement date, for each vested RSU; or (iii) a combination of both.</w:t>
      </w:r>
    </w:p>
    <w:p>
      <w:pPr>
        <w:spacing w:after="0" w:line="35" w:lineRule="exact"/>
        <w:rPr>
          <w:rFonts w:ascii="Arial" w:cs="Arial" w:eastAsia="Arial" w:hAnsi="Arial"/>
          <w:sz w:val="14"/>
          <w:szCs w:val="14"/>
          <w:color w:val="auto"/>
        </w:rPr>
      </w:pPr>
    </w:p>
    <w:p>
      <w:pPr>
        <w:ind w:left="260" w:hanging="260"/>
        <w:spacing w:after="0" w:line="290" w:lineRule="auto"/>
        <w:tabs>
          <w:tab w:leader="none" w:pos="251" w:val="left"/>
        </w:tabs>
        <w:numPr>
          <w:ilvl w:val="0"/>
          <w:numId w:val="37"/>
        </w:numPr>
        <w:rPr>
          <w:rFonts w:ascii="Arial" w:cs="Arial" w:eastAsia="Arial" w:hAnsi="Arial"/>
          <w:sz w:val="14"/>
          <w:szCs w:val="14"/>
          <w:color w:val="auto"/>
        </w:rPr>
      </w:pPr>
      <w:r>
        <w:rPr>
          <w:rFonts w:ascii="Arial" w:cs="Arial" w:eastAsia="Arial" w:hAnsi="Arial"/>
          <w:sz w:val="14"/>
          <w:szCs w:val="14"/>
          <w:b w:val="1"/>
          <w:bCs w:val="1"/>
          <w:u w:val="single" w:color="auto"/>
          <w:color w:val="auto"/>
        </w:rPr>
        <w:t>Conditions</w:t>
      </w:r>
      <w:r>
        <w:rPr>
          <w:rFonts w:ascii="Arial" w:cs="Arial" w:eastAsia="Arial" w:hAnsi="Arial"/>
          <w:sz w:val="14"/>
          <w:szCs w:val="14"/>
          <w:color w:val="auto"/>
        </w:rPr>
        <w:t>. By acceptance of this RSU award, the Participant hereby releases any rights and/or claims the Participant may have associated with, or in any way related to,</w:t>
      </w:r>
      <w:r>
        <w:rPr>
          <w:rFonts w:ascii="Arial" w:cs="Arial" w:eastAsia="Arial" w:hAnsi="Arial"/>
          <w:sz w:val="14"/>
          <w:szCs w:val="14"/>
          <w:b w:val="1"/>
          <w:bCs w:val="1"/>
          <w:color w:val="auto"/>
        </w:rPr>
        <w:t xml:space="preserve"> </w:t>
      </w:r>
      <w:r>
        <w:rPr>
          <w:rFonts w:ascii="Arial" w:cs="Arial" w:eastAsia="Arial" w:hAnsi="Arial"/>
          <w:sz w:val="14"/>
          <w:szCs w:val="14"/>
          <w:color w:val="auto"/>
        </w:rPr>
        <w:t>any equity awards granted by the Company or any of its Affiliates prior to the Effective Date of the Plan.</w:t>
      </w:r>
    </w:p>
    <w:p>
      <w:pPr>
        <w:spacing w:after="0" w:line="35" w:lineRule="exact"/>
        <w:rPr>
          <w:rFonts w:ascii="Arial" w:cs="Arial" w:eastAsia="Arial" w:hAnsi="Arial"/>
          <w:sz w:val="14"/>
          <w:szCs w:val="14"/>
          <w:color w:val="auto"/>
        </w:rPr>
      </w:pPr>
    </w:p>
    <w:p>
      <w:pPr>
        <w:jc w:val="both"/>
        <w:ind w:left="260" w:hanging="260"/>
        <w:spacing w:after="0" w:line="259" w:lineRule="auto"/>
        <w:tabs>
          <w:tab w:leader="none" w:pos="251" w:val="left"/>
        </w:tabs>
        <w:numPr>
          <w:ilvl w:val="0"/>
          <w:numId w:val="37"/>
        </w:numPr>
        <w:rPr>
          <w:rFonts w:ascii="Arial" w:cs="Arial" w:eastAsia="Arial" w:hAnsi="Arial"/>
          <w:sz w:val="14"/>
          <w:szCs w:val="14"/>
          <w:color w:val="auto"/>
        </w:rPr>
      </w:pPr>
      <w:r>
        <w:rPr>
          <w:rFonts w:ascii="Arial" w:cs="Arial" w:eastAsia="Arial" w:hAnsi="Arial"/>
          <w:sz w:val="14"/>
          <w:szCs w:val="14"/>
          <w:b w:val="1"/>
          <w:bCs w:val="1"/>
          <w:u w:val="single" w:color="auto"/>
          <w:color w:val="auto"/>
        </w:rPr>
        <w:t>Non-transferability</w:t>
      </w:r>
      <w:r>
        <w:rPr>
          <w:rFonts w:ascii="Arial" w:cs="Arial" w:eastAsia="Arial" w:hAnsi="Arial"/>
          <w:sz w:val="14"/>
          <w:szCs w:val="14"/>
          <w:color w:val="auto"/>
        </w:rPr>
        <w:t>. All RSUs, and any rights or interests therein, (a) shall not be sold, exchanged, transferred, assigned or otherwise disposed of in any way at any time by</w:t>
      </w:r>
      <w:r>
        <w:rPr>
          <w:rFonts w:ascii="Arial" w:cs="Arial" w:eastAsia="Arial" w:hAnsi="Arial"/>
          <w:sz w:val="14"/>
          <w:szCs w:val="14"/>
          <w:b w:val="1"/>
          <w:bCs w:val="1"/>
          <w:color w:val="auto"/>
        </w:rPr>
        <w:t xml:space="preserve"> </w:t>
      </w:r>
      <w:r>
        <w:rPr>
          <w:rFonts w:ascii="Arial" w:cs="Arial" w:eastAsia="Arial" w:hAnsi="Arial"/>
          <w:sz w:val="14"/>
          <w:szCs w:val="14"/>
          <w:color w:val="auto"/>
        </w:rPr>
        <w:t>the Participant (or any beneficiary(ies) of the Participant), other than by testamentary disposition by the Participant or by the laws of descent and distribution, (b) shall not be pledged or encumbered in any way at any time by the Participant (or any beneficiary(ies) of the Participant) and (c) shall not be subject to execution, attachment or similar legal process. Any attempt to sell, exchange, pledge, transfer, assign, encumber or otherwise dispose of this RSU, or the levy of any execution, attachment or similar legal process upon this RSU, contrary to the terms of this Agreement and/or the Plan, shall be null and void and without legal force or effect. For RSUs settled in Common Stock, during the period commencing on the date the RSUs become vested and terminating two (2) years thereafter, the Participant may not sell, assign, transfer, pledge or otherwise encumber such Common Stock.</w:t>
      </w:r>
    </w:p>
    <w:p>
      <w:pPr>
        <w:spacing w:after="0" w:line="57" w:lineRule="exact"/>
        <w:rPr>
          <w:rFonts w:ascii="Arial" w:cs="Arial" w:eastAsia="Arial" w:hAnsi="Arial"/>
          <w:sz w:val="14"/>
          <w:szCs w:val="14"/>
          <w:color w:val="auto"/>
        </w:rPr>
      </w:pPr>
    </w:p>
    <w:p>
      <w:pPr>
        <w:jc w:val="both"/>
        <w:ind w:left="260" w:hanging="260"/>
        <w:spacing w:after="0" w:line="265" w:lineRule="auto"/>
        <w:tabs>
          <w:tab w:leader="none" w:pos="251" w:val="left"/>
        </w:tabs>
        <w:numPr>
          <w:ilvl w:val="0"/>
          <w:numId w:val="37"/>
        </w:numPr>
        <w:rPr>
          <w:rFonts w:ascii="Arial" w:cs="Arial" w:eastAsia="Arial" w:hAnsi="Arial"/>
          <w:sz w:val="14"/>
          <w:szCs w:val="14"/>
          <w:color w:val="auto"/>
        </w:rPr>
      </w:pPr>
      <w:r>
        <w:rPr>
          <w:rFonts w:ascii="Arial" w:cs="Arial" w:eastAsia="Arial" w:hAnsi="Arial"/>
          <w:sz w:val="14"/>
          <w:szCs w:val="14"/>
          <w:b w:val="1"/>
          <w:bCs w:val="1"/>
          <w:u w:val="single" w:color="auto"/>
          <w:color w:val="auto"/>
        </w:rPr>
        <w:t>Entire Agreement; Amendment</w:t>
      </w:r>
      <w:r>
        <w:rPr>
          <w:rFonts w:ascii="Arial" w:cs="Arial" w:eastAsia="Arial" w:hAnsi="Arial"/>
          <w:sz w:val="14"/>
          <w:szCs w:val="14"/>
          <w:color w:val="auto"/>
        </w:rPr>
        <w:t>. This Agreement, together with the Plan, contains the entire agreement between the parties hereto with respect to the subject matter</w:t>
      </w:r>
      <w:r>
        <w:rPr>
          <w:rFonts w:ascii="Arial" w:cs="Arial" w:eastAsia="Arial" w:hAnsi="Arial"/>
          <w:sz w:val="14"/>
          <w:szCs w:val="14"/>
          <w:b w:val="1"/>
          <w:bCs w:val="1"/>
          <w:color w:val="auto"/>
        </w:rPr>
        <w:t xml:space="preserve"> </w:t>
      </w:r>
      <w:r>
        <w:rPr>
          <w:rFonts w:ascii="Arial" w:cs="Arial" w:eastAsia="Arial" w:hAnsi="Arial"/>
          <w:sz w:val="14"/>
          <w:szCs w:val="14"/>
          <w:color w:val="auto"/>
        </w:rPr>
        <w:t>contained herein, and supersedes all prior agreements or prior understandings, whether written or oral, between the parties relating to such subject matter. The Committee shall have the right, in its sole discretion, to modify or amend this Agreement from time to time in accordance with and as provided in the Plan. This Agreement may also be modified or amended by a writing signed by both the Company and the Participant.</w:t>
      </w:r>
    </w:p>
    <w:p>
      <w:pPr>
        <w:spacing w:after="0" w:line="52" w:lineRule="exact"/>
        <w:rPr>
          <w:rFonts w:ascii="Arial" w:cs="Arial" w:eastAsia="Arial" w:hAnsi="Arial"/>
          <w:sz w:val="14"/>
          <w:szCs w:val="14"/>
          <w:color w:val="auto"/>
        </w:rPr>
      </w:pPr>
    </w:p>
    <w:p>
      <w:pPr>
        <w:jc w:val="both"/>
        <w:ind w:left="260" w:hanging="260"/>
        <w:spacing w:after="0" w:line="258" w:lineRule="auto"/>
        <w:tabs>
          <w:tab w:leader="none" w:pos="251" w:val="left"/>
        </w:tabs>
        <w:numPr>
          <w:ilvl w:val="0"/>
          <w:numId w:val="37"/>
        </w:numPr>
        <w:rPr>
          <w:rFonts w:ascii="Arial" w:cs="Arial" w:eastAsia="Arial" w:hAnsi="Arial"/>
          <w:sz w:val="14"/>
          <w:szCs w:val="14"/>
          <w:color w:val="auto"/>
        </w:rPr>
      </w:pPr>
      <w:r>
        <w:rPr>
          <w:rFonts w:ascii="Arial" w:cs="Arial" w:eastAsia="Arial" w:hAnsi="Arial"/>
          <w:sz w:val="14"/>
          <w:szCs w:val="14"/>
          <w:b w:val="1"/>
          <w:bCs w:val="1"/>
          <w:u w:val="single" w:color="auto"/>
          <w:color w:val="auto"/>
        </w:rPr>
        <w:t>Acknowledgment of Employee</w:t>
      </w:r>
      <w:r>
        <w:rPr>
          <w:rFonts w:ascii="Arial" w:cs="Arial" w:eastAsia="Arial" w:hAnsi="Arial"/>
          <w:sz w:val="14"/>
          <w:szCs w:val="14"/>
          <w:color w:val="auto"/>
        </w:rPr>
        <w:t>. This award of RSUs does not entitle the Participant to any benefit other than that granted under this Agreement. Any benefits granted</w:t>
      </w:r>
      <w:r>
        <w:rPr>
          <w:rFonts w:ascii="Arial" w:cs="Arial" w:eastAsia="Arial" w:hAnsi="Arial"/>
          <w:sz w:val="14"/>
          <w:szCs w:val="14"/>
          <w:b w:val="1"/>
          <w:bCs w:val="1"/>
          <w:color w:val="auto"/>
        </w:rPr>
        <w:t xml:space="preserve"> </w:t>
      </w:r>
      <w:r>
        <w:rPr>
          <w:rFonts w:ascii="Arial" w:cs="Arial" w:eastAsia="Arial" w:hAnsi="Arial"/>
          <w:sz w:val="14"/>
          <w:szCs w:val="14"/>
          <w:color w:val="auto"/>
        </w:rPr>
        <w:t>under this Agreement are not part of the Participant’s ordinary salary, and shall not be considered as part of such salary in the event of severance, redundancy or resignation. The Participant understands and accepts that the benefits granted under this Agreement are entirely at the discretion of the Company and that the Company retains the right to amend or terminate this Agreement and the Plan at any time, at its sole discretion and without notice. By signing this Agreement, the Participant agrees to execute, upon request, any further documents or instruments necessary or desirable in the sole determination of the Company to carry out the purposes or intent of the Award of Restricted Stock Units. The Participant acknowledges and agrees that he or she has reviewed this Agreement and the Plan in its entirety, had an opportunity to obtain the advice of counsel prior to executing and accepting this Agreement, and fully understand all provisions of the Award. The Participant acknowledge that the Plan is intended to conform to the extent necessary with all provisions of the Securities Act of 1933, as amended, and the Securities Exchange Act of 1934,</w:t>
      </w:r>
    </w:p>
    <w:p>
      <w:pPr>
        <w:sectPr>
          <w:pgSz w:w="11900" w:h="16838" w:orient="portrait"/>
          <w:cols w:equalWidth="0" w:num="1">
            <w:col w:w="11020"/>
          </w:cols>
          <w:pgMar w:left="560" w:top="1143" w:right="319" w:bottom="1440" w:gutter="0" w:footer="0" w:header="0"/>
        </w:sectPr>
      </w:pPr>
    </w:p>
    <w:bookmarkStart w:id="136" w:name="page137"/>
    <w:bookmarkEnd w:id="136"/>
    <w:p>
      <w:pPr>
        <w:jc w:val="both"/>
        <w:ind w:left="260"/>
        <w:spacing w:after="0" w:line="258" w:lineRule="auto"/>
        <w:rPr>
          <w:sz w:val="20"/>
          <w:szCs w:val="20"/>
          <w:color w:val="auto"/>
        </w:rPr>
      </w:pPr>
      <w:r>
        <w:rPr>
          <w:rFonts w:ascii="Arial" w:cs="Arial" w:eastAsia="Arial" w:hAnsi="Arial"/>
          <w:sz w:val="14"/>
          <w:szCs w:val="14"/>
          <w:color w:val="auto"/>
        </w:rPr>
        <w:t>as amended, and any and all regulations and rules promulgated by the Securities and Exchange Commission thereunder, including, without limitation, the applicable exemptive conditions of Rule 16b-3. Notwithstanding anything herein to the contrary, the Plan shall be administered, and the Restricted Stock Units are granted and may be settled, only in such a manner as to conform to such laws, rules and regulations. To the extent permitted by applicable law, the Plan and this Agreement shall be deemed amended to the extent necessary to conform to such laws, rules and regulations. The Participant hereby acknowledges receipt or the right to receive a document providing the information required by Rule 428(b)(1) promulgated under the Securities Act, which includes the Plan prospectus. In addition, the Participant acknowledge receipt of the Company’s policy permitting officers and directors to sell shares only during certain “window” periods and the Company’s insider trading policy, in effect from time to time. The Participant further agrees not to sell any Shares acquired pursuant to this Award at a time when applicable laws, regulations or the Company’s or any applicable underwriter’s trading policies prohibit such sale.</w:t>
      </w:r>
    </w:p>
    <w:p>
      <w:pPr>
        <w:spacing w:after="0" w:line="58" w:lineRule="exact"/>
        <w:rPr>
          <w:sz w:val="20"/>
          <w:szCs w:val="20"/>
          <w:color w:val="auto"/>
        </w:rPr>
      </w:pPr>
    </w:p>
    <w:p>
      <w:pPr>
        <w:ind w:left="260" w:hanging="260"/>
        <w:spacing w:after="0" w:line="290" w:lineRule="auto"/>
        <w:tabs>
          <w:tab w:leader="none" w:pos="251" w:val="left"/>
        </w:tabs>
        <w:numPr>
          <w:ilvl w:val="0"/>
          <w:numId w:val="38"/>
        </w:numPr>
        <w:rPr>
          <w:rFonts w:ascii="Arial" w:cs="Arial" w:eastAsia="Arial" w:hAnsi="Arial"/>
          <w:sz w:val="14"/>
          <w:szCs w:val="14"/>
          <w:color w:val="auto"/>
        </w:rPr>
      </w:pPr>
      <w:r>
        <w:rPr>
          <w:rFonts w:ascii="Arial" w:cs="Arial" w:eastAsia="Arial" w:hAnsi="Arial"/>
          <w:sz w:val="14"/>
          <w:szCs w:val="14"/>
          <w:b w:val="1"/>
          <w:bCs w:val="1"/>
          <w:u w:val="single" w:color="auto"/>
          <w:color w:val="auto"/>
        </w:rPr>
        <w:t>Governing Law</w:t>
      </w:r>
      <w:r>
        <w:rPr>
          <w:rFonts w:ascii="Arial" w:cs="Arial" w:eastAsia="Arial" w:hAnsi="Arial"/>
          <w:sz w:val="14"/>
          <w:szCs w:val="14"/>
          <w:color w:val="auto"/>
        </w:rPr>
        <w:t>. This Agreement shall be governed by and construed in accordance with the laws of the State of Maryland, without reference to the principles of conflict of</w:t>
      </w:r>
      <w:r>
        <w:rPr>
          <w:rFonts w:ascii="Arial" w:cs="Arial" w:eastAsia="Arial" w:hAnsi="Arial"/>
          <w:sz w:val="14"/>
          <w:szCs w:val="14"/>
          <w:b w:val="1"/>
          <w:bCs w:val="1"/>
          <w:color w:val="auto"/>
        </w:rPr>
        <w:t xml:space="preserve"> </w:t>
      </w:r>
      <w:r>
        <w:rPr>
          <w:rFonts w:ascii="Arial" w:cs="Arial" w:eastAsia="Arial" w:hAnsi="Arial"/>
          <w:sz w:val="14"/>
          <w:szCs w:val="14"/>
          <w:color w:val="auto"/>
        </w:rPr>
        <w:t>laws thereof.</w:t>
      </w:r>
    </w:p>
    <w:p>
      <w:pPr>
        <w:spacing w:after="0" w:line="35" w:lineRule="exact"/>
        <w:rPr>
          <w:rFonts w:ascii="Arial" w:cs="Arial" w:eastAsia="Arial" w:hAnsi="Arial"/>
          <w:sz w:val="14"/>
          <w:szCs w:val="14"/>
          <w:color w:val="auto"/>
        </w:rPr>
      </w:pPr>
    </w:p>
    <w:p>
      <w:pPr>
        <w:jc w:val="both"/>
        <w:ind w:left="260" w:hanging="260"/>
        <w:spacing w:after="0" w:line="262" w:lineRule="auto"/>
        <w:tabs>
          <w:tab w:leader="none" w:pos="255" w:val="left"/>
        </w:tabs>
        <w:numPr>
          <w:ilvl w:val="0"/>
          <w:numId w:val="38"/>
        </w:numPr>
        <w:rPr>
          <w:rFonts w:ascii="Arial" w:cs="Arial" w:eastAsia="Arial" w:hAnsi="Arial"/>
          <w:sz w:val="14"/>
          <w:szCs w:val="14"/>
          <w:color w:val="auto"/>
        </w:rPr>
      </w:pPr>
      <w:r>
        <w:rPr>
          <w:rFonts w:ascii="Arial" w:cs="Arial" w:eastAsia="Arial" w:hAnsi="Arial"/>
          <w:sz w:val="14"/>
          <w:szCs w:val="14"/>
          <w:b w:val="1"/>
          <w:bCs w:val="1"/>
          <w:u w:val="single" w:color="auto"/>
          <w:color w:val="auto"/>
        </w:rPr>
        <w:t>Withholding of Tax</w:t>
      </w:r>
      <w:r>
        <w:rPr>
          <w:rFonts w:ascii="Arial" w:cs="Arial" w:eastAsia="Arial" w:hAnsi="Arial"/>
          <w:sz w:val="14"/>
          <w:szCs w:val="14"/>
          <w:color w:val="auto"/>
        </w:rPr>
        <w:t>. The Company shall withhold from any amounts due and payable by the Company to the Participant (or secure payment from the Participant in lieu of</w:t>
      </w:r>
      <w:r>
        <w:rPr>
          <w:rFonts w:ascii="Arial" w:cs="Arial" w:eastAsia="Arial" w:hAnsi="Arial"/>
          <w:sz w:val="14"/>
          <w:szCs w:val="14"/>
          <w:b w:val="1"/>
          <w:bCs w:val="1"/>
          <w:color w:val="auto"/>
        </w:rPr>
        <w:t xml:space="preserve"> </w:t>
      </w:r>
      <w:r>
        <w:rPr>
          <w:rFonts w:ascii="Arial" w:cs="Arial" w:eastAsia="Arial" w:hAnsi="Arial"/>
          <w:sz w:val="14"/>
          <w:szCs w:val="14"/>
          <w:color w:val="auto"/>
        </w:rPr>
        <w:t>withholding) the amount of any federal or state withholding or other taxes, if any, due from the Company with respect to the exercise of the Option, and the Company may defer such issuance until such withholding or payment is made unless otherwise indemnified to its satisfaction with respect thereto. The Company shall have the right to: (a) make deductions from any settlement of this Option, including the delivery of Shares, or require Shares or cash, or both, be withheld from any settlement of this Option, in each case in an amount sufficient to satisfy the withholding obligation; or (b) take such other action as may be necessary or appropriate to satisfy the withholding obligation.</w:t>
      </w:r>
    </w:p>
    <w:p>
      <w:pPr>
        <w:spacing w:after="0" w:line="54" w:lineRule="exact"/>
        <w:rPr>
          <w:rFonts w:ascii="Arial" w:cs="Arial" w:eastAsia="Arial" w:hAnsi="Arial"/>
          <w:sz w:val="14"/>
          <w:szCs w:val="14"/>
          <w:color w:val="auto"/>
        </w:rPr>
      </w:pPr>
    </w:p>
    <w:p>
      <w:pPr>
        <w:jc w:val="both"/>
        <w:ind w:left="260" w:hanging="260"/>
        <w:spacing w:after="0" w:line="271" w:lineRule="auto"/>
        <w:tabs>
          <w:tab w:leader="none" w:pos="245" w:val="left"/>
        </w:tabs>
        <w:numPr>
          <w:ilvl w:val="0"/>
          <w:numId w:val="38"/>
        </w:numPr>
        <w:rPr>
          <w:rFonts w:ascii="Arial" w:cs="Arial" w:eastAsia="Arial" w:hAnsi="Arial"/>
          <w:sz w:val="14"/>
          <w:szCs w:val="14"/>
          <w:color w:val="auto"/>
        </w:rPr>
      </w:pPr>
      <w:r>
        <w:rPr>
          <w:rFonts w:ascii="Arial" w:cs="Arial" w:eastAsia="Arial" w:hAnsi="Arial"/>
          <w:sz w:val="14"/>
          <w:szCs w:val="14"/>
          <w:b w:val="1"/>
          <w:bCs w:val="1"/>
          <w:u w:val="single" w:color="auto"/>
          <w:color w:val="auto"/>
        </w:rPr>
        <w:t>No Right to Employment</w:t>
      </w:r>
      <w:r>
        <w:rPr>
          <w:rFonts w:ascii="Arial" w:cs="Arial" w:eastAsia="Arial" w:hAnsi="Arial"/>
          <w:sz w:val="14"/>
          <w:szCs w:val="14"/>
          <w:color w:val="auto"/>
        </w:rPr>
        <w:t>. Nothing in this Agreement shall interfere with or limit in any way the right of the Company to terminate the Participant’s employment or service at</w:t>
      </w:r>
      <w:r>
        <w:rPr>
          <w:rFonts w:ascii="Arial" w:cs="Arial" w:eastAsia="Arial" w:hAnsi="Arial"/>
          <w:sz w:val="14"/>
          <w:szCs w:val="14"/>
          <w:b w:val="1"/>
          <w:bCs w:val="1"/>
          <w:color w:val="auto"/>
        </w:rPr>
        <w:t xml:space="preserve"> </w:t>
      </w:r>
      <w:r>
        <w:rPr>
          <w:rFonts w:ascii="Arial" w:cs="Arial" w:eastAsia="Arial" w:hAnsi="Arial"/>
          <w:sz w:val="14"/>
          <w:szCs w:val="14"/>
          <w:color w:val="auto"/>
        </w:rPr>
        <w:t>any time, for any reason and with or without Cause. Any questions as to whether and when there has been a termination of such employment and the cause of such termination shall be determined in the sole discretion of the Committee.</w:t>
      </w:r>
    </w:p>
    <w:p>
      <w:pPr>
        <w:spacing w:after="0" w:line="48" w:lineRule="exact"/>
        <w:rPr>
          <w:rFonts w:ascii="Arial" w:cs="Arial" w:eastAsia="Arial" w:hAnsi="Arial"/>
          <w:sz w:val="14"/>
          <w:szCs w:val="14"/>
          <w:color w:val="auto"/>
        </w:rPr>
      </w:pPr>
    </w:p>
    <w:p>
      <w:pPr>
        <w:jc w:val="both"/>
        <w:ind w:left="260" w:hanging="260"/>
        <w:spacing w:after="0" w:line="271" w:lineRule="auto"/>
        <w:tabs>
          <w:tab w:leader="none" w:pos="255" w:val="left"/>
        </w:tabs>
        <w:numPr>
          <w:ilvl w:val="0"/>
          <w:numId w:val="38"/>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color w:val="auto"/>
        </w:rPr>
        <w:t>. All notices, requests and demands to or upon a party hereto shall be in writing and shall be deemed to have been duly given when delivered by hand or three days</w:t>
      </w:r>
      <w:r>
        <w:rPr>
          <w:rFonts w:ascii="Arial" w:cs="Arial" w:eastAsia="Arial" w:hAnsi="Arial"/>
          <w:sz w:val="14"/>
          <w:szCs w:val="14"/>
          <w:b w:val="1"/>
          <w:bCs w:val="1"/>
          <w:color w:val="auto"/>
        </w:rPr>
        <w:t xml:space="preserve"> </w:t>
      </w:r>
      <w:r>
        <w:rPr>
          <w:rFonts w:ascii="Arial" w:cs="Arial" w:eastAsia="Arial" w:hAnsi="Arial"/>
          <w:sz w:val="14"/>
          <w:szCs w:val="14"/>
          <w:color w:val="auto"/>
        </w:rPr>
        <w:t>after being deposited in the mail, postage prepaid or, in the case of facsimile notice, when received, addressed as follows or to such other address as either party may have furnished to the other in writing in accordance herewith, except that notices of change of address shall be effective only upon receipt.</w:t>
      </w:r>
    </w:p>
    <w:p>
      <w:pPr>
        <w:spacing w:after="0" w:line="48"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4"/>
          <w:szCs w:val="14"/>
          <w:color w:val="auto"/>
        </w:rPr>
        <w:t>If to the Company, to the following address:</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Attn: Secretary</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Capital Bancorp, Inc.</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One Church Street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Rockville, Maryland 20850</w:t>
      </w:r>
    </w:p>
    <w:p>
      <w:pPr>
        <w:spacing w:after="0" w:line="3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If to the Participant, to the address or facsimile number as shown on the signature page hereto.</w:t>
      </w:r>
    </w:p>
    <w:p>
      <w:pPr>
        <w:spacing w:after="0" w:line="94" w:lineRule="exact"/>
        <w:rPr>
          <w:sz w:val="20"/>
          <w:szCs w:val="20"/>
          <w:color w:val="auto"/>
        </w:rPr>
      </w:pPr>
    </w:p>
    <w:p>
      <w:pPr>
        <w:jc w:val="both"/>
        <w:ind w:left="260" w:hanging="260"/>
        <w:spacing w:after="0" w:line="271" w:lineRule="auto"/>
        <w:tabs>
          <w:tab w:leader="none" w:pos="251" w:val="left"/>
        </w:tabs>
        <w:numPr>
          <w:ilvl w:val="0"/>
          <w:numId w:val="39"/>
        </w:numPr>
        <w:rPr>
          <w:rFonts w:ascii="Arial" w:cs="Arial" w:eastAsia="Arial" w:hAnsi="Arial"/>
          <w:sz w:val="14"/>
          <w:szCs w:val="14"/>
          <w:color w:val="auto"/>
        </w:rPr>
      </w:pPr>
      <w:r>
        <w:rPr>
          <w:rFonts w:ascii="Arial" w:cs="Arial" w:eastAsia="Arial" w:hAnsi="Arial"/>
          <w:sz w:val="14"/>
          <w:szCs w:val="14"/>
          <w:b w:val="1"/>
          <w:bCs w:val="1"/>
          <w:u w:val="single" w:color="auto"/>
          <w:color w:val="auto"/>
        </w:rPr>
        <w:t>Compliance with Laws</w:t>
      </w:r>
      <w:r>
        <w:rPr>
          <w:rFonts w:ascii="Arial" w:cs="Arial" w:eastAsia="Arial" w:hAnsi="Arial"/>
          <w:sz w:val="14"/>
          <w:szCs w:val="14"/>
          <w:color w:val="auto"/>
        </w:rPr>
        <w:t>. This issuance of RSUs (and the Shares underlying the RSUs) pursuant to this Agreement shall be subject to, and shall comply with, any applicable</w:t>
      </w:r>
      <w:r>
        <w:rPr>
          <w:rFonts w:ascii="Arial" w:cs="Arial" w:eastAsia="Arial" w:hAnsi="Arial"/>
          <w:sz w:val="14"/>
          <w:szCs w:val="14"/>
          <w:b w:val="1"/>
          <w:bCs w:val="1"/>
          <w:color w:val="auto"/>
        </w:rPr>
        <w:t xml:space="preserve"> </w:t>
      </w:r>
      <w:r>
        <w:rPr>
          <w:rFonts w:ascii="Arial" w:cs="Arial" w:eastAsia="Arial" w:hAnsi="Arial"/>
          <w:sz w:val="14"/>
          <w:szCs w:val="14"/>
          <w:color w:val="auto"/>
        </w:rPr>
        <w:t>requirements of any securities laws, rules and regulations (including, without limitation, the provisions of the Securities Act of 1933, as amended, the 1934 Act and in each case any respective rules and regulations promulgated thereunder) and any other law or regulation applicable thereto. The Company shall</w:t>
      </w:r>
    </w:p>
    <w:p>
      <w:pPr>
        <w:sectPr>
          <w:pgSz w:w="11900" w:h="16838" w:orient="portrait"/>
          <w:cols w:equalWidth="0" w:num="1">
            <w:col w:w="11020"/>
          </w:cols>
          <w:pgMar w:left="560" w:top="1143" w:right="319" w:bottom="1440" w:gutter="0" w:footer="0" w:header="0"/>
        </w:sectPr>
      </w:pPr>
    </w:p>
    <w:bookmarkStart w:id="137" w:name="page138"/>
    <w:bookmarkEnd w:id="137"/>
    <w:p>
      <w:pPr>
        <w:ind w:left="515"/>
        <w:spacing w:after="0"/>
        <w:rPr>
          <w:sz w:val="20"/>
          <w:szCs w:val="20"/>
          <w:color w:val="auto"/>
        </w:rPr>
      </w:pPr>
      <w:r>
        <w:rPr>
          <w:rFonts w:ascii="Arial" w:cs="Arial" w:eastAsia="Arial" w:hAnsi="Arial"/>
          <w:sz w:val="14"/>
          <w:szCs w:val="14"/>
          <w:color w:val="auto"/>
        </w:rPr>
        <w:t>not be obligated to issue this RSU or any of the Shares pursuant to this Agreement if any such issuance would violate any such requirements.</w:t>
      </w:r>
    </w:p>
    <w:p>
      <w:pPr>
        <w:spacing w:after="0" w:line="94" w:lineRule="exact"/>
        <w:rPr>
          <w:sz w:val="20"/>
          <w:szCs w:val="20"/>
          <w:color w:val="auto"/>
        </w:rPr>
      </w:pPr>
    </w:p>
    <w:p>
      <w:pPr>
        <w:ind w:left="515" w:hanging="260"/>
        <w:spacing w:after="0" w:line="290" w:lineRule="auto"/>
        <w:tabs>
          <w:tab w:leader="none" w:pos="506" w:val="left"/>
        </w:tabs>
        <w:numPr>
          <w:ilvl w:val="1"/>
          <w:numId w:val="40"/>
        </w:numPr>
        <w:rPr>
          <w:rFonts w:ascii="Arial" w:cs="Arial" w:eastAsia="Arial" w:hAnsi="Arial"/>
          <w:sz w:val="14"/>
          <w:szCs w:val="14"/>
          <w:color w:val="auto"/>
        </w:rPr>
      </w:pPr>
      <w:r>
        <w:rPr>
          <w:rFonts w:ascii="Arial" w:cs="Arial" w:eastAsia="Arial" w:hAnsi="Arial"/>
          <w:sz w:val="14"/>
          <w:szCs w:val="14"/>
          <w:b w:val="1"/>
          <w:bCs w:val="1"/>
          <w:u w:val="single" w:color="auto"/>
          <w:color w:val="auto"/>
        </w:rPr>
        <w:t>Binding Agreement; Assignment</w:t>
      </w:r>
      <w:r>
        <w:rPr>
          <w:rFonts w:ascii="Arial" w:cs="Arial" w:eastAsia="Arial" w:hAnsi="Arial"/>
          <w:sz w:val="14"/>
          <w:szCs w:val="14"/>
          <w:color w:val="auto"/>
        </w:rPr>
        <w:t>. This Agreement shall inure to the benefit of, be binding upon, and be enforceable by the Company and its successors and assigns. The</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 shall not assign any part of this Agreement without the prior express written consent of the Company.</w:t>
      </w:r>
    </w:p>
    <w:p>
      <w:pPr>
        <w:spacing w:after="0" w:line="35" w:lineRule="exact"/>
        <w:rPr>
          <w:rFonts w:ascii="Arial" w:cs="Arial" w:eastAsia="Arial" w:hAnsi="Arial"/>
          <w:sz w:val="14"/>
          <w:szCs w:val="14"/>
          <w:color w:val="auto"/>
        </w:rPr>
      </w:pPr>
    </w:p>
    <w:p>
      <w:pPr>
        <w:ind w:left="515" w:hanging="260"/>
        <w:spacing w:after="0" w:line="290" w:lineRule="auto"/>
        <w:tabs>
          <w:tab w:leader="none" w:pos="506" w:val="left"/>
        </w:tabs>
        <w:numPr>
          <w:ilvl w:val="1"/>
          <w:numId w:val="40"/>
        </w:numPr>
        <w:rPr>
          <w:rFonts w:ascii="Arial" w:cs="Arial" w:eastAsia="Arial" w:hAnsi="Arial"/>
          <w:sz w:val="14"/>
          <w:szCs w:val="14"/>
          <w:color w:val="auto"/>
        </w:rPr>
      </w:pPr>
      <w:r>
        <w:rPr>
          <w:rFonts w:ascii="Arial" w:cs="Arial" w:eastAsia="Arial" w:hAnsi="Arial"/>
          <w:sz w:val="14"/>
          <w:szCs w:val="14"/>
          <w:b w:val="1"/>
          <w:bCs w:val="1"/>
          <w:u w:val="single" w:color="auto"/>
          <w:color w:val="auto"/>
        </w:rPr>
        <w:t>Counterparts</w:t>
      </w:r>
      <w:r>
        <w:rPr>
          <w:rFonts w:ascii="Arial" w:cs="Arial" w:eastAsia="Arial" w:hAnsi="Arial"/>
          <w:sz w:val="14"/>
          <w:szCs w:val="14"/>
          <w:color w:val="auto"/>
        </w:rPr>
        <w:t>. This Agreement may be executed in one or more counterparts, each of which shall be deemed to be an original, but all of which shall constitute one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same instrument.</w:t>
      </w:r>
    </w:p>
    <w:p>
      <w:pPr>
        <w:spacing w:after="0" w:line="35" w:lineRule="exact"/>
        <w:rPr>
          <w:rFonts w:ascii="Arial" w:cs="Arial" w:eastAsia="Arial" w:hAnsi="Arial"/>
          <w:sz w:val="14"/>
          <w:szCs w:val="14"/>
          <w:color w:val="auto"/>
        </w:rPr>
      </w:pPr>
    </w:p>
    <w:p>
      <w:pPr>
        <w:ind w:left="515" w:hanging="260"/>
        <w:spacing w:after="0" w:line="290" w:lineRule="auto"/>
        <w:tabs>
          <w:tab w:leader="none" w:pos="506" w:val="left"/>
        </w:tabs>
        <w:numPr>
          <w:ilvl w:val="1"/>
          <w:numId w:val="40"/>
        </w:numPr>
        <w:rPr>
          <w:rFonts w:ascii="Arial" w:cs="Arial" w:eastAsia="Arial" w:hAnsi="Arial"/>
          <w:sz w:val="14"/>
          <w:szCs w:val="14"/>
          <w:color w:val="auto"/>
        </w:rPr>
      </w:pPr>
      <w:r>
        <w:rPr>
          <w:rFonts w:ascii="Arial" w:cs="Arial" w:eastAsia="Arial" w:hAnsi="Arial"/>
          <w:sz w:val="14"/>
          <w:szCs w:val="14"/>
          <w:b w:val="1"/>
          <w:bCs w:val="1"/>
          <w:u w:val="single" w:color="auto"/>
          <w:color w:val="auto"/>
        </w:rPr>
        <w:t>Headings</w:t>
      </w:r>
      <w:r>
        <w:rPr>
          <w:rFonts w:ascii="Arial" w:cs="Arial" w:eastAsia="Arial" w:hAnsi="Arial"/>
          <w:sz w:val="14"/>
          <w:szCs w:val="14"/>
          <w:color w:val="auto"/>
        </w:rPr>
        <w:t>. The titles and headings of the various sections of this Agreement have been inserted for convenience of reference only and shall not be deemed to be a part of</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w:t>
      </w:r>
    </w:p>
    <w:p>
      <w:pPr>
        <w:spacing w:after="0" w:line="35" w:lineRule="exact"/>
        <w:rPr>
          <w:rFonts w:ascii="Arial" w:cs="Arial" w:eastAsia="Arial" w:hAnsi="Arial"/>
          <w:sz w:val="14"/>
          <w:szCs w:val="14"/>
          <w:color w:val="auto"/>
        </w:rPr>
      </w:pPr>
    </w:p>
    <w:p>
      <w:pPr>
        <w:jc w:val="both"/>
        <w:ind w:left="515" w:hanging="260"/>
        <w:spacing w:after="0" w:line="271" w:lineRule="auto"/>
        <w:tabs>
          <w:tab w:leader="none" w:pos="506" w:val="left"/>
        </w:tabs>
        <w:numPr>
          <w:ilvl w:val="1"/>
          <w:numId w:val="40"/>
        </w:numPr>
        <w:rPr>
          <w:rFonts w:ascii="Arial" w:cs="Arial" w:eastAsia="Arial" w:hAnsi="Arial"/>
          <w:sz w:val="14"/>
          <w:szCs w:val="14"/>
          <w:color w:val="auto"/>
        </w:rPr>
      </w:pPr>
      <w:r>
        <w:rPr>
          <w:rFonts w:ascii="Arial" w:cs="Arial" w:eastAsia="Arial" w:hAnsi="Arial"/>
          <w:sz w:val="14"/>
          <w:szCs w:val="14"/>
          <w:b w:val="1"/>
          <w:bCs w:val="1"/>
          <w:u w:val="single" w:color="auto"/>
          <w:color w:val="auto"/>
        </w:rPr>
        <w:t>Further Assurances</w:t>
      </w:r>
      <w:r>
        <w:rPr>
          <w:rFonts w:ascii="Arial" w:cs="Arial" w:eastAsia="Arial" w:hAnsi="Arial"/>
          <w:sz w:val="14"/>
          <w:szCs w:val="14"/>
          <w:color w:val="auto"/>
        </w:rPr>
        <w:t>. Each party hereto shall do and perform (or shall cause to be done and performed) all such further acts and shall execute and deliver all such other</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agreements, certificates, instruments and documents as either party hereto reasonably may request in order to carry out the intent and accomplish the purposes of this Agreement and the Plan and the consummation of the transactions contemplated thereunder.</w:t>
      </w:r>
    </w:p>
    <w:p>
      <w:pPr>
        <w:spacing w:after="0" w:line="48" w:lineRule="exact"/>
        <w:rPr>
          <w:rFonts w:ascii="Arial" w:cs="Arial" w:eastAsia="Arial" w:hAnsi="Arial"/>
          <w:sz w:val="14"/>
          <w:szCs w:val="14"/>
          <w:color w:val="auto"/>
        </w:rPr>
      </w:pPr>
    </w:p>
    <w:p>
      <w:pPr>
        <w:jc w:val="both"/>
        <w:ind w:left="515" w:hanging="260"/>
        <w:spacing w:after="0" w:line="271" w:lineRule="auto"/>
        <w:tabs>
          <w:tab w:leader="none" w:pos="506" w:val="left"/>
        </w:tabs>
        <w:numPr>
          <w:ilvl w:val="1"/>
          <w:numId w:val="40"/>
        </w:numPr>
        <w:rPr>
          <w:rFonts w:ascii="Arial" w:cs="Arial" w:eastAsia="Arial" w:hAnsi="Arial"/>
          <w:sz w:val="14"/>
          <w:szCs w:val="14"/>
          <w:color w:val="auto"/>
        </w:rPr>
      </w:pPr>
      <w:r>
        <w:rPr>
          <w:rFonts w:ascii="Arial" w:cs="Arial" w:eastAsia="Arial" w:hAnsi="Arial"/>
          <w:sz w:val="14"/>
          <w:szCs w:val="14"/>
          <w:b w:val="1"/>
          <w:bCs w:val="1"/>
          <w:u w:val="single" w:color="auto"/>
          <w:color w:val="auto"/>
        </w:rPr>
        <w:t>Severability</w:t>
      </w:r>
      <w:r>
        <w:rPr>
          <w:rFonts w:ascii="Arial" w:cs="Arial" w:eastAsia="Arial" w:hAnsi="Arial"/>
          <w:sz w:val="14"/>
          <w:szCs w:val="14"/>
          <w:color w:val="auto"/>
        </w:rPr>
        <w:t>. The invalidity or unenforceability of any provisions of this Agreement in any jurisdiction shall not affect the validity, legality or enforceability of the remainder of</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in such jurisdiction or the validity, legality or enforceability of any provision of this Agreement in any other jurisdiction, it being intended that all rights and obligations of the parties hereunder shall be enforceable to the fullest extent permitted by law.</w:t>
      </w:r>
    </w:p>
    <w:p>
      <w:pPr>
        <w:spacing w:after="0" w:line="48" w:lineRule="exact"/>
        <w:rPr>
          <w:rFonts w:ascii="Arial" w:cs="Arial" w:eastAsia="Arial" w:hAnsi="Arial"/>
          <w:sz w:val="14"/>
          <w:szCs w:val="14"/>
          <w:color w:val="auto"/>
        </w:rPr>
      </w:pPr>
    </w:p>
    <w:p>
      <w:pPr>
        <w:jc w:val="both"/>
        <w:ind w:left="515" w:hanging="260"/>
        <w:spacing w:after="0" w:line="282" w:lineRule="auto"/>
        <w:tabs>
          <w:tab w:leader="none" w:pos="506" w:val="left"/>
        </w:tabs>
        <w:numPr>
          <w:ilvl w:val="1"/>
          <w:numId w:val="40"/>
        </w:numPr>
        <w:rPr>
          <w:rFonts w:ascii="Arial" w:cs="Arial" w:eastAsia="Arial" w:hAnsi="Arial"/>
          <w:sz w:val="14"/>
          <w:szCs w:val="14"/>
          <w:color w:val="auto"/>
        </w:rPr>
      </w:pPr>
      <w:r>
        <w:rPr>
          <w:rFonts w:ascii="Arial" w:cs="Arial" w:eastAsia="Arial" w:hAnsi="Arial"/>
          <w:sz w:val="14"/>
          <w:szCs w:val="14"/>
          <w:b w:val="1"/>
          <w:bCs w:val="1"/>
          <w:u w:val="single" w:color="auto"/>
          <w:color w:val="auto"/>
        </w:rPr>
        <w:t>Clawback</w:t>
      </w:r>
      <w:r>
        <w:rPr>
          <w:rFonts w:ascii="Arial" w:cs="Arial" w:eastAsia="Arial" w:hAnsi="Arial"/>
          <w:sz w:val="14"/>
          <w:szCs w:val="14"/>
          <w:color w:val="auto"/>
        </w:rPr>
        <w:t>. By accepting this Award, the Participant agrees to be bound by the clawback provisions as set forth in Section 15.3 of the Plan, as in effect or as may be</w:t>
      </w:r>
      <w:r>
        <w:rPr>
          <w:rFonts w:ascii="Arial" w:cs="Arial" w:eastAsia="Arial" w:hAnsi="Arial"/>
          <w:sz w:val="14"/>
          <w:szCs w:val="14"/>
          <w:b w:val="1"/>
          <w:bCs w:val="1"/>
          <w:color w:val="auto"/>
        </w:rPr>
        <w:t xml:space="preserve"> </w:t>
      </w:r>
      <w:r>
        <w:rPr>
          <w:rFonts w:ascii="Arial" w:cs="Arial" w:eastAsia="Arial" w:hAnsi="Arial"/>
          <w:sz w:val="14"/>
          <w:szCs w:val="14"/>
          <w:color w:val="auto"/>
        </w:rPr>
        <w:t>adopted and/or modified from time to time by the Company in its discretion (including, without limitation, to comply with applicable law or stock exchange listing requirements).</w:t>
      </w:r>
    </w:p>
    <w:p>
      <w:pPr>
        <w:spacing w:after="0" w:line="200" w:lineRule="exact"/>
        <w:rPr>
          <w:rFonts w:ascii="Arial" w:cs="Arial" w:eastAsia="Arial" w:hAnsi="Arial"/>
          <w:sz w:val="14"/>
          <w:szCs w:val="14"/>
          <w:color w:val="auto"/>
        </w:rPr>
      </w:pPr>
    </w:p>
    <w:p>
      <w:pPr>
        <w:spacing w:after="0" w:line="291" w:lineRule="exact"/>
        <w:rPr>
          <w:rFonts w:ascii="Arial" w:cs="Arial" w:eastAsia="Arial" w:hAnsi="Arial"/>
          <w:sz w:val="14"/>
          <w:szCs w:val="14"/>
          <w:color w:val="auto"/>
        </w:rPr>
      </w:pPr>
    </w:p>
    <w:p>
      <w:pPr>
        <w:jc w:val="both"/>
        <w:ind w:left="-5" w:firstLine="5"/>
        <w:spacing w:after="0" w:line="257" w:lineRule="auto"/>
        <w:tabs>
          <w:tab w:leader="none" w:pos="231" w:val="left"/>
        </w:tabs>
        <w:numPr>
          <w:ilvl w:val="0"/>
          <w:numId w:val="41"/>
        </w:numPr>
        <w:rPr>
          <w:rFonts w:ascii="Arial" w:cs="Arial" w:eastAsia="Arial" w:hAnsi="Arial"/>
          <w:sz w:val="14"/>
          <w:szCs w:val="14"/>
          <w:color w:val="auto"/>
        </w:rPr>
      </w:pPr>
      <w:r>
        <w:rPr>
          <w:rFonts w:ascii="Arial" w:cs="Arial" w:eastAsia="Arial" w:hAnsi="Arial"/>
          <w:sz w:val="14"/>
          <w:szCs w:val="14"/>
          <w:b w:val="1"/>
          <w:bCs w:val="1"/>
          <w:u w:val="single" w:color="auto"/>
          <w:color w:val="auto"/>
        </w:rPr>
        <w:t>Section 409A</w:t>
      </w:r>
      <w:r>
        <w:rPr>
          <w:rFonts w:ascii="Arial" w:cs="Arial" w:eastAsia="Arial" w:hAnsi="Arial"/>
          <w:sz w:val="14"/>
          <w:szCs w:val="14"/>
          <w:color w:val="auto"/>
        </w:rPr>
        <w:t>. This Agreement is intended to comply with the requirements of Section 409A of the Code (“Section 409A”), to the extent applicable, and shall be construed and</w:t>
      </w:r>
      <w:r>
        <w:rPr>
          <w:rFonts w:ascii="Arial" w:cs="Arial" w:eastAsia="Arial" w:hAnsi="Arial"/>
          <w:sz w:val="14"/>
          <w:szCs w:val="14"/>
          <w:b w:val="1"/>
          <w:bCs w:val="1"/>
          <w:color w:val="auto"/>
        </w:rPr>
        <w:t xml:space="preserve"> </w:t>
      </w:r>
      <w:r>
        <w:rPr>
          <w:rFonts w:ascii="Arial" w:cs="Arial" w:eastAsia="Arial" w:hAnsi="Arial"/>
          <w:sz w:val="14"/>
          <w:szCs w:val="14"/>
          <w:color w:val="auto"/>
        </w:rPr>
        <w:t>administered such that your Award either (i) qualifies for an exemption from the requirements of Section 409A or (ii) satisfies the requirements of Section 409A. If an Award is subject to Section 409A, (i) distributions shall only be made in a manner and upon an event permitted under Section 409A, (ii) payments to be made upon a termination of employment shall only be made upon a “separation from service” under Section 409A, (iii) and in no event shall a Participant, directly or indirectly, designate the calendar year in which a distribution is made except in accordance with Section 409A. Any Award that is subject to Section 409A and that is to be distributed to a “specified employee,” as defined in Code Section 409A(a)(2)(B)(i) upon separation from service shall be administered so that any distribution with respect to such Award shall be postponed for six (6) months following the date of the Participant’s separation from service, if required by Section 409A. If a distribution is delayed pursuant to Section 409A, the distribution shall be paid within fifteen (15) days after the end of the six (6)-month period. If the Participant dies during such six (6)-month period, any postponed amounts shall be paid within ninety (90) days of the Participant's death. The determination of a specified employee, including the number and identity of persons considered specified employees and the identification date, shall be made by the Board or its delegate each year in accordance with Section 416(i) of the Code and the “specified employee” requirements of Section 409A.</w:t>
      </w:r>
    </w:p>
    <w:p>
      <w:pPr>
        <w:sectPr>
          <w:pgSz w:w="11900" w:h="16838" w:orient="portrait"/>
          <w:cols w:equalWidth="0" w:num="1">
            <w:col w:w="11275"/>
          </w:cols>
          <w:pgMar w:left="305" w:top="1143" w:right="31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color w:val="auto"/>
        </w:rPr>
        <w:t>IN WITNESS HEREOF, the parties have executed and delivered this Agreement as of the date first above written.</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Capital Bancorp, Inc.</w:t>
      </w:r>
    </w:p>
    <w:p>
      <w:pPr>
        <w:spacing w:after="0" w:line="369"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By: Edward Barry, CEO</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Attested by:</w:t>
      </w:r>
    </w:p>
    <w:p>
      <w:pPr>
        <w:spacing w:after="0" w:line="369"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PARTICIPANT</w:t>
      </w:r>
    </w:p>
    <w:p>
      <w:pPr>
        <w:spacing w:after="0" w:line="369"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By: [INSERT PARTICIPANT NAME]</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Address:</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___________________________________</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___________________________________</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Phone Number:</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Facsimile:</w:t>
      </w:r>
    </w:p>
    <w:p>
      <w:pPr>
        <w:sectPr>
          <w:pgSz w:w="11900" w:h="16838" w:orient="portrait"/>
          <w:cols w:equalWidth="0" w:num="1">
            <w:col w:w="10159"/>
          </w:cols>
          <w:pgMar w:left="300" w:top="1143" w:right="1440" w:bottom="1440"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rFonts w:ascii="Arial" w:cs="Arial" w:eastAsia="Arial" w:hAnsi="Arial"/>
          <w:sz w:val="14"/>
          <w:szCs w:val="14"/>
          <w:color w:val="auto"/>
        </w:rPr>
        <w:t>Exhibit 23.1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89" w:lineRule="exact"/>
        <w:rPr>
          <w:sz w:val="20"/>
          <w:szCs w:val="20"/>
          <w:color w:val="auto"/>
        </w:rPr>
      </w:pPr>
    </w:p>
    <w:p>
      <w:pPr>
        <w:spacing w:after="0" w:line="223" w:lineRule="auto"/>
        <w:rPr>
          <w:sz w:val="20"/>
          <w:szCs w:val="20"/>
          <w:color w:val="auto"/>
        </w:rPr>
      </w:pPr>
      <w:r>
        <w:rPr>
          <w:rFonts w:ascii="Arial" w:cs="Arial" w:eastAsia="Arial" w:hAnsi="Arial"/>
          <w:sz w:val="14"/>
          <w:szCs w:val="14"/>
          <w:color w:val="auto"/>
        </w:rPr>
        <w:t>We consent to the incorporation by reference in the Registration Statements (Nos. 333-228524 and 333-275428) on Form S-8 of Capital Bancorp, Inc. of our report dated March 15, 2024 relating to the consolidated financial statements and the effectiveness of internal control over financial reporting of Capital Bancorp, Inc. and Subsidiaries, appearing in this</w:t>
      </w:r>
    </w:p>
    <w:p>
      <w:pPr>
        <w:spacing w:after="0" w:line="223" w:lineRule="auto"/>
        <w:rPr>
          <w:sz w:val="20"/>
          <w:szCs w:val="20"/>
          <w:color w:val="auto"/>
        </w:rPr>
      </w:pPr>
      <w:r>
        <w:rPr>
          <w:rFonts w:ascii="Arial" w:cs="Arial" w:eastAsia="Arial" w:hAnsi="Arial"/>
          <w:sz w:val="14"/>
          <w:szCs w:val="14"/>
          <w:color w:val="auto"/>
        </w:rPr>
        <w:t>Annual Report on Form 10-K for the year ended December 31, 2023.</w:t>
      </w:r>
    </w:p>
    <w:p>
      <w:pPr>
        <w:spacing w:after="0"/>
        <w:rPr>
          <w:sz w:val="20"/>
          <w:szCs w:val="20"/>
          <w:color w:val="auto"/>
        </w:rPr>
      </w:pPr>
      <w:r>
        <w:rPr>
          <w:rFonts w:ascii="Arial" w:cs="Arial" w:eastAsia="Arial" w:hAnsi="Arial"/>
          <w:sz w:val="14"/>
          <w:szCs w:val="14"/>
          <w:color w:val="auto"/>
        </w:rPr>
        <w:t>/s/ Elliott Davis, PLLC</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Raleigh, North Carolina</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March 15, 2024</w:t>
      </w:r>
    </w:p>
    <w:p>
      <w:pPr>
        <w:sectPr>
          <w:pgSz w:w="11900" w:h="16838" w:orient="portrait"/>
          <w:cols w:equalWidth="0" w:num="1">
            <w:col w:w="11280"/>
          </w:cols>
          <w:pgMar w:left="300" w:top="1144" w:right="319"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b w:val="1"/>
          <w:bCs w:val="1"/>
          <w:color w:val="auto"/>
        </w:rPr>
        <w:t>Section 2: EX-31.1 (RULE 13A-14(A) CERTIFICATION OF THE PRINCIPAL EXECUTIVE OFFICER)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Rule 13a-14(a) Certification of the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161530" cy="133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Rule 13a-14(a) Certification of the Principal Executive Officer.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I, Ed Barry, certify that:</w:t>
      </w:r>
    </w:p>
    <w:p>
      <w:pPr>
        <w:spacing w:after="0" w:line="179" w:lineRule="exact"/>
        <w:rPr>
          <w:sz w:val="20"/>
          <w:szCs w:val="20"/>
          <w:color w:val="auto"/>
        </w:rPr>
      </w:pPr>
    </w:p>
    <w:p>
      <w:pPr>
        <w:ind w:left="160" w:hanging="155"/>
        <w:spacing w:after="0"/>
        <w:tabs>
          <w:tab w:leader="none" w:pos="1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Capital Bancorp, Inc.;</w:t>
      </w:r>
    </w:p>
    <w:p>
      <w:pPr>
        <w:spacing w:after="0" w:line="178" w:lineRule="exact"/>
        <w:rPr>
          <w:rFonts w:ascii="Arial" w:cs="Arial" w:eastAsia="Arial" w:hAnsi="Arial"/>
          <w:sz w:val="14"/>
          <w:szCs w:val="14"/>
          <w:color w:val="auto"/>
        </w:rPr>
      </w:pPr>
    </w:p>
    <w:p>
      <w:pPr>
        <w:ind w:firstLine="5"/>
        <w:spacing w:after="0" w:line="290" w:lineRule="auto"/>
        <w:tabs>
          <w:tab w:leader="none" w:pos="164" w:val="left"/>
        </w:tabs>
        <w:numPr>
          <w:ilvl w:val="0"/>
          <w:numId w:val="4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4"/>
          <w:szCs w:val="14"/>
          <w:color w:val="auto"/>
        </w:rPr>
      </w:pPr>
    </w:p>
    <w:p>
      <w:pPr>
        <w:ind w:firstLine="5"/>
        <w:spacing w:after="0" w:line="290" w:lineRule="auto"/>
        <w:tabs>
          <w:tab w:leader="none" w:pos="168" w:val="left"/>
        </w:tabs>
        <w:numPr>
          <w:ilvl w:val="0"/>
          <w:numId w:val="4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4"/>
          <w:szCs w:val="14"/>
          <w:color w:val="auto"/>
        </w:rPr>
      </w:pPr>
    </w:p>
    <w:p>
      <w:pPr>
        <w:ind w:left="160" w:hanging="155"/>
        <w:spacing w:after="0"/>
        <w:tabs>
          <w:tab w:leader="none" w:pos="1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w:t>
      </w:r>
    </w:p>
    <w:p>
      <w:pPr>
        <w:spacing w:after="0" w:line="2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4"/>
          <w:szCs w:val="14"/>
          <w:color w:val="auto"/>
        </w:rPr>
      </w:pPr>
    </w:p>
    <w:p>
      <w:pPr>
        <w:jc w:val="both"/>
        <w:ind w:left="520" w:hanging="6"/>
        <w:spacing w:after="0" w:line="271" w:lineRule="auto"/>
        <w:tabs>
          <w:tab w:leader="none" w:pos="698" w:val="left"/>
        </w:tabs>
        <w:numPr>
          <w:ilvl w:val="1"/>
          <w:numId w:val="4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3" w:lineRule="exact"/>
        <w:rPr>
          <w:rFonts w:ascii="Arial" w:cs="Arial" w:eastAsia="Arial" w:hAnsi="Arial"/>
          <w:sz w:val="14"/>
          <w:szCs w:val="14"/>
          <w:color w:val="auto"/>
        </w:rPr>
      </w:pPr>
    </w:p>
    <w:p>
      <w:pPr>
        <w:jc w:val="both"/>
        <w:ind w:left="520" w:hanging="6"/>
        <w:spacing w:after="0" w:line="271" w:lineRule="auto"/>
        <w:tabs>
          <w:tab w:leader="none" w:pos="715" w:val="left"/>
        </w:tabs>
        <w:numPr>
          <w:ilvl w:val="1"/>
          <w:numId w:val="4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4"/>
          <w:szCs w:val="14"/>
          <w:color w:val="auto"/>
        </w:rPr>
      </w:pPr>
    </w:p>
    <w:p>
      <w:pPr>
        <w:ind w:left="520" w:hanging="6"/>
        <w:spacing w:after="0" w:line="290" w:lineRule="auto"/>
        <w:tabs>
          <w:tab w:leader="none" w:pos="685" w:val="left"/>
        </w:tabs>
        <w:numPr>
          <w:ilvl w:val="1"/>
          <w:numId w:val="4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4"/>
          <w:szCs w:val="14"/>
          <w:color w:val="auto"/>
        </w:rPr>
      </w:pPr>
    </w:p>
    <w:p>
      <w:pPr>
        <w:jc w:val="both"/>
        <w:ind w:left="520" w:hanging="6"/>
        <w:spacing w:after="0" w:line="271" w:lineRule="auto"/>
        <w:tabs>
          <w:tab w:leader="none" w:pos="713" w:val="left"/>
        </w:tabs>
        <w:numPr>
          <w:ilvl w:val="1"/>
          <w:numId w:val="4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Arial" w:cs="Arial" w:eastAsia="Arial" w:hAnsi="Arial"/>
          <w:sz w:val="14"/>
          <w:szCs w:val="14"/>
          <w:color w:val="auto"/>
        </w:rPr>
      </w:pPr>
    </w:p>
    <w:p>
      <w:pPr>
        <w:ind w:firstLine="5"/>
        <w:spacing w:after="0" w:line="290" w:lineRule="auto"/>
        <w:tabs>
          <w:tab w:leader="none" w:pos="16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4"/>
          <w:szCs w:val="14"/>
          <w:color w:val="auto"/>
        </w:rPr>
      </w:pPr>
    </w:p>
    <w:p>
      <w:pPr>
        <w:ind w:left="520" w:hanging="6"/>
        <w:spacing w:after="0" w:line="290" w:lineRule="auto"/>
        <w:tabs>
          <w:tab w:leader="none" w:pos="694" w:val="left"/>
        </w:tabs>
        <w:numPr>
          <w:ilvl w:val="1"/>
          <w:numId w:val="4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4"/>
          <w:szCs w:val="14"/>
          <w:color w:val="auto"/>
        </w:rPr>
      </w:pPr>
    </w:p>
    <w:p>
      <w:pPr>
        <w:ind w:left="680" w:hanging="166"/>
        <w:spacing w:after="0"/>
        <w:tabs>
          <w:tab w:leader="none" w:pos="680" w:val="left"/>
        </w:tabs>
        <w:numPr>
          <w:ilvl w:val="1"/>
          <w:numId w:val="4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730" w:right="31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Date: March 15, 2024</w:t>
            </w:r>
          </w:p>
        </w:tc>
        <w:tc>
          <w:tcPr>
            <w:tcW w:w="3600" w:type="dxa"/>
            <w:vAlign w:val="bottom"/>
            <w:gridSpan w:val="3"/>
          </w:tcPr>
          <w:p>
            <w:pPr>
              <w:ind w:left="1840"/>
              <w:spacing w:after="0"/>
              <w:rPr>
                <w:sz w:val="20"/>
                <w:szCs w:val="20"/>
                <w:color w:val="auto"/>
              </w:rPr>
            </w:pPr>
            <w:r>
              <w:rPr>
                <w:rFonts w:ascii="Arial" w:cs="Arial" w:eastAsia="Arial" w:hAnsi="Arial"/>
                <w:sz w:val="14"/>
                <w:szCs w:val="14"/>
                <w:color w:val="auto"/>
              </w:rPr>
              <w:t>By: /s/ Edward F. Barry</w:t>
            </w:r>
          </w:p>
        </w:tc>
      </w:tr>
      <w:tr>
        <w:trPr>
          <w:trHeight w:val="20"/>
        </w:trPr>
        <w:tc>
          <w:tcPr>
            <w:tcW w:w="3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8"/>
        </w:trPr>
        <w:tc>
          <w:tcPr>
            <w:tcW w:w="3080" w:type="dxa"/>
            <w:vAlign w:val="bottom"/>
          </w:tcPr>
          <w:p>
            <w:pPr>
              <w:spacing w:after="0"/>
              <w:rPr>
                <w:sz w:val="16"/>
                <w:szCs w:val="16"/>
                <w:color w:val="auto"/>
              </w:rPr>
            </w:pPr>
          </w:p>
        </w:tc>
        <w:tc>
          <w:tcPr>
            <w:tcW w:w="3600" w:type="dxa"/>
            <w:vAlign w:val="bottom"/>
            <w:gridSpan w:val="3"/>
          </w:tcPr>
          <w:p>
            <w:pPr>
              <w:ind w:left="1840"/>
              <w:spacing w:after="0"/>
              <w:rPr>
                <w:sz w:val="20"/>
                <w:szCs w:val="20"/>
                <w:color w:val="auto"/>
              </w:rPr>
            </w:pPr>
            <w:r>
              <w:rPr>
                <w:rFonts w:ascii="Arial" w:cs="Arial" w:eastAsia="Arial" w:hAnsi="Arial"/>
                <w:sz w:val="14"/>
                <w:szCs w:val="14"/>
                <w:color w:val="auto"/>
              </w:rPr>
              <w:t>Name: Edward F. Barry</w:t>
            </w:r>
          </w:p>
        </w:tc>
      </w:tr>
      <w:tr>
        <w:trPr>
          <w:trHeight w:val="186"/>
        </w:trPr>
        <w:tc>
          <w:tcPr>
            <w:tcW w:w="3080" w:type="dxa"/>
            <w:vAlign w:val="bottom"/>
          </w:tcPr>
          <w:p>
            <w:pPr>
              <w:spacing w:after="0"/>
              <w:rPr>
                <w:sz w:val="16"/>
                <w:szCs w:val="16"/>
                <w:color w:val="auto"/>
              </w:rPr>
            </w:pPr>
          </w:p>
        </w:tc>
        <w:tc>
          <w:tcPr>
            <w:tcW w:w="3600" w:type="dxa"/>
            <w:vAlign w:val="bottom"/>
            <w:gridSpan w:val="3"/>
          </w:tcPr>
          <w:p>
            <w:pPr>
              <w:ind w:left="1840"/>
              <w:spacing w:after="0"/>
              <w:rPr>
                <w:sz w:val="20"/>
                <w:szCs w:val="20"/>
                <w:color w:val="auto"/>
              </w:rPr>
            </w:pPr>
            <w:r>
              <w:rPr>
                <w:rFonts w:ascii="Arial" w:cs="Arial" w:eastAsia="Arial" w:hAnsi="Arial"/>
                <w:sz w:val="14"/>
                <w:szCs w:val="14"/>
                <w:color w:val="auto"/>
                <w:w w:val="98"/>
              </w:rPr>
              <w:t>Title: Chief Executive Officer</w:t>
            </w:r>
          </w:p>
        </w:tc>
      </w:tr>
    </w:tbl>
    <w:p>
      <w:pPr>
        <w:sectPr>
          <w:pgSz w:w="11900" w:h="16838" w:orient="portrait"/>
          <w:cols w:equalWidth="0" w:num="1">
            <w:col w:w="10139"/>
          </w:cols>
          <w:pgMar w:left="320" w:top="753" w:right="1440"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b w:val="1"/>
          <w:bCs w:val="1"/>
          <w:color w:val="auto"/>
        </w:rPr>
        <w:t>Section 2: EX-31.2 (RULE 13A-14(A) CERTIFICATION OF THE PRINCIPAL FINANCIAL OFFICER)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Rule 13a-14(a) Certification of the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161530" cy="133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31.2</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Rule 13a-14(a) Certification of the Principal Financial Officer.</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 Jay Walker, certify that:</w:t>
      </w:r>
    </w:p>
    <w:p>
      <w:pPr>
        <w:spacing w:after="0" w:line="179" w:lineRule="exact"/>
        <w:rPr>
          <w:sz w:val="20"/>
          <w:szCs w:val="20"/>
          <w:color w:val="auto"/>
        </w:rPr>
      </w:pPr>
    </w:p>
    <w:p>
      <w:pPr>
        <w:ind w:left="160" w:hanging="155"/>
        <w:spacing w:after="0"/>
        <w:tabs>
          <w:tab w:leader="none" w:pos="1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Capital Bancorp, Inc.;</w:t>
      </w:r>
    </w:p>
    <w:p>
      <w:pPr>
        <w:spacing w:after="0" w:line="178" w:lineRule="exact"/>
        <w:rPr>
          <w:rFonts w:ascii="Arial" w:cs="Arial" w:eastAsia="Arial" w:hAnsi="Arial"/>
          <w:sz w:val="14"/>
          <w:szCs w:val="14"/>
          <w:color w:val="auto"/>
        </w:rPr>
      </w:pPr>
    </w:p>
    <w:p>
      <w:pPr>
        <w:ind w:firstLine="5"/>
        <w:spacing w:after="0" w:line="290" w:lineRule="auto"/>
        <w:tabs>
          <w:tab w:leader="none" w:pos="164" w:val="left"/>
        </w:tabs>
        <w:numPr>
          <w:ilvl w:val="0"/>
          <w:numId w:val="4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4"/>
          <w:szCs w:val="14"/>
          <w:color w:val="auto"/>
        </w:rPr>
      </w:pPr>
    </w:p>
    <w:p>
      <w:pPr>
        <w:ind w:firstLine="5"/>
        <w:spacing w:after="0" w:line="290" w:lineRule="auto"/>
        <w:tabs>
          <w:tab w:leader="none" w:pos="168" w:val="left"/>
        </w:tabs>
        <w:numPr>
          <w:ilvl w:val="0"/>
          <w:numId w:val="4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4"/>
          <w:szCs w:val="14"/>
          <w:color w:val="auto"/>
        </w:rPr>
      </w:pPr>
    </w:p>
    <w:p>
      <w:pPr>
        <w:ind w:left="160" w:hanging="155"/>
        <w:spacing w:after="0"/>
        <w:tabs>
          <w:tab w:leader="none" w:pos="1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w:t>
      </w:r>
    </w:p>
    <w:p>
      <w:pPr>
        <w:spacing w:after="0" w:line="2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4"/>
          <w:szCs w:val="14"/>
          <w:color w:val="auto"/>
        </w:rPr>
      </w:pPr>
    </w:p>
    <w:p>
      <w:pPr>
        <w:jc w:val="both"/>
        <w:ind w:left="520" w:hanging="6"/>
        <w:spacing w:after="0" w:line="271" w:lineRule="auto"/>
        <w:tabs>
          <w:tab w:leader="none" w:pos="698" w:val="left"/>
        </w:tabs>
        <w:numPr>
          <w:ilvl w:val="1"/>
          <w:numId w:val="4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3" w:lineRule="exact"/>
        <w:rPr>
          <w:rFonts w:ascii="Arial" w:cs="Arial" w:eastAsia="Arial" w:hAnsi="Arial"/>
          <w:sz w:val="14"/>
          <w:szCs w:val="14"/>
          <w:color w:val="auto"/>
        </w:rPr>
      </w:pPr>
    </w:p>
    <w:p>
      <w:pPr>
        <w:jc w:val="both"/>
        <w:ind w:left="520" w:hanging="6"/>
        <w:spacing w:after="0" w:line="271" w:lineRule="auto"/>
        <w:tabs>
          <w:tab w:leader="none" w:pos="715" w:val="left"/>
        </w:tabs>
        <w:numPr>
          <w:ilvl w:val="1"/>
          <w:numId w:val="4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4"/>
          <w:szCs w:val="14"/>
          <w:color w:val="auto"/>
        </w:rPr>
      </w:pPr>
    </w:p>
    <w:p>
      <w:pPr>
        <w:ind w:left="520" w:hanging="6"/>
        <w:spacing w:after="0" w:line="290" w:lineRule="auto"/>
        <w:tabs>
          <w:tab w:leader="none" w:pos="685" w:val="left"/>
        </w:tabs>
        <w:numPr>
          <w:ilvl w:val="1"/>
          <w:numId w:val="4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4"/>
          <w:szCs w:val="14"/>
          <w:color w:val="auto"/>
        </w:rPr>
      </w:pPr>
    </w:p>
    <w:p>
      <w:pPr>
        <w:jc w:val="both"/>
        <w:ind w:left="520" w:hanging="6"/>
        <w:spacing w:after="0" w:line="271" w:lineRule="auto"/>
        <w:tabs>
          <w:tab w:leader="none" w:pos="713" w:val="left"/>
        </w:tabs>
        <w:numPr>
          <w:ilvl w:val="1"/>
          <w:numId w:val="4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Arial" w:cs="Arial" w:eastAsia="Arial" w:hAnsi="Arial"/>
          <w:sz w:val="14"/>
          <w:szCs w:val="14"/>
          <w:color w:val="auto"/>
        </w:rPr>
      </w:pPr>
    </w:p>
    <w:p>
      <w:pPr>
        <w:ind w:firstLine="5"/>
        <w:spacing w:after="0" w:line="290" w:lineRule="auto"/>
        <w:tabs>
          <w:tab w:leader="none" w:pos="167"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4"/>
          <w:szCs w:val="14"/>
          <w:color w:val="auto"/>
        </w:rPr>
      </w:pPr>
    </w:p>
    <w:p>
      <w:pPr>
        <w:ind w:left="520" w:hanging="6"/>
        <w:spacing w:after="0" w:line="290" w:lineRule="auto"/>
        <w:tabs>
          <w:tab w:leader="none" w:pos="694" w:val="left"/>
        </w:tabs>
        <w:numPr>
          <w:ilvl w:val="1"/>
          <w:numId w:val="4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4"/>
          <w:szCs w:val="14"/>
          <w:color w:val="auto"/>
        </w:rPr>
      </w:pPr>
    </w:p>
    <w:p>
      <w:pPr>
        <w:ind w:left="680" w:hanging="166"/>
        <w:spacing w:after="0"/>
        <w:tabs>
          <w:tab w:leader="none" w:pos="680" w:val="left"/>
        </w:tabs>
        <w:numPr>
          <w:ilvl w:val="1"/>
          <w:numId w:val="4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730" w:right="31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Date: March 15, 2024</w:t>
            </w:r>
          </w:p>
        </w:tc>
        <w:tc>
          <w:tcPr>
            <w:tcW w:w="4120" w:type="dxa"/>
            <w:vAlign w:val="bottom"/>
            <w:gridSpan w:val="3"/>
          </w:tcPr>
          <w:p>
            <w:pPr>
              <w:ind w:left="2180"/>
              <w:spacing w:after="0"/>
              <w:rPr>
                <w:sz w:val="20"/>
                <w:szCs w:val="20"/>
                <w:color w:val="auto"/>
              </w:rPr>
            </w:pPr>
            <w:r>
              <w:rPr>
                <w:rFonts w:ascii="Arial" w:cs="Arial" w:eastAsia="Arial" w:hAnsi="Arial"/>
                <w:sz w:val="14"/>
                <w:szCs w:val="14"/>
                <w:color w:val="auto"/>
              </w:rPr>
              <w:t>By: /s/ Jay Walker</w:t>
            </w:r>
          </w:p>
        </w:tc>
      </w:tr>
      <w:tr>
        <w:trPr>
          <w:trHeight w:val="20"/>
        </w:trPr>
        <w:tc>
          <w:tcPr>
            <w:tcW w:w="3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8"/>
        </w:trPr>
        <w:tc>
          <w:tcPr>
            <w:tcW w:w="3420" w:type="dxa"/>
            <w:vAlign w:val="bottom"/>
          </w:tcPr>
          <w:p>
            <w:pPr>
              <w:spacing w:after="0"/>
              <w:rPr>
                <w:sz w:val="16"/>
                <w:szCs w:val="16"/>
                <w:color w:val="auto"/>
              </w:rPr>
            </w:pPr>
          </w:p>
        </w:tc>
        <w:tc>
          <w:tcPr>
            <w:tcW w:w="4120" w:type="dxa"/>
            <w:vAlign w:val="bottom"/>
            <w:gridSpan w:val="3"/>
          </w:tcPr>
          <w:p>
            <w:pPr>
              <w:ind w:left="2180"/>
              <w:spacing w:after="0"/>
              <w:rPr>
                <w:sz w:val="20"/>
                <w:szCs w:val="20"/>
                <w:color w:val="auto"/>
              </w:rPr>
            </w:pPr>
            <w:r>
              <w:rPr>
                <w:rFonts w:ascii="Arial" w:cs="Arial" w:eastAsia="Arial" w:hAnsi="Arial"/>
                <w:sz w:val="14"/>
                <w:szCs w:val="14"/>
                <w:color w:val="auto"/>
              </w:rPr>
              <w:t>Name: Jay Walker</w:t>
            </w:r>
          </w:p>
        </w:tc>
      </w:tr>
      <w:tr>
        <w:trPr>
          <w:trHeight w:val="186"/>
        </w:trPr>
        <w:tc>
          <w:tcPr>
            <w:tcW w:w="3420" w:type="dxa"/>
            <w:vAlign w:val="bottom"/>
          </w:tcPr>
          <w:p>
            <w:pPr>
              <w:spacing w:after="0"/>
              <w:rPr>
                <w:sz w:val="16"/>
                <w:szCs w:val="16"/>
                <w:color w:val="auto"/>
              </w:rPr>
            </w:pPr>
          </w:p>
        </w:tc>
        <w:tc>
          <w:tcPr>
            <w:tcW w:w="4120" w:type="dxa"/>
            <w:vAlign w:val="bottom"/>
            <w:gridSpan w:val="3"/>
          </w:tcPr>
          <w:p>
            <w:pPr>
              <w:ind w:left="2180"/>
              <w:spacing w:after="0"/>
              <w:rPr>
                <w:sz w:val="20"/>
                <w:szCs w:val="20"/>
                <w:color w:val="auto"/>
              </w:rPr>
            </w:pPr>
            <w:r>
              <w:rPr>
                <w:rFonts w:ascii="Arial" w:cs="Arial" w:eastAsia="Arial" w:hAnsi="Arial"/>
                <w:sz w:val="14"/>
                <w:szCs w:val="14"/>
                <w:color w:val="auto"/>
                <w:w w:val="99"/>
              </w:rPr>
              <w:t>Title: Principal Financial Officer</w:t>
            </w:r>
          </w:p>
        </w:tc>
      </w:tr>
    </w:tbl>
    <w:p>
      <w:pPr>
        <w:sectPr>
          <w:pgSz w:w="11900" w:h="16838" w:orient="portrait"/>
          <w:cols w:equalWidth="0" w:num="1">
            <w:col w:w="10139"/>
          </w:cols>
          <w:pgMar w:left="320" w:top="753" w:right="1440"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b w:val="1"/>
          <w:bCs w:val="1"/>
          <w:color w:val="auto"/>
        </w:rPr>
        <w:t>Section 2: EX-32.1 (Certification Pursuant to 18 U.S.C. Section 1350, As Adopted Pursuant to Section 906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161530" cy="133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In connection with the Annual Report of Capital Bancorp, Inc. (the “Company”) on Form 10-K for the period ended December 31, 2023,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38" w:lineRule="exact"/>
        <w:rPr>
          <w:sz w:val="20"/>
          <w:szCs w:val="20"/>
          <w:color w:val="auto"/>
        </w:rPr>
      </w:pPr>
    </w:p>
    <w:p>
      <w:pPr>
        <w:ind w:left="500" w:hanging="240"/>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78" w:lineRule="exact"/>
        <w:rPr>
          <w:rFonts w:ascii="Arial" w:cs="Arial" w:eastAsia="Arial" w:hAnsi="Arial"/>
          <w:sz w:val="14"/>
          <w:szCs w:val="14"/>
          <w:color w:val="auto"/>
        </w:rPr>
      </w:pPr>
    </w:p>
    <w:p>
      <w:pPr>
        <w:ind w:left="500" w:hanging="240"/>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Date: March 15, 2024</w:t>
            </w:r>
          </w:p>
        </w:tc>
        <w:tc>
          <w:tcPr>
            <w:tcW w:w="4120" w:type="dxa"/>
            <w:vAlign w:val="bottom"/>
            <w:gridSpan w:val="4"/>
          </w:tcPr>
          <w:p>
            <w:pPr>
              <w:ind w:left="2180"/>
              <w:spacing w:after="0"/>
              <w:rPr>
                <w:sz w:val="20"/>
                <w:szCs w:val="20"/>
                <w:color w:val="auto"/>
              </w:rPr>
            </w:pPr>
            <w:r>
              <w:rPr>
                <w:rFonts w:ascii="Arial" w:cs="Arial" w:eastAsia="Arial" w:hAnsi="Arial"/>
                <w:sz w:val="14"/>
                <w:szCs w:val="14"/>
                <w:color w:val="auto"/>
              </w:rPr>
              <w:t>By: /s/ Edward F. Barry</w:t>
            </w:r>
          </w:p>
        </w:tc>
      </w:tr>
      <w:tr>
        <w:trPr>
          <w:trHeight w:val="20"/>
        </w:trPr>
        <w:tc>
          <w:tcPr>
            <w:tcW w:w="3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8"/>
        </w:trPr>
        <w:tc>
          <w:tcPr>
            <w:tcW w:w="3420" w:type="dxa"/>
            <w:vAlign w:val="bottom"/>
          </w:tcPr>
          <w:p>
            <w:pPr>
              <w:spacing w:after="0"/>
              <w:rPr>
                <w:sz w:val="16"/>
                <w:szCs w:val="16"/>
                <w:color w:val="auto"/>
              </w:rPr>
            </w:pPr>
          </w:p>
        </w:tc>
        <w:tc>
          <w:tcPr>
            <w:tcW w:w="4120" w:type="dxa"/>
            <w:vAlign w:val="bottom"/>
            <w:gridSpan w:val="4"/>
          </w:tcPr>
          <w:p>
            <w:pPr>
              <w:ind w:left="2180"/>
              <w:spacing w:after="0"/>
              <w:rPr>
                <w:sz w:val="20"/>
                <w:szCs w:val="20"/>
                <w:color w:val="auto"/>
              </w:rPr>
            </w:pPr>
            <w:r>
              <w:rPr>
                <w:rFonts w:ascii="Arial" w:cs="Arial" w:eastAsia="Arial" w:hAnsi="Arial"/>
                <w:sz w:val="14"/>
                <w:szCs w:val="14"/>
                <w:color w:val="auto"/>
              </w:rPr>
              <w:t>Name: Edward F. Barry</w:t>
            </w:r>
          </w:p>
        </w:tc>
      </w:tr>
      <w:tr>
        <w:trPr>
          <w:trHeight w:val="186"/>
        </w:trPr>
        <w:tc>
          <w:tcPr>
            <w:tcW w:w="3420" w:type="dxa"/>
            <w:vAlign w:val="bottom"/>
          </w:tcPr>
          <w:p>
            <w:pPr>
              <w:spacing w:after="0"/>
              <w:rPr>
                <w:sz w:val="16"/>
                <w:szCs w:val="16"/>
                <w:color w:val="auto"/>
              </w:rPr>
            </w:pPr>
          </w:p>
        </w:tc>
        <w:tc>
          <w:tcPr>
            <w:tcW w:w="4120" w:type="dxa"/>
            <w:vAlign w:val="bottom"/>
            <w:gridSpan w:val="4"/>
          </w:tcPr>
          <w:p>
            <w:pPr>
              <w:ind w:left="2180"/>
              <w:spacing w:after="0"/>
              <w:rPr>
                <w:sz w:val="20"/>
                <w:szCs w:val="20"/>
                <w:color w:val="auto"/>
              </w:rPr>
            </w:pPr>
            <w:r>
              <w:rPr>
                <w:rFonts w:ascii="Arial" w:cs="Arial" w:eastAsia="Arial" w:hAnsi="Arial"/>
                <w:sz w:val="14"/>
                <w:szCs w:val="14"/>
                <w:color w:val="auto"/>
              </w:rPr>
              <w:t>Title: Chief Executive Officer</w:t>
            </w:r>
          </w:p>
        </w:tc>
      </w:tr>
      <w:tr>
        <w:trPr>
          <w:trHeight w:val="486"/>
        </w:trPr>
        <w:tc>
          <w:tcPr>
            <w:tcW w:w="3420" w:type="dxa"/>
            <w:vAlign w:val="bottom"/>
          </w:tcPr>
          <w:p>
            <w:pPr>
              <w:spacing w:after="0"/>
              <w:rPr>
                <w:sz w:val="24"/>
                <w:szCs w:val="24"/>
                <w:color w:val="auto"/>
              </w:rPr>
            </w:pPr>
          </w:p>
        </w:tc>
        <w:tc>
          <w:tcPr>
            <w:tcW w:w="4120" w:type="dxa"/>
            <w:vAlign w:val="bottom"/>
            <w:gridSpan w:val="4"/>
          </w:tcPr>
          <w:p>
            <w:pPr>
              <w:ind w:left="2180"/>
              <w:spacing w:after="0"/>
              <w:rPr>
                <w:sz w:val="20"/>
                <w:szCs w:val="20"/>
                <w:color w:val="auto"/>
              </w:rPr>
            </w:pPr>
            <w:r>
              <w:rPr>
                <w:rFonts w:ascii="Arial" w:cs="Arial" w:eastAsia="Arial" w:hAnsi="Arial"/>
                <w:sz w:val="14"/>
                <w:szCs w:val="14"/>
                <w:color w:val="auto"/>
              </w:rPr>
              <w:t>By: /s/ Jay Walker</w:t>
            </w:r>
          </w:p>
        </w:tc>
      </w:tr>
      <w:tr>
        <w:trPr>
          <w:trHeight w:val="20"/>
        </w:trPr>
        <w:tc>
          <w:tcPr>
            <w:tcW w:w="3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188"/>
        </w:trPr>
        <w:tc>
          <w:tcPr>
            <w:tcW w:w="3420" w:type="dxa"/>
            <w:vAlign w:val="bottom"/>
          </w:tcPr>
          <w:p>
            <w:pPr>
              <w:spacing w:after="0"/>
              <w:rPr>
                <w:sz w:val="16"/>
                <w:szCs w:val="16"/>
                <w:color w:val="auto"/>
              </w:rPr>
            </w:pPr>
          </w:p>
        </w:tc>
        <w:tc>
          <w:tcPr>
            <w:tcW w:w="4120" w:type="dxa"/>
            <w:vAlign w:val="bottom"/>
            <w:gridSpan w:val="4"/>
          </w:tcPr>
          <w:p>
            <w:pPr>
              <w:ind w:left="2180"/>
              <w:spacing w:after="0"/>
              <w:rPr>
                <w:sz w:val="20"/>
                <w:szCs w:val="20"/>
                <w:color w:val="auto"/>
              </w:rPr>
            </w:pPr>
            <w:r>
              <w:rPr>
                <w:rFonts w:ascii="Arial" w:cs="Arial" w:eastAsia="Arial" w:hAnsi="Arial"/>
                <w:sz w:val="14"/>
                <w:szCs w:val="14"/>
                <w:color w:val="auto"/>
              </w:rPr>
              <w:t>Name: Jay Walker</w:t>
            </w:r>
          </w:p>
        </w:tc>
      </w:tr>
      <w:tr>
        <w:trPr>
          <w:trHeight w:val="186"/>
        </w:trPr>
        <w:tc>
          <w:tcPr>
            <w:tcW w:w="3420" w:type="dxa"/>
            <w:vAlign w:val="bottom"/>
          </w:tcPr>
          <w:p>
            <w:pPr>
              <w:spacing w:after="0"/>
              <w:rPr>
                <w:sz w:val="16"/>
                <w:szCs w:val="16"/>
                <w:color w:val="auto"/>
              </w:rPr>
            </w:pPr>
          </w:p>
        </w:tc>
        <w:tc>
          <w:tcPr>
            <w:tcW w:w="4120" w:type="dxa"/>
            <w:vAlign w:val="bottom"/>
            <w:gridSpan w:val="4"/>
          </w:tcPr>
          <w:p>
            <w:pPr>
              <w:ind w:left="2180"/>
              <w:spacing w:after="0"/>
              <w:rPr>
                <w:sz w:val="20"/>
                <w:szCs w:val="20"/>
                <w:color w:val="auto"/>
              </w:rPr>
            </w:pPr>
            <w:r>
              <w:rPr>
                <w:rFonts w:ascii="Arial" w:cs="Arial" w:eastAsia="Arial" w:hAnsi="Arial"/>
                <w:sz w:val="14"/>
                <w:szCs w:val="14"/>
                <w:color w:val="auto"/>
                <w:w w:val="99"/>
              </w:rPr>
              <w:t>Title: Principal Financial Officer</w:t>
            </w:r>
          </w:p>
        </w:tc>
      </w:tr>
    </w:tbl>
    <w:p>
      <w:pPr>
        <w:sectPr>
          <w:pgSz w:w="11900" w:h="16838" w:orient="portrait"/>
          <w:cols w:equalWidth="0" w:num="1">
            <w:col w:w="11180"/>
          </w:cols>
          <w:pgMar w:left="300" w:top="730" w:right="41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CAPITAL BANCORP,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Incentive Compensation Recovery Policy (the “Policy”)</w:t>
      </w:r>
    </w:p>
    <w:p>
      <w:pPr>
        <w:spacing w:after="0" w:line="180" w:lineRule="exact"/>
        <w:rPr>
          <w:sz w:val="20"/>
          <w:szCs w:val="20"/>
          <w:color w:val="auto"/>
        </w:rPr>
      </w:pPr>
    </w:p>
    <w:p>
      <w:pPr>
        <w:jc w:val="both"/>
        <w:ind w:firstLine="514"/>
        <w:spacing w:after="0" w:line="208" w:lineRule="auto"/>
        <w:tabs>
          <w:tab w:leader="none" w:pos="69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color w:val="auto"/>
        </w:rPr>
        <w:t xml:space="preserve">Recovery of Excess Incentive Compensation. </w:t>
      </w:r>
      <w:r>
        <w:rPr>
          <w:rFonts w:ascii="Times New Roman" w:cs="Times New Roman" w:eastAsia="Times New Roman" w:hAnsi="Times New Roman"/>
          <w:sz w:val="16"/>
          <w:szCs w:val="16"/>
          <w:color w:val="auto"/>
        </w:rPr>
        <w:t>If Capital Bancorp,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is required to prepare a Restatement, the Company’s board of directors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shall, unless the Board’s Compensation Committee (the “</w:t>
      </w:r>
      <w:r>
        <w:rPr>
          <w:rFonts w:ascii="Times New Roman" w:cs="Times New Roman" w:eastAsia="Times New Roman" w:hAnsi="Times New Roman"/>
          <w:sz w:val="16"/>
          <w:szCs w:val="16"/>
          <w:b w:val="1"/>
          <w:bCs w:val="1"/>
          <w:color w:val="auto"/>
        </w:rPr>
        <w:t>Compensation Committee</w:t>
      </w:r>
      <w:r>
        <w:rPr>
          <w:rFonts w:ascii="Times New Roman" w:cs="Times New Roman" w:eastAsia="Times New Roman" w:hAnsi="Times New Roman"/>
          <w:sz w:val="16"/>
          <w:szCs w:val="16"/>
          <w:color w:val="auto"/>
        </w:rPr>
        <w:t>”) determines it to be Impracticable, take reasonably prompt action to recover all Recoverable Compensation from any Covered Person. The Company’s obligation to recover Recoverable Compensation is not dependent on if or when the restated financial statements are filed. Subject to applicable law, the Board may seek to recover Recoverable Compensation by requiring a Covered Person to repay such amount to the Company; by adding “holdback” or deferral policies to incentive compensation; by adding post-vesting “holding” or “no transfer” policies to equity awards; by set-off of a Covered Person’s other compensation; by reducing future compensation; or by such other means or combination of means as the Board, in its sole discretion, determines to be appropriate. This Policy is in addition to (and not in lieu of) any right of repayment, forfeiture or off-set against any Covered Person that may be available under applicable law or otherwise (whether implemented prior to or after adoption of this Policy). The Board may, in its sole discretion and in the exercise of its business judgment, determine whether and to what extent additional action is appropriate to address the circumstances surrounding any Restatement to minimize the likelihood of any recurrence and to impose such other discipline as it deems appropriate.</w:t>
      </w:r>
    </w:p>
    <w:p>
      <w:pPr>
        <w:spacing w:after="0" w:line="146" w:lineRule="exact"/>
        <w:rPr>
          <w:rFonts w:ascii="Times New Roman" w:cs="Times New Roman" w:eastAsia="Times New Roman" w:hAnsi="Times New Roman"/>
          <w:sz w:val="17"/>
          <w:szCs w:val="17"/>
          <w:b w:val="1"/>
          <w:bCs w:val="1"/>
          <w:color w:val="auto"/>
        </w:rPr>
      </w:pPr>
    </w:p>
    <w:p>
      <w:pPr>
        <w:jc w:val="both"/>
        <w:ind w:firstLine="514"/>
        <w:spacing w:after="0" w:line="218" w:lineRule="auto"/>
        <w:tabs>
          <w:tab w:leader="none" w:pos="675"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Administration of Policy. </w:t>
      </w:r>
      <w:r>
        <w:rPr>
          <w:rFonts w:ascii="Times New Roman" w:cs="Times New Roman" w:eastAsia="Times New Roman" w:hAnsi="Times New Roman"/>
          <w:sz w:val="16"/>
          <w:szCs w:val="16"/>
          <w:color w:val="auto"/>
        </w:rPr>
        <w:t>The Board shall have full authority to administer, amend or terminate this Policy. The Board shall, subject to the provisions of this Policy,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make such determinations and interpretations and take such actions in connection with this Policy as it deems necessary, appropriate or advisable. All determinations and interpretations made by the Board shall be final, binding and conclusive. The Board may delegate any of its powers under this Policy to the Compensation Committee or any subcommittee or delegate thereof.</w:t>
      </w:r>
    </w:p>
    <w:p>
      <w:pPr>
        <w:spacing w:after="0" w:line="137" w:lineRule="exact"/>
        <w:rPr>
          <w:rFonts w:ascii="Times New Roman" w:cs="Times New Roman" w:eastAsia="Times New Roman" w:hAnsi="Times New Roman"/>
          <w:sz w:val="16"/>
          <w:szCs w:val="16"/>
          <w:b w:val="1"/>
          <w:bCs w:val="1"/>
          <w:color w:val="auto"/>
        </w:rPr>
      </w:pPr>
    </w:p>
    <w:p>
      <w:pPr>
        <w:ind w:firstLine="514"/>
        <w:spacing w:after="0" w:line="237" w:lineRule="auto"/>
        <w:tabs>
          <w:tab w:leader="none" w:pos="673"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Acknowledgement by Executive Officers. </w:t>
      </w:r>
      <w:r>
        <w:rPr>
          <w:rFonts w:ascii="Times New Roman" w:cs="Times New Roman" w:eastAsia="Times New Roman" w:hAnsi="Times New Roman"/>
          <w:sz w:val="16"/>
          <w:szCs w:val="16"/>
          <w:color w:val="auto"/>
        </w:rPr>
        <w:t>The Board shall provide notice to and seek written acknowledgement of this Policy from each Executive Officer; provided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the failure to provide such notice or obtain such acknowledgement shall have no impact on the applicability or enforceability of this Policy.</w:t>
      </w:r>
    </w:p>
    <w:p>
      <w:pPr>
        <w:spacing w:after="0" w:line="145" w:lineRule="exact"/>
        <w:rPr>
          <w:rFonts w:ascii="Times New Roman" w:cs="Times New Roman" w:eastAsia="Times New Roman" w:hAnsi="Times New Roman"/>
          <w:sz w:val="16"/>
          <w:szCs w:val="16"/>
          <w:b w:val="1"/>
          <w:bCs w:val="1"/>
          <w:color w:val="auto"/>
        </w:rPr>
      </w:pPr>
    </w:p>
    <w:p>
      <w:pPr>
        <w:ind w:firstLine="514"/>
        <w:spacing w:after="0" w:line="230" w:lineRule="auto"/>
        <w:tabs>
          <w:tab w:leader="none" w:pos="675"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No Indemnification. </w:t>
      </w:r>
      <w:r>
        <w:rPr>
          <w:rFonts w:ascii="Times New Roman" w:cs="Times New Roman" w:eastAsia="Times New Roman" w:hAnsi="Times New Roman"/>
          <w:sz w:val="16"/>
          <w:szCs w:val="16"/>
          <w:color w:val="auto"/>
        </w:rPr>
        <w:t>Notwithstanding the terms of any of the Company’s organizational documents, any corporate policy or any contract, no Covered Person shall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indemnified against the loss of any Recoverable Compensation.</w:t>
      </w:r>
    </w:p>
    <w:p>
      <w:pPr>
        <w:spacing w:after="0" w:line="146" w:lineRule="exact"/>
        <w:rPr>
          <w:rFonts w:ascii="Times New Roman" w:cs="Times New Roman" w:eastAsia="Times New Roman" w:hAnsi="Times New Roman"/>
          <w:sz w:val="16"/>
          <w:szCs w:val="16"/>
          <w:b w:val="1"/>
          <w:bCs w:val="1"/>
          <w:color w:val="auto"/>
        </w:rPr>
      </w:pPr>
    </w:p>
    <w:p>
      <w:pPr>
        <w:jc w:val="both"/>
        <w:ind w:firstLine="514"/>
        <w:spacing w:after="0" w:line="222" w:lineRule="auto"/>
        <w:tabs>
          <w:tab w:leader="none" w:pos="670"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Disclosures. </w:t>
      </w:r>
      <w:r>
        <w:rPr>
          <w:rFonts w:ascii="Times New Roman" w:cs="Times New Roman" w:eastAsia="Times New Roman" w:hAnsi="Times New Roman"/>
          <w:sz w:val="16"/>
          <w:szCs w:val="16"/>
          <w:color w:val="auto"/>
        </w:rPr>
        <w:t>The Company shall make all disclosures and filings with respect to this Policy and maintain all documents and records that are required by the applicable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rules and forms of the U.S.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(including, without limitation, Rule 10D-1 promulgated under the Securities Exchange Act of 1934, as amended (the “</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and any applicable Exchange listing standard.</w:t>
      </w:r>
    </w:p>
    <w:p>
      <w:pPr>
        <w:spacing w:after="0" w:line="147" w:lineRule="exact"/>
        <w:rPr>
          <w:rFonts w:ascii="Times New Roman" w:cs="Times New Roman" w:eastAsia="Times New Roman" w:hAnsi="Times New Roman"/>
          <w:sz w:val="16"/>
          <w:szCs w:val="16"/>
          <w:b w:val="1"/>
          <w:bCs w:val="1"/>
          <w:color w:val="auto"/>
        </w:rPr>
      </w:pPr>
    </w:p>
    <w:p>
      <w:pPr>
        <w:ind w:left="660" w:hanging="146"/>
        <w:spacing w:after="0"/>
        <w:tabs>
          <w:tab w:leader="none" w:pos="660"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Definitions. </w:t>
      </w:r>
      <w:r>
        <w:rPr>
          <w:rFonts w:ascii="Times New Roman" w:cs="Times New Roman" w:eastAsia="Times New Roman" w:hAnsi="Times New Roman"/>
          <w:sz w:val="16"/>
          <w:szCs w:val="16"/>
          <w:color w:val="auto"/>
        </w:rPr>
        <w:t>In addition to terms otherwise defined in this Policy, the following terms, when used in this Policy, shall have the following meanings:</w:t>
      </w:r>
    </w:p>
    <w:p>
      <w:pPr>
        <w:spacing w:after="0" w:line="15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“Applicable Period” </w:t>
      </w:r>
      <w:r>
        <w:rPr>
          <w:rFonts w:ascii="Times New Roman" w:cs="Times New Roman" w:eastAsia="Times New Roman" w:hAnsi="Times New Roman"/>
          <w:sz w:val="14"/>
          <w:szCs w:val="14"/>
          <w:color w:val="auto"/>
        </w:rPr>
        <w:t>means the three completed fiscal years preceding the earlier to occur of: (i) the date that the Board, a committee of the Board, or the officer or officers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Company authorized to take such action if Board action is not required, concludes, or reasonably should have concluded, that the Company is required to prepare a</w:t>
      </w:r>
    </w:p>
    <w:p>
      <w:pPr>
        <w:spacing w:after="0" w:line="229" w:lineRule="auto"/>
        <w:rPr>
          <w:sz w:val="20"/>
          <w:szCs w:val="20"/>
          <w:color w:val="auto"/>
        </w:rPr>
      </w:pPr>
      <w:r>
        <w:rPr>
          <w:rFonts w:ascii="Times New Roman" w:cs="Times New Roman" w:eastAsia="Times New Roman" w:hAnsi="Times New Roman"/>
          <w:sz w:val="14"/>
          <w:szCs w:val="14"/>
          <w:color w:val="auto"/>
        </w:rPr>
        <w:t>Restatement; or (ii) the date a court, regulator, or other legally authorized body directs the Company to prepare a Restatement. “Applicable Period” also includes, in addition to the three fiscal year period described in the preceding sentence, any transition period (that results from a change in the Company’s fiscal year) within or immediately following that</w:t>
      </w:r>
    </w:p>
    <w:p>
      <w:pPr>
        <w:spacing w:after="0" w:line="224" w:lineRule="auto"/>
        <w:rPr>
          <w:sz w:val="20"/>
          <w:szCs w:val="20"/>
          <w:color w:val="auto"/>
        </w:rPr>
      </w:pPr>
      <w:r>
        <w:rPr>
          <w:rFonts w:ascii="Times New Roman" w:cs="Times New Roman" w:eastAsia="Times New Roman" w:hAnsi="Times New Roman"/>
          <w:sz w:val="16"/>
          <w:szCs w:val="16"/>
          <w:color w:val="auto"/>
        </w:rPr>
        <w:t xml:space="preserve">completed three fiscal year period;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a transition period between the last day of the Company’s previous fiscal year end and the first day of its new fiscal year that comprises a period of nine to 12 months would be deemed a completed fiscal year.</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 xml:space="preserve">“Covered Person” </w:t>
      </w:r>
      <w:r>
        <w:rPr>
          <w:rFonts w:ascii="Times New Roman" w:cs="Times New Roman" w:eastAsia="Times New Roman" w:hAnsi="Times New Roman"/>
          <w:sz w:val="16"/>
          <w:szCs w:val="16"/>
          <w:color w:val="auto"/>
        </w:rPr>
        <w:t>means any person who receives Recoverable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104" w:right="319" w:bottom="1440" w:gutter="0" w:footer="0" w:header="0"/>
        </w:sectPr>
      </w:pPr>
    </w:p>
    <w:bookmarkStart w:id="166" w:name="page167"/>
    <w:bookmarkEnd w:id="166"/>
    <w:p>
      <w:pPr>
        <w:ind w:left="520"/>
        <w:spacing w:after="0"/>
        <w:rPr>
          <w:sz w:val="20"/>
          <w:szCs w:val="20"/>
          <w:color w:val="auto"/>
        </w:rPr>
      </w:pPr>
      <w:r>
        <w:rPr>
          <w:rFonts w:ascii="Times New Roman" w:cs="Times New Roman" w:eastAsia="Times New Roman" w:hAnsi="Times New Roman"/>
          <w:sz w:val="16"/>
          <w:szCs w:val="16"/>
          <w:b w:val="1"/>
          <w:bCs w:val="1"/>
          <w:color w:val="auto"/>
        </w:rPr>
        <w:t xml:space="preserve">“Exchange” </w:t>
      </w:r>
      <w:r>
        <w:rPr>
          <w:rFonts w:ascii="Times New Roman" w:cs="Times New Roman" w:eastAsia="Times New Roman" w:hAnsi="Times New Roman"/>
          <w:sz w:val="16"/>
          <w:szCs w:val="16"/>
          <w:color w:val="auto"/>
        </w:rPr>
        <w:t>means any national securities exchange or national securities association upon which the Company has a class of securities listed.</w:t>
      </w:r>
    </w:p>
    <w:p>
      <w:pPr>
        <w:spacing w:after="0" w:line="166"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“Executive Officer” </w:t>
      </w:r>
      <w:r>
        <w:rPr>
          <w:rFonts w:ascii="Times New Roman" w:cs="Times New Roman" w:eastAsia="Times New Roman" w:hAnsi="Times New Roman"/>
          <w:sz w:val="14"/>
          <w:szCs w:val="14"/>
          <w:color w:val="auto"/>
        </w:rPr>
        <w:t>includes the Company’s president, principal financial officer, principal accounting officer (or if there is no such accounting officer, the controller),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vice-president of the Company in charge of a principal business unit, division, or function (such as sales, administration, or finance), any other officer who performs a policy-making</w:t>
      </w:r>
    </w:p>
    <w:p>
      <w:pPr>
        <w:spacing w:after="0" w:line="224" w:lineRule="auto"/>
        <w:rPr>
          <w:sz w:val="20"/>
          <w:szCs w:val="20"/>
          <w:color w:val="auto"/>
        </w:rPr>
      </w:pPr>
      <w:r>
        <w:rPr>
          <w:rFonts w:ascii="Times New Roman" w:cs="Times New Roman" w:eastAsia="Times New Roman" w:hAnsi="Times New Roman"/>
          <w:sz w:val="16"/>
          <w:szCs w:val="16"/>
          <w:color w:val="auto"/>
        </w:rPr>
        <w:t>function, or any other person (including any executive officer of the Company’s subsidiaries or affiliates) who performs similar policy-making functions for the Company. At a minimum, the term “Executive Officer” shall include all executive officers identified in SEC filings pursuant to Item 401(b) of Regulation S-K, 17 C.F.R. §229.401(b).</w:t>
      </w:r>
    </w:p>
    <w:p>
      <w:pPr>
        <w:spacing w:after="0" w:line="13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“Financial Reporting Measure” </w:t>
      </w:r>
      <w:r>
        <w:rPr>
          <w:rFonts w:ascii="Times New Roman" w:cs="Times New Roman" w:eastAsia="Times New Roman" w:hAnsi="Times New Roman"/>
          <w:sz w:val="14"/>
          <w:szCs w:val="14"/>
          <w:color w:val="auto"/>
        </w:rPr>
        <w:t>means a measure that is determined and presented in accordance with the accounting principles used in preparing the Company’s financial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statements, and any measure that is derived wholly or in part (including “non-GAAP” financial measures, such as those appearing in earnings releases) from such measures;</w:t>
      </w:r>
    </w:p>
    <w:p>
      <w:pPr>
        <w:spacing w:after="0" w:line="229" w:lineRule="auto"/>
        <w:rPr>
          <w:sz w:val="20"/>
          <w:szCs w:val="20"/>
          <w:color w:val="auto"/>
        </w:rPr>
      </w:pPr>
      <w:r>
        <w:rPr>
          <w:rFonts w:ascii="Times New Roman" w:cs="Times New Roman" w:eastAsia="Times New Roman" w:hAnsi="Times New Roman"/>
          <w:sz w:val="14"/>
          <w:szCs w:val="14"/>
          <w:color w:val="auto"/>
        </w:rPr>
        <w:t>provided, however, that any such measure need not be presented within the Company’s financial statements or included in a filing made with the SEC. Examples of Financial Reporting Measures include, but are not limited to, measures based on: revenues, net income, operating income, financial ratios, capital ratios, EBITDA, liquidity measures (such as</w:t>
      </w:r>
    </w:p>
    <w:p>
      <w:pPr>
        <w:spacing w:after="0" w:line="224" w:lineRule="auto"/>
        <w:rPr>
          <w:sz w:val="20"/>
          <w:szCs w:val="20"/>
          <w:color w:val="auto"/>
        </w:rPr>
      </w:pPr>
      <w:r>
        <w:rPr>
          <w:rFonts w:ascii="Times New Roman" w:cs="Times New Roman" w:eastAsia="Times New Roman" w:hAnsi="Times New Roman"/>
          <w:sz w:val="16"/>
          <w:szCs w:val="16"/>
          <w:color w:val="auto"/>
        </w:rPr>
        <w:t>free cash flow), return measures (such as return on assets or return on invested capital), profitability of one or more segments, and cost per employee. Stock price and total stockholder return (“</w:t>
      </w:r>
      <w:r>
        <w:rPr>
          <w:rFonts w:ascii="Times New Roman" w:cs="Times New Roman" w:eastAsia="Times New Roman" w:hAnsi="Times New Roman"/>
          <w:sz w:val="16"/>
          <w:szCs w:val="16"/>
          <w:b w:val="1"/>
          <w:bCs w:val="1"/>
          <w:color w:val="auto"/>
        </w:rPr>
        <w:t>TSR</w:t>
      </w:r>
      <w:r>
        <w:rPr>
          <w:rFonts w:ascii="Times New Roman" w:cs="Times New Roman" w:eastAsia="Times New Roman" w:hAnsi="Times New Roman"/>
          <w:sz w:val="16"/>
          <w:szCs w:val="16"/>
          <w:color w:val="auto"/>
        </w:rPr>
        <w:t>”) also are Financial Reporting Measures.</w:t>
      </w:r>
    </w:p>
    <w:p>
      <w:pPr>
        <w:spacing w:after="0" w:line="13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“Impracticable” </w:t>
      </w:r>
      <w:r>
        <w:rPr>
          <w:rFonts w:ascii="Times New Roman" w:cs="Times New Roman" w:eastAsia="Times New Roman" w:hAnsi="Times New Roman"/>
          <w:sz w:val="14"/>
          <w:szCs w:val="14"/>
          <w:color w:val="auto"/>
        </w:rPr>
        <w:t>means, after exercising a normal due process review of all the relevant facts and circumstances and taking all steps required by Exchange Act Rule 10D-1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any applicable Exchange listing standard, the Compensation Committee determines that recovery of the Recoverable Compensation is impracticable because: (i) it has</w:t>
      </w:r>
    </w:p>
    <w:p>
      <w:pPr>
        <w:jc w:val="both"/>
        <w:spacing w:after="0" w:line="229" w:lineRule="auto"/>
        <w:rPr>
          <w:sz w:val="20"/>
          <w:szCs w:val="20"/>
          <w:color w:val="auto"/>
        </w:rPr>
      </w:pPr>
      <w:r>
        <w:rPr>
          <w:rFonts w:ascii="Times New Roman" w:cs="Times New Roman" w:eastAsia="Times New Roman" w:hAnsi="Times New Roman"/>
          <w:sz w:val="14"/>
          <w:szCs w:val="14"/>
          <w:color w:val="auto"/>
        </w:rPr>
        <w:t>determined that the direct expense that the Company would pay to a third party to assist in enforcing this Policy and recovering the otherwise Recoverable Compensation would exceed the amount to be recovered; (ii) it has concluded that the recovery of the Recoverable Compensation would violate home country law adopted prior to November 28, 2022;</w:t>
      </w:r>
    </w:p>
    <w:p>
      <w:pPr>
        <w:spacing w:after="0" w:line="208" w:lineRule="auto"/>
        <w:rPr>
          <w:sz w:val="20"/>
          <w:szCs w:val="20"/>
          <w:color w:val="auto"/>
        </w:rPr>
      </w:pPr>
      <w:r>
        <w:rPr>
          <w:rFonts w:ascii="Times New Roman" w:cs="Times New Roman" w:eastAsia="Times New Roman" w:hAnsi="Times New Roman"/>
          <w:sz w:val="16"/>
          <w:szCs w:val="16"/>
          <w:color w:val="auto"/>
        </w:rPr>
        <w:t>or (iii) it has determined that the recovery of the Recoverable Compensation would cause a tax-qualified retirement plan, under which benefits are broadly available to the</w:t>
      </w:r>
    </w:p>
    <w:p>
      <w:pPr>
        <w:jc w:val="both"/>
        <w:spacing w:after="0" w:line="229" w:lineRule="auto"/>
        <w:rPr>
          <w:sz w:val="20"/>
          <w:szCs w:val="20"/>
          <w:color w:val="auto"/>
        </w:rPr>
      </w:pPr>
      <w:r>
        <w:rPr>
          <w:rFonts w:ascii="Times New Roman" w:cs="Times New Roman" w:eastAsia="Times New Roman" w:hAnsi="Times New Roman"/>
          <w:sz w:val="14"/>
          <w:szCs w:val="14"/>
          <w:color w:val="auto"/>
        </w:rPr>
        <w:t>Company’s employees, to fail to meet the requirements of 26 U.S.C. 401(a)(13) or 26 U.S.C. 411(a) and regulations thereunder. The Company must: (A) in the case of clause (i) of the preceding sentence, prior to making that determination, make a reasonable attempt to recover any Recoverable Compensation, document such reasonable attempt(s) to recover,</w:t>
      </w:r>
    </w:p>
    <w:p>
      <w:pPr>
        <w:spacing w:after="0" w:line="217" w:lineRule="auto"/>
        <w:rPr>
          <w:sz w:val="20"/>
          <w:szCs w:val="20"/>
          <w:color w:val="auto"/>
        </w:rPr>
      </w:pPr>
      <w:r>
        <w:rPr>
          <w:rFonts w:ascii="Times New Roman" w:cs="Times New Roman" w:eastAsia="Times New Roman" w:hAnsi="Times New Roman"/>
          <w:sz w:val="16"/>
          <w:szCs w:val="16"/>
          <w:color w:val="auto"/>
        </w:rPr>
        <w:t>and provide that documentation to the Exchange; and (B) in the case of clause (ii) of the preceding sentence, obtain an opinion of home country counsel, acceptable to the Exchange, that recovery would result in such a violation, and provide that opinion to the Exchange.</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 xml:space="preserve">“Incentive-Based Compensation” </w:t>
      </w:r>
      <w:r>
        <w:rPr>
          <w:rFonts w:ascii="Times New Roman" w:cs="Times New Roman" w:eastAsia="Times New Roman" w:hAnsi="Times New Roman"/>
          <w:sz w:val="16"/>
          <w:szCs w:val="16"/>
          <w:color w:val="auto"/>
        </w:rPr>
        <w:t>means any compensation that is granted, earned, or vested based wholly or in part upon the attainment of a Financial Reporting</w:t>
      </w:r>
    </w:p>
    <w:p>
      <w:pPr>
        <w:spacing w:after="0" w:line="217" w:lineRule="auto"/>
        <w:rPr>
          <w:sz w:val="20"/>
          <w:szCs w:val="20"/>
          <w:color w:val="auto"/>
        </w:rPr>
      </w:pPr>
      <w:r>
        <w:rPr>
          <w:rFonts w:ascii="Times New Roman" w:cs="Times New Roman" w:eastAsia="Times New Roman" w:hAnsi="Times New Roman"/>
          <w:sz w:val="16"/>
          <w:szCs w:val="16"/>
          <w:color w:val="auto"/>
        </w:rPr>
        <w:t>Measure; however it does not include: (i) base salaries; (ii) discretionary cash bonuses; (iii) awards (either cash or equity) that are based upon subjective, strategic or operational standards; and (iv) equity awards that vest solely on the passage of time.</w:t>
      </w:r>
    </w:p>
    <w:p>
      <w:pPr>
        <w:spacing w:after="0" w:line="146" w:lineRule="exact"/>
        <w:rPr>
          <w:sz w:val="20"/>
          <w:szCs w:val="20"/>
          <w:color w:val="auto"/>
        </w:rPr>
      </w:pPr>
    </w:p>
    <w:p>
      <w:pPr>
        <w:ind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“Received” – </w:t>
      </w:r>
      <w:r>
        <w:rPr>
          <w:rFonts w:ascii="Times New Roman" w:cs="Times New Roman" w:eastAsia="Times New Roman" w:hAnsi="Times New Roman"/>
          <w:sz w:val="16"/>
          <w:szCs w:val="16"/>
          <w:color w:val="auto"/>
        </w:rPr>
        <w:t>Incentive-Based Compensation is deemed “Received” in any Company fiscal period during which the Financial Reporting Measure specified in the Incentive-Based Compensation award is attained, even if the payment or grant of the Incentive-Based Compensation occurs after the end of that period.</w:t>
      </w:r>
    </w:p>
    <w:p>
      <w:pPr>
        <w:spacing w:after="0" w:line="13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“Recoverable Compensation” </w:t>
      </w:r>
      <w:r>
        <w:rPr>
          <w:rFonts w:ascii="Times New Roman" w:cs="Times New Roman" w:eastAsia="Times New Roman" w:hAnsi="Times New Roman"/>
          <w:sz w:val="14"/>
          <w:szCs w:val="14"/>
          <w:color w:val="auto"/>
        </w:rPr>
        <w:t>means all Incentive-Based Compensation (calculated on a pre-tax basis) Received after October 2, 2023 by a Covered Person: (i) after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beginning service as an Executive Officer; (ii) who served as an Executive Officer at any time during the performance period for that Incentive-Based Compensation; (iii) while the</w:t>
      </w:r>
    </w:p>
    <w:p>
      <w:pPr>
        <w:spacing w:after="0" w:line="229" w:lineRule="auto"/>
        <w:rPr>
          <w:sz w:val="20"/>
          <w:szCs w:val="20"/>
          <w:color w:val="auto"/>
        </w:rPr>
      </w:pPr>
      <w:r>
        <w:rPr>
          <w:rFonts w:ascii="Times New Roman" w:cs="Times New Roman" w:eastAsia="Times New Roman" w:hAnsi="Times New Roman"/>
          <w:sz w:val="14"/>
          <w:szCs w:val="14"/>
          <w:color w:val="auto"/>
        </w:rPr>
        <w:t>Company had a class of securities listed on an Exchange; and (iv) during the Applicable Period, that exceeded the amount of Incentive-Based Compensation that otherwise would have been Received had the amount been determined based on the Financial Reporting Measures, as reflected in the Restatement. With respect to Incentive-Based Compensation</w:t>
      </w:r>
    </w:p>
    <w:p>
      <w:pPr>
        <w:spacing w:after="0" w:line="224" w:lineRule="auto"/>
        <w:rPr>
          <w:sz w:val="20"/>
          <w:szCs w:val="20"/>
          <w:color w:val="auto"/>
        </w:rPr>
      </w:pPr>
      <w:r>
        <w:rPr>
          <w:rFonts w:ascii="Times New Roman" w:cs="Times New Roman" w:eastAsia="Times New Roman" w:hAnsi="Times New Roman"/>
          <w:sz w:val="16"/>
          <w:szCs w:val="16"/>
          <w:color w:val="auto"/>
        </w:rPr>
        <w:t>based on stock price or TSR, when the amount of erroneously awarded compensation is not subject to mathematical recalculation directly from the information in an accounting restatement: (i) the amount must be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80"/>
          </w:cols>
          <w:pgMar w:left="300" w:top="1317" w:right="319" w:bottom="1440" w:gutter="0" w:footer="0" w:header="0"/>
        </w:sectPr>
      </w:pPr>
    </w:p>
    <w:bookmarkStart w:id="167" w:name="page168"/>
    <w:bookmarkEnd w:id="167"/>
    <w:p>
      <w:pPr>
        <w:spacing w:after="0" w:line="235" w:lineRule="auto"/>
        <w:rPr>
          <w:sz w:val="20"/>
          <w:szCs w:val="20"/>
          <w:color w:val="auto"/>
        </w:rPr>
      </w:pPr>
      <w:r>
        <w:rPr>
          <w:rFonts w:ascii="Times New Roman" w:cs="Times New Roman" w:eastAsia="Times New Roman" w:hAnsi="Times New Roman"/>
          <w:sz w:val="16"/>
          <w:szCs w:val="16"/>
          <w:color w:val="auto"/>
        </w:rPr>
        <w:t>a reasonable estimate of the effect of the Restatement on the stock price or TSR upon which the Incentive-Based Compensation Received by the Covered Person originally was based; and (ii) the Company must maintain documentation of the determination of the reasonable estimate and provide such documentation to the Exchange.</w:t>
      </w:r>
    </w:p>
    <w:p>
      <w:pPr>
        <w:spacing w:after="0" w:line="13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“Restatement” </w:t>
      </w:r>
      <w:r>
        <w:rPr>
          <w:rFonts w:ascii="Times New Roman" w:cs="Times New Roman" w:eastAsia="Times New Roman" w:hAnsi="Times New Roman"/>
          <w:sz w:val="14"/>
          <w:szCs w:val="14"/>
          <w:color w:val="auto"/>
        </w:rPr>
        <w:t>means an accounting restatement of any of the Company’s financial statements due to the Company’s material noncompliance with any financial reporting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requirement under U.S. securities laws, including any required accounting restatement to correct an error in previously issued financial statements that is material to the previously</w:t>
      </w:r>
    </w:p>
    <w:p>
      <w:pPr>
        <w:spacing w:after="0" w:line="229" w:lineRule="auto"/>
        <w:rPr>
          <w:sz w:val="20"/>
          <w:szCs w:val="20"/>
          <w:color w:val="auto"/>
        </w:rPr>
      </w:pPr>
      <w:r>
        <w:rPr>
          <w:rFonts w:ascii="Times New Roman" w:cs="Times New Roman" w:eastAsia="Times New Roman" w:hAnsi="Times New Roman"/>
          <w:sz w:val="14"/>
          <w:szCs w:val="14"/>
          <w:color w:val="auto"/>
        </w:rPr>
        <w:t>issued financial statements (often referred to as a “Big R” restatement), or that would result in a material misstatement if the error were corrected in the current period or left uncorrected in the current period (often referred to as a “little r” restatement). A Restatement does not include situations in which financial statement changes did not result from</w:t>
      </w:r>
    </w:p>
    <w:p>
      <w:pPr>
        <w:spacing w:after="0" w:line="208" w:lineRule="auto"/>
        <w:rPr>
          <w:sz w:val="20"/>
          <w:szCs w:val="20"/>
          <w:color w:val="auto"/>
        </w:rPr>
      </w:pPr>
      <w:r>
        <w:rPr>
          <w:rFonts w:ascii="Times New Roman" w:cs="Times New Roman" w:eastAsia="Times New Roman" w:hAnsi="Times New Roman"/>
          <w:sz w:val="16"/>
          <w:szCs w:val="16"/>
          <w:color w:val="auto"/>
        </w:rPr>
        <w:t>material non-compliance with financial reporting requirements, such as, but not limited to retrospective: (i) application of a change in accounting principles; (ii) revision to</w:t>
      </w:r>
    </w:p>
    <w:p>
      <w:pPr>
        <w:spacing w:after="0" w:line="229" w:lineRule="auto"/>
        <w:rPr>
          <w:sz w:val="20"/>
          <w:szCs w:val="20"/>
          <w:color w:val="auto"/>
        </w:rPr>
      </w:pPr>
      <w:r>
        <w:rPr>
          <w:rFonts w:ascii="Times New Roman" w:cs="Times New Roman" w:eastAsia="Times New Roman" w:hAnsi="Times New Roman"/>
          <w:sz w:val="14"/>
          <w:szCs w:val="14"/>
          <w:color w:val="auto"/>
        </w:rPr>
        <w:t>reportable segment information due to a change in the structure of the Company’s internal organization; (iii) reclassification due to a discontinued operation; (iv) application of a change in reporting entity, such as from a reorganization of entities under common control; (v) adjustment to provision amounts in connection with a prior business combination; or</w:t>
      </w:r>
    </w:p>
    <w:p>
      <w:pPr>
        <w:ind w:right="4940" w:firstLine="5"/>
        <w:spacing w:after="0" w:line="457" w:lineRule="auto"/>
        <w:tabs>
          <w:tab w:leader="none" w:pos="263"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revision for stock splits, stock dividends, reverse stock splits or other changes in capital structure. Adopted by the Board of Directors on November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sectPr>
      <w:pgSz w:w="11900" w:h="16838" w:orient="portrait"/>
      <w:cols w:equalWidth="0" w:num="1">
        <w:col w:w="11280"/>
      </w:cols>
      <w:pgMar w:left="300" w:top="11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decimal"/>
      <w:start w:val="2"/>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272"/>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lowerLetter"/>
      <w:start w:val="1"/>
    </w:lvl>
    <w:lvl w:ilvl="1">
      <w:lvlJc w:val="left"/>
      <w:lvlText w:val="(%2)"/>
      <w:numFmt w:val="decimal"/>
      <w:start w:val="1"/>
    </w:lvl>
  </w:abstractNum>
  <w:abstractNum w:abstractNumId="25">
    <w:nsid w:val="5072367"/>
    <w:multiLevelType w:val="hybridMultilevel"/>
    <w:lvl w:ilvl="0">
      <w:lvlJc w:val="left"/>
      <w:lvlText w:val="(%1)"/>
      <w:numFmt w:val="lowerLetter"/>
      <w:start w:val="2"/>
    </w:lvl>
    <w:lvl w:ilvl="1">
      <w:lvlJc w:val="left"/>
      <w:lvlText w:val="%2"/>
      <w:numFmt w:val="decimal"/>
      <w:start w:val="1"/>
    </w:lvl>
  </w:abstractNum>
  <w:abstractNum w:abstractNumId="26">
    <w:nsid w:val="3804823E"/>
    <w:multiLevelType w:val="hybridMultilevel"/>
    <w:lvl w:ilvl="0">
      <w:lvlJc w:val="left"/>
      <w:lvlText w:val="%1"/>
      <w:numFmt w:val="decimal"/>
      <w:start w:val="10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5"/>
    </w:lvl>
  </w:abstractNum>
  <w:abstractNum w:abstractNumId="29">
    <w:nsid w:val="5C482A9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0">
    <w:nsid w:val="2463B9EA"/>
    <w:multiLevelType w:val="hybridMultilevel"/>
    <w:lvl w:ilvl="0">
      <w:lvlJc w:val="left"/>
      <w:lvlText w:val="%1"/>
      <w:numFmt w:val="decimal"/>
      <w:start w:val="1"/>
    </w:lvl>
    <w:lvl w:ilvl="1">
      <w:lvlJc w:val="left"/>
      <w:lvlText w:val="%2."/>
      <w:numFmt w:val="lowerLetter"/>
      <w:start w:val="3"/>
    </w:lvl>
  </w:abstractNum>
  <w:abstractNum w:abstractNumId="31">
    <w:nsid w:val="5E884ADC"/>
    <w:multiLevelType w:val="hybridMultilevel"/>
    <w:lvl w:ilvl="0">
      <w:lvlJc w:val="left"/>
      <w:lvlText w:val="%1."/>
      <w:numFmt w:val="decimal"/>
      <w:start w:val="7"/>
    </w:lvl>
    <w:lvl w:ilvl="1">
      <w:lvlJc w:val="left"/>
      <w:lvlText w:val="%2."/>
      <w:numFmt w:val="lowerLetter"/>
      <w:start w:val="1"/>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decimal"/>
      <w:start w:val="13"/>
    </w:lvl>
  </w:abstractNum>
  <w:abstractNum w:abstractNumId="34">
    <w:nsid w:val="580BD78F"/>
    <w:multiLevelType w:val="hybridMultilevel"/>
    <w:lvl w:ilvl="0">
      <w:lvlJc w:val="left"/>
      <w:lvlText w:val="%1."/>
      <w:numFmt w:val="decimal"/>
      <w:start w:val="15"/>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4"/>
    </w:lvl>
    <w:lvl w:ilvl="1">
      <w:lvlJc w:val="left"/>
      <w:lvlText w:val="%2."/>
      <w:numFmt w:val="lowerLetter"/>
      <w:start w:val="1"/>
    </w:lvl>
  </w:abstractNum>
  <w:abstractNum w:abstractNumId="37">
    <w:nsid w:val="70A64E2A"/>
    <w:multiLevelType w:val="hybridMultilevel"/>
    <w:lvl w:ilvl="0">
      <w:lvlJc w:val="left"/>
      <w:lvlText w:val="%1."/>
      <w:numFmt w:val="decimal"/>
      <w:start w:val="9"/>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1"/>
    </w:lvl>
    <w:lvl w:ilvl="1">
      <w:lvlJc w:val="left"/>
      <w:lvlText w:val="%2."/>
      <w:numFmt w:val="decimal"/>
      <w:start w:val="2"/>
    </w:lvl>
  </w:abstractNum>
  <w:abstractNum w:abstractNumId="40">
    <w:nsid w:val="1D4ED43B"/>
    <w:multiLevelType w:val="hybridMultilevel"/>
    <w:lvl w:ilvl="0">
      <w:lvlJc w:val="left"/>
      <w:lvlText w:val="%1."/>
      <w:numFmt w:val="decimal"/>
      <w:start w:val="20"/>
    </w:lvl>
    <w:lvl w:ilvl="1">
      <w:lvlJc w:val="left"/>
      <w:lvlText w:val="%2"/>
      <w:numFmt w:val="decimal"/>
      <w:start w:val="1"/>
    </w:lvl>
  </w:abstractNum>
  <w:abstractNum w:abstractNumId="41">
    <w:nsid w:val="725A06FB"/>
    <w:multiLevelType w:val="hybridMultilevel"/>
    <w:lvl w:ilvl="0">
      <w:lvlJc w:val="left"/>
      <w:lvlText w:val="%1."/>
      <w:numFmt w:val="decimal"/>
      <w:start w:val="1"/>
    </w:lvl>
    <w:lvl w:ilvl="1">
      <w:lvlJc w:val="left"/>
      <w:lvlText w:val="%2)"/>
      <w:numFmt w:val="lowerLetter"/>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41" Type="http://schemas.openxmlformats.org/officeDocument/2006/relationships/hyperlink" Target="https://www.sec.gov/Archives/edgar/data/1419536/000141953623000094/exhibit31-amendedarticles.htm" TargetMode="External"/><Relationship Id="rId242" Type="http://schemas.openxmlformats.org/officeDocument/2006/relationships/hyperlink" Target="https://www.sec.gov/Archives/edgar/data/1419536/000141953623000094/exhibit32-amendedbylaws.htm" TargetMode="External"/><Relationship Id="rId243" Type="http://schemas.openxmlformats.org/officeDocument/2006/relationships/hyperlink" Target="https://www.sec.gov/Archives/edgar/data/0001419536/000162828018011895/exhibit41cbnks1a1.htm" TargetMode="External"/><Relationship Id="rId244" Type="http://schemas.openxmlformats.org/officeDocument/2006/relationships/hyperlink" Target="https://www.sec.gov/Archives/edgar/data/1419536/000141953620000027/exhibit42q42019.htm" TargetMode="External"/><Relationship Id="rId245" Type="http://schemas.openxmlformats.org/officeDocument/2006/relationships/hyperlink" Target="https://www.sec.gov/Archives/edgar/data/1419536/000162828018011581/exhibit101cbnks1.htm" TargetMode="External"/><Relationship Id="rId246" Type="http://schemas.openxmlformats.org/officeDocument/2006/relationships/hyperlink" Target="https://www.sec.gov/Archives/edgar/data/0001419536/000162828018011895/exhibit102cbnks1a1.htm" TargetMode="External"/><Relationship Id="rId247" Type="http://schemas.openxmlformats.org/officeDocument/2006/relationships/hyperlink" Target="https://www.sec.gov/Archives/edgar/data/0001419536/000162828018011895/exhibit103cbnks1a1.htm" TargetMode="External"/><Relationship Id="rId248" Type="http://schemas.openxmlformats.org/officeDocument/2006/relationships/hyperlink" Target="https://www.sec.gov/Archives/edgar/data/0001419536/000162828018011895/exhibit104cbnks1a1.htm" TargetMode="External"/><Relationship Id="rId249" Type="http://schemas.openxmlformats.org/officeDocument/2006/relationships/hyperlink" Target="https://www.sec.gov/Archives/edgar/data/0001419536/000162828018011895/exhibit105cbnks1a1.htm" TargetMode="External"/><Relationship Id="rId250" Type="http://schemas.openxmlformats.org/officeDocument/2006/relationships/hyperlink" Target="https://www.sec.gov/Archives/edgar/data/0001419536/000162828018011895/exhibit106cbnks1a1.htm" TargetMode="External"/><Relationship Id="rId251" Type="http://schemas.openxmlformats.org/officeDocument/2006/relationships/hyperlink" Target="https://www.sec.gov/Archives/edgar/data/0001419536/000141953622000033/browningemploymentagreemen.htm" TargetMode="External"/><Relationship Id="rId252" Type="http://schemas.openxmlformats.org/officeDocument/2006/relationships/hyperlink" Target="https://www.sec.gov/Archives/edgar/data/0001419536/000141953620000067/ex101employmentagreement.htm" TargetMode="External"/><Relationship Id="rId253" Type="http://schemas.openxmlformats.org/officeDocument/2006/relationships/hyperlink" Target="https://www.sec.gov/Archives/edgar/data/1419536/000141953622000076/capitalbank-barryemploymen.htm" TargetMode="External"/><Relationship Id="rId254" Type="http://schemas.openxmlformats.org/officeDocument/2006/relationships/hyperlink" Target="https://www.sec.gov/Archives/edgar/data/1419536/000141953622000098/stevenmpoynotemploymentagr.htm" TargetMode="External"/><Relationship Id="rId255" Type="http://schemas.openxmlformats.org/officeDocument/2006/relationships/hyperlink" Target="https://www.sec.gov/Archives/edgar/data/1419536/000141953623000097/employmentagreement-wal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2024-03-15T16:03:31Z</dcterms:created>
  <dcterms:modified xsi:type="dcterms:W3CDTF">2024-03-15T16:03:31Z</dcterms:modified>
</cp:coreProperties>
</file>