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Date of Report (Date of earliest event reported): June 17, 2026</w:t>
      </w:r>
    </w:p>
    <w:p>
      <w:pPr>
        <w:spacing w:after="0" w:line="263"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CAPITAL BANCORP, INC.</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(Exact name of registrant as specified in its charter)</w:t>
      </w:r>
    </w:p>
    <w:p>
      <w:pPr>
        <w:spacing w:after="0" w:line="358" w:lineRule="exact"/>
        <w:rPr>
          <w:sz w:val="24"/>
          <w:szCs w:val="24"/>
          <w:color w:val="auto"/>
        </w:rPr>
      </w:pPr>
    </w:p>
    <w:tbl>
      <w:tblPr>
        <w:tblLayout w:type="fixed"/>
        <w:tblInd w:w="640" w:type="dxa"/>
        <w:tblCellMar>
          <w:top w:w="0" w:type="dxa"/>
          <w:left w:w="0" w:type="dxa"/>
          <w:bottom w:w="0" w:type="dxa"/>
          <w:right w:w="0" w:type="dxa"/>
        </w:tblCellMar>
      </w:tblPr>
      <w:tr>
        <w:trPr>
          <w:trHeight w:val="207"/>
        </w:trPr>
        <w:tc>
          <w:tcPr>
            <w:tcW w:w="102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Maryland</w:t>
            </w:r>
          </w:p>
        </w:tc>
        <w:tc>
          <w:tcPr>
            <w:tcW w:w="1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140" w:type="dxa"/>
            <w:vAlign w:val="bottom"/>
            <w:gridSpan w:val="2"/>
          </w:tcPr>
          <w:p>
            <w:pPr>
              <w:jc w:val="right"/>
              <w:ind w:right="1280"/>
              <w:spacing w:after="0"/>
              <w:rPr>
                <w:sz w:val="20"/>
                <w:szCs w:val="20"/>
                <w:color w:val="auto"/>
              </w:rPr>
            </w:pPr>
            <w:r>
              <w:rPr>
                <w:rFonts w:ascii="Arial" w:cs="Arial" w:eastAsia="Arial" w:hAnsi="Arial"/>
                <w:sz w:val="18"/>
                <w:szCs w:val="18"/>
                <w:color w:val="auto"/>
                <w:w w:val="97"/>
              </w:rPr>
              <w:t>001-38671</w:t>
            </w:r>
          </w:p>
        </w:tc>
        <w:tc>
          <w:tcPr>
            <w:tcW w:w="2680" w:type="dxa"/>
            <w:vAlign w:val="bottom"/>
            <w:gridSpan w:val="3"/>
          </w:tcPr>
          <w:p>
            <w:pPr>
              <w:jc w:val="right"/>
              <w:ind w:right="300"/>
              <w:spacing w:after="0"/>
              <w:rPr>
                <w:sz w:val="20"/>
                <w:szCs w:val="20"/>
                <w:color w:val="auto"/>
              </w:rPr>
            </w:pPr>
            <w:r>
              <w:rPr>
                <w:rFonts w:ascii="Arial" w:cs="Arial" w:eastAsia="Arial" w:hAnsi="Arial"/>
                <w:sz w:val="18"/>
                <w:szCs w:val="18"/>
                <w:color w:val="auto"/>
              </w:rPr>
              <w:t>52-2083046</w:t>
            </w:r>
          </w:p>
        </w:tc>
      </w:tr>
      <w:tr>
        <w:trPr>
          <w:trHeight w:val="20"/>
        </w:trPr>
        <w:tc>
          <w:tcPr>
            <w:tcW w:w="10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63"/>
        </w:trPr>
        <w:tc>
          <w:tcPr>
            <w:tcW w:w="3680" w:type="dxa"/>
            <w:vAlign w:val="bottom"/>
            <w:gridSpan w:val="3"/>
          </w:tcPr>
          <w:p>
            <w:pPr>
              <w:jc w:val="center"/>
              <w:ind w:right="900"/>
              <w:spacing w:after="0"/>
              <w:rPr>
                <w:sz w:val="20"/>
                <w:szCs w:val="20"/>
                <w:color w:val="auto"/>
              </w:rPr>
            </w:pPr>
            <w:r>
              <w:rPr>
                <w:rFonts w:ascii="Arial" w:cs="Arial" w:eastAsia="Arial" w:hAnsi="Arial"/>
                <w:sz w:val="11"/>
                <w:szCs w:val="11"/>
                <w:color w:val="auto"/>
                <w:w w:val="97"/>
              </w:rPr>
              <w:t>(State or other jurisdiction of incorporation or organization)</w:t>
            </w:r>
          </w:p>
        </w:tc>
        <w:tc>
          <w:tcPr>
            <w:tcW w:w="3220" w:type="dxa"/>
            <w:vAlign w:val="bottom"/>
            <w:gridSpan w:val="3"/>
          </w:tcPr>
          <w:p>
            <w:pPr>
              <w:jc w:val="center"/>
              <w:ind w:right="200"/>
              <w:spacing w:after="0"/>
              <w:rPr>
                <w:sz w:val="20"/>
                <w:szCs w:val="20"/>
                <w:color w:val="auto"/>
              </w:rPr>
            </w:pPr>
            <w:r>
              <w:rPr>
                <w:rFonts w:ascii="Arial" w:cs="Arial" w:eastAsia="Arial" w:hAnsi="Arial"/>
                <w:sz w:val="11"/>
                <w:szCs w:val="11"/>
                <w:color w:val="auto"/>
                <w:w w:val="97"/>
              </w:rPr>
              <w:t>(Commission file number)</w:t>
            </w:r>
          </w:p>
        </w:tc>
        <w:tc>
          <w:tcPr>
            <w:tcW w:w="2680" w:type="dxa"/>
            <w:vAlign w:val="bottom"/>
            <w:gridSpan w:val="3"/>
          </w:tcPr>
          <w:p>
            <w:pPr>
              <w:jc w:val="center"/>
              <w:ind w:left="1028"/>
              <w:spacing w:after="0"/>
              <w:rPr>
                <w:sz w:val="20"/>
                <w:szCs w:val="20"/>
                <w:color w:val="auto"/>
              </w:rPr>
            </w:pPr>
            <w:r>
              <w:rPr>
                <w:rFonts w:ascii="Arial" w:cs="Arial" w:eastAsia="Arial" w:hAnsi="Arial"/>
                <w:sz w:val="11"/>
                <w:szCs w:val="11"/>
                <w:color w:val="auto"/>
                <w:w w:val="98"/>
              </w:rPr>
              <w:t>(IRS Employer Identification No.)</w:t>
            </w:r>
          </w:p>
        </w:tc>
      </w:tr>
    </w:tbl>
    <w:p>
      <w:pPr>
        <w:spacing w:after="0" w:line="190"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2275 Research Boulevard, Suite 600, Rockville, Maryland 20850</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(Address of principal executive offices) (Zip Code)</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(301) 468-8848</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Registrant’s telephone number, including area code</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Not Applicable</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(Former Name or Former Address, if Changed Since Last Report)</w:t>
      </w:r>
    </w:p>
    <w:p>
      <w:pPr>
        <w:spacing w:after="0" w:line="236" w:lineRule="exact"/>
        <w:rPr>
          <w:sz w:val="24"/>
          <w:szCs w:val="24"/>
          <w:color w:val="auto"/>
        </w:rPr>
      </w:pPr>
    </w:p>
    <w:p>
      <w:pPr>
        <w:ind w:right="40"/>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obligations of the registrant under any of the following provisions:</w:t>
      </w:r>
    </w:p>
    <w:p>
      <w:pPr>
        <w:spacing w:after="0" w:line="180"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00" w:lineRule="exact"/>
        <w:rPr>
          <w:rFonts w:ascii="MS PGothic" w:cs="MS PGothic" w:eastAsia="MS PGothic" w:hAnsi="MS PGothic"/>
          <w:sz w:val="18"/>
          <w:szCs w:val="18"/>
          <w:color w:val="auto"/>
        </w:rPr>
      </w:pPr>
    </w:p>
    <w:p>
      <w:pPr>
        <w:spacing w:after="0" w:line="268"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268"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268" w:lineRule="exact"/>
        <w:rPr>
          <w:rFonts w:ascii="MS PGothic" w:cs="MS PGothic" w:eastAsia="MS PGothic" w:hAnsi="MS PGothic"/>
          <w:sz w:val="18"/>
          <w:szCs w:val="18"/>
          <w:color w:val="auto"/>
        </w:rPr>
      </w:pPr>
    </w:p>
    <w:p>
      <w:pPr>
        <w:ind w:right="1980" w:firstLine="8"/>
        <w:spacing w:after="0" w:line="504" w:lineRule="auto"/>
        <w:tabs>
          <w:tab w:leader="none" w:pos="36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90" w:type="dxa"/>
        <w:tblCellMar>
          <w:top w:w="0" w:type="dxa"/>
          <w:left w:w="0" w:type="dxa"/>
          <w:bottom w:w="0" w:type="dxa"/>
          <w:right w:w="0" w:type="dxa"/>
        </w:tblCellMar>
      </w:tblPr>
      <w:tr>
        <w:trPr>
          <w:trHeight w:val="223"/>
        </w:trPr>
        <w:tc>
          <w:tcPr>
            <w:tcW w:w="43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Title of Each Class</w:t>
            </w:r>
          </w:p>
        </w:tc>
        <w:tc>
          <w:tcPr>
            <w:tcW w:w="18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Trading Symbol</w:t>
            </w:r>
          </w:p>
        </w:tc>
        <w:tc>
          <w:tcPr>
            <w:tcW w:w="47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Name of Each Exchange on Which Registered</w:t>
            </w:r>
          </w:p>
        </w:tc>
      </w:tr>
      <w:tr>
        <w:trPr>
          <w:trHeight w:val="223"/>
        </w:trPr>
        <w:tc>
          <w:tcPr>
            <w:tcW w:w="4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Common Stock, par value $0.01 per share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CBNK</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NASDAQ Stock Market</w:t>
            </w:r>
          </w:p>
        </w:tc>
      </w:tr>
    </w:tbl>
    <w:p>
      <w:pPr>
        <w:spacing w:after="0" w:line="319" w:lineRule="exact"/>
        <w:rPr>
          <w:sz w:val="24"/>
          <w:szCs w:val="24"/>
          <w:color w:val="auto"/>
        </w:rPr>
      </w:pPr>
    </w:p>
    <w:p>
      <w:pPr>
        <w:ind w:right="860"/>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664845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June 17, 2026, the Board of Directors of Capital Bancorp, Inc., upon the recommendation of its Nominating and Corporate Governance Committee, unanimously approved submitting governance proposals to stockholders to eliminate the Company's classified board structure and all supermajority voting provisions in the Company's Articles of Incorporation.</w:t>
      </w:r>
    </w:p>
    <w:p>
      <w:pPr>
        <w:spacing w:after="0" w:line="19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If approved by stockholders, directors elected at future annual meetings would be elected for one-year terms, beginning with the next director election. Directors currently serving terms that do not expire at that meeting would continue to serve the remainder of their existing terms. The proposals would also eliminate all supermajority voting requirements in the Company's Articles of Incorporation, including those relating to director removal, amendments to the classified board provisions, and business combinations not approved by the Board under Article X of the Company's Articles of Incorporation, and would make a conforming amendment to the Company's Bylaws.</w:t>
      </w:r>
    </w:p>
    <w:p>
      <w:pPr>
        <w:spacing w:after="0" w:line="20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proposed amendments will be described in the proxy statement for the applicable stockholder meeting and remain subject to stockholder approval.</w:t>
      </w:r>
    </w:p>
    <w:p>
      <w:pPr>
        <w:spacing w:after="0" w:line="18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information in this Item 7.01 is furnished and shall not be deemed "filed" under the Securities Exchange Act of 1934, nor incorporated by reference into any filing, except as expressly stated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72" w:lineRule="exact"/>
        <w:rPr>
          <w:sz w:val="20"/>
          <w:szCs w:val="20"/>
          <w:color w:val="auto"/>
        </w:rPr>
      </w:pPr>
    </w:p>
    <w:tbl>
      <w:tblPr>
        <w:tblLayout w:type="fixed"/>
        <w:tblInd w:w="1060" w:type="dxa"/>
        <w:tblCellMar>
          <w:top w:w="0" w:type="dxa"/>
          <w:left w:w="0" w:type="dxa"/>
          <w:bottom w:w="0" w:type="dxa"/>
          <w:right w:w="0" w:type="dxa"/>
        </w:tblCellMar>
      </w:tblPr>
      <w:tr>
        <w:trPr>
          <w:trHeight w:val="247"/>
        </w:trPr>
        <w:tc>
          <w:tcPr>
            <w:tcW w:w="3080" w:type="dxa"/>
            <w:vAlign w:val="bottom"/>
          </w:tcPr>
          <w:p>
            <w:pPr>
              <w:spacing w:after="0"/>
              <w:rPr>
                <w:sz w:val="21"/>
                <w:szCs w:val="21"/>
                <w:color w:val="auto"/>
              </w:rPr>
            </w:pPr>
          </w:p>
        </w:tc>
        <w:tc>
          <w:tcPr>
            <w:tcW w:w="3680" w:type="dxa"/>
            <w:vAlign w:val="bottom"/>
            <w:gridSpan w:val="3"/>
          </w:tcPr>
          <w:p>
            <w:pPr>
              <w:ind w:left="1480"/>
              <w:spacing w:after="0"/>
              <w:rPr>
                <w:sz w:val="20"/>
                <w:szCs w:val="20"/>
                <w:color w:val="auto"/>
              </w:rPr>
            </w:pPr>
            <w:r>
              <w:rPr>
                <w:rFonts w:ascii="Arial" w:cs="Arial" w:eastAsia="Arial" w:hAnsi="Arial"/>
                <w:sz w:val="18"/>
                <w:szCs w:val="18"/>
                <w:b w:val="1"/>
                <w:bCs w:val="1"/>
                <w:color w:val="auto"/>
                <w:w w:val="99"/>
              </w:rPr>
              <w:t>CAPITAL BANCORP, INC.</w:t>
            </w:r>
          </w:p>
        </w:tc>
      </w:tr>
      <w:tr>
        <w:trPr>
          <w:trHeight w:val="690"/>
        </w:trPr>
        <w:tc>
          <w:tcPr>
            <w:tcW w:w="3080" w:type="dxa"/>
            <w:vAlign w:val="bottom"/>
          </w:tcPr>
          <w:p>
            <w:pPr>
              <w:spacing w:after="0"/>
              <w:rPr>
                <w:sz w:val="20"/>
                <w:szCs w:val="20"/>
                <w:color w:val="auto"/>
              </w:rPr>
            </w:pPr>
            <w:r>
              <w:rPr>
                <w:rFonts w:ascii="Arial" w:cs="Arial" w:eastAsia="Arial" w:hAnsi="Arial"/>
                <w:sz w:val="18"/>
                <w:szCs w:val="18"/>
                <w:color w:val="auto"/>
              </w:rPr>
              <w:t>Date: June 17, 2026</w:t>
            </w:r>
          </w:p>
        </w:tc>
        <w:tc>
          <w:tcPr>
            <w:tcW w:w="3680" w:type="dxa"/>
            <w:vAlign w:val="bottom"/>
            <w:gridSpan w:val="3"/>
          </w:tcPr>
          <w:p>
            <w:pPr>
              <w:ind w:left="1480"/>
              <w:spacing w:after="0"/>
              <w:rPr>
                <w:sz w:val="20"/>
                <w:szCs w:val="20"/>
                <w:color w:val="auto"/>
              </w:rPr>
            </w:pPr>
            <w:r>
              <w:rPr>
                <w:rFonts w:ascii="Arial" w:cs="Arial" w:eastAsia="Arial" w:hAnsi="Arial"/>
                <w:sz w:val="18"/>
                <w:szCs w:val="18"/>
                <w:color w:val="auto"/>
              </w:rPr>
              <w:t>By: /s/ Jacob Dalaya</w:t>
            </w:r>
          </w:p>
        </w:tc>
      </w:tr>
      <w:tr>
        <w:trPr>
          <w:trHeight w:val="20"/>
        </w:trPr>
        <w:tc>
          <w:tcPr>
            <w:tcW w:w="30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45"/>
        </w:trPr>
        <w:tc>
          <w:tcPr>
            <w:tcW w:w="3080" w:type="dxa"/>
            <w:vAlign w:val="bottom"/>
          </w:tcPr>
          <w:p>
            <w:pPr>
              <w:spacing w:after="0"/>
              <w:rPr>
                <w:sz w:val="21"/>
                <w:szCs w:val="21"/>
                <w:color w:val="auto"/>
              </w:rPr>
            </w:pPr>
          </w:p>
        </w:tc>
        <w:tc>
          <w:tcPr>
            <w:tcW w:w="3680" w:type="dxa"/>
            <w:vAlign w:val="bottom"/>
            <w:gridSpan w:val="3"/>
          </w:tcPr>
          <w:p>
            <w:pPr>
              <w:ind w:left="1480"/>
              <w:spacing w:after="0"/>
              <w:rPr>
                <w:sz w:val="20"/>
                <w:szCs w:val="20"/>
                <w:color w:val="auto"/>
              </w:rPr>
            </w:pPr>
            <w:r>
              <w:rPr>
                <w:rFonts w:ascii="Arial" w:cs="Arial" w:eastAsia="Arial" w:hAnsi="Arial"/>
                <w:sz w:val="18"/>
                <w:szCs w:val="18"/>
                <w:color w:val="auto"/>
              </w:rPr>
              <w:t>Name: Jacob Dalaya</w:t>
            </w:r>
          </w:p>
        </w:tc>
      </w:tr>
      <w:tr>
        <w:trPr>
          <w:trHeight w:val="239"/>
        </w:trPr>
        <w:tc>
          <w:tcPr>
            <w:tcW w:w="3080" w:type="dxa"/>
            <w:vAlign w:val="bottom"/>
          </w:tcPr>
          <w:p>
            <w:pPr>
              <w:spacing w:after="0"/>
              <w:rPr>
                <w:sz w:val="20"/>
                <w:szCs w:val="20"/>
                <w:color w:val="auto"/>
              </w:rPr>
            </w:pPr>
          </w:p>
        </w:tc>
        <w:tc>
          <w:tcPr>
            <w:tcW w:w="3680" w:type="dxa"/>
            <w:vAlign w:val="bottom"/>
            <w:gridSpan w:val="3"/>
          </w:tcPr>
          <w:p>
            <w:pPr>
              <w:ind w:left="1480"/>
              <w:spacing w:after="0"/>
              <w:rPr>
                <w:sz w:val="20"/>
                <w:szCs w:val="20"/>
                <w:color w:val="auto"/>
              </w:rPr>
            </w:pPr>
            <w:r>
              <w:rPr>
                <w:rFonts w:ascii="Arial" w:cs="Arial" w:eastAsia="Arial" w:hAnsi="Arial"/>
                <w:sz w:val="18"/>
                <w:szCs w:val="18"/>
                <w:color w:val="auto"/>
                <w:w w:val="98"/>
              </w:rPr>
              <w:t>Title: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sectPr>
      <w:pgSz w:w="11900" w:h="16838" w:orient="portrait"/>
      <w:cols w:equalWidth="0" w:num="1">
        <w:col w:w="11200"/>
      </w:cols>
      <w:pgMar w:left="320" w:top="89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2026-06-17T15:11:31Z</dcterms:created>
  <dcterms:modified xsi:type="dcterms:W3CDTF">2026-06-17T15:11:31Z</dcterms:modified>
</cp:coreProperties>
</file>