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8"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17" w:lineRule="exact"/>
        <w:rPr>
          <w:sz w:val="24"/>
          <w:szCs w:val="24"/>
          <w:color w:val="auto"/>
        </w:rPr>
      </w:pPr>
    </w:p>
    <w:p>
      <w:pPr>
        <w:spacing w:after="0"/>
        <w:tabs>
          <w:tab w:leader="none" w:pos="3600" w:val="left"/>
        </w:tabs>
        <w:rPr>
          <w:sz w:val="20"/>
          <w:szCs w:val="20"/>
          <w:color w:val="auto"/>
        </w:rPr>
      </w:pPr>
      <w:r>
        <w:rPr>
          <w:rFonts w:ascii="Arial" w:cs="Arial" w:eastAsia="Arial" w:hAnsi="Arial"/>
          <w:sz w:val="14"/>
          <w:szCs w:val="14"/>
          <w:color w:val="auto"/>
        </w:rPr>
        <w:t>For the Quarterly Period ended September 30, 2022</w:t>
      </w:r>
      <w:r>
        <w:rPr>
          <w:sz w:val="20"/>
          <w:szCs w:val="20"/>
          <w:color w:val="auto"/>
        </w:rPr>
        <w:tab/>
      </w:r>
      <w:r>
        <w:rPr>
          <w:rFonts w:ascii="Arial" w:cs="Arial" w:eastAsia="Arial" w:hAnsi="Arial"/>
          <w:sz w:val="14"/>
          <w:szCs w:val="14"/>
          <w:color w:val="auto"/>
        </w:rPr>
        <w:t>OR</w:t>
      </w:r>
    </w:p>
    <w:p>
      <w:pPr>
        <w:spacing w:after="0" w:line="223" w:lineRule="exact"/>
        <w:rPr>
          <w:sz w:val="24"/>
          <w:szCs w:val="24"/>
          <w:color w:val="auto"/>
        </w:rPr>
      </w:pPr>
    </w:p>
    <w:p>
      <w:pPr>
        <w:ind w:right="3820" w:firstLine="6"/>
        <w:spacing w:after="0" w:line="572" w:lineRule="auto"/>
        <w:tabs>
          <w:tab w:leader="none" w:pos="17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line="1"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130175</wp:posOffset>
            </wp:positionV>
            <wp:extent cx="2835275" cy="387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5275" cy="387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CAPITAL BANCORP INC.</w:t>
            </w:r>
          </w:p>
        </w:tc>
        <w:tc>
          <w:tcPr>
            <w:tcW w:w="4280" w:type="dxa"/>
            <w:vAlign w:val="bottom"/>
          </w:tcPr>
          <w:p>
            <w:pPr>
              <w:spacing w:after="0"/>
              <w:rPr>
                <w:sz w:val="17"/>
                <w:szCs w:val="17"/>
                <w:color w:val="auto"/>
              </w:rPr>
            </w:pPr>
          </w:p>
        </w:tc>
      </w:tr>
      <w:tr>
        <w:trPr>
          <w:trHeight w:val="144"/>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560" w:type="dxa"/>
            <w:vAlign w:val="bottom"/>
            <w:gridSpan w:val="7"/>
          </w:tcPr>
          <w:p>
            <w:pPr>
              <w:jc w:val="center"/>
              <w:ind w:right="4047"/>
              <w:spacing w:after="0"/>
              <w:rPr>
                <w:sz w:val="20"/>
                <w:szCs w:val="20"/>
                <w:color w:val="auto"/>
              </w:rPr>
            </w:pPr>
            <w:r>
              <w:rPr>
                <w:rFonts w:ascii="Arial" w:cs="Arial" w:eastAsia="Arial" w:hAnsi="Arial"/>
                <w:sz w:val="11"/>
                <w:szCs w:val="11"/>
                <w:color w:val="auto"/>
                <w:w w:val="96"/>
              </w:rPr>
              <w:t>(Exact name of registrant as specified in its charter)</w:t>
            </w:r>
          </w:p>
        </w:tc>
      </w:tr>
      <w:tr>
        <w:trPr>
          <w:trHeight w:val="244"/>
        </w:trPr>
        <w:tc>
          <w:tcPr>
            <w:tcW w:w="3200" w:type="dxa"/>
            <w:vAlign w:val="bottom"/>
          </w:tcPr>
          <w:p>
            <w:pPr>
              <w:jc w:val="center"/>
              <w:ind w:left="2151"/>
              <w:spacing w:after="0"/>
              <w:rPr>
                <w:sz w:val="20"/>
                <w:szCs w:val="20"/>
                <w:color w:val="auto"/>
              </w:rPr>
            </w:pPr>
            <w:r>
              <w:rPr>
                <w:rFonts w:ascii="Arial" w:cs="Arial" w:eastAsia="Arial" w:hAnsi="Arial"/>
                <w:sz w:val="16"/>
                <w:szCs w:val="16"/>
                <w:b w:val="1"/>
                <w:bCs w:val="1"/>
                <w:color w:val="auto"/>
                <w:w w:val="99"/>
              </w:rPr>
              <w:t>Maryland</w:t>
            </w:r>
          </w:p>
        </w:tc>
        <w:tc>
          <w:tcPr>
            <w:tcW w:w="880" w:type="dxa"/>
            <w:vAlign w:val="bottom"/>
          </w:tcPr>
          <w:p>
            <w:pPr>
              <w:spacing w:after="0"/>
              <w:rPr>
                <w:sz w:val="21"/>
                <w:szCs w:val="21"/>
                <w:color w:val="auto"/>
              </w:rPr>
            </w:pPr>
          </w:p>
        </w:tc>
        <w:tc>
          <w:tcPr>
            <w:tcW w:w="6560" w:type="dxa"/>
            <w:vAlign w:val="bottom"/>
            <w:gridSpan w:val="7"/>
          </w:tcPr>
          <w:p>
            <w:pPr>
              <w:jc w:val="right"/>
              <w:ind w:right="1987"/>
              <w:spacing w:after="0"/>
              <w:rPr>
                <w:sz w:val="20"/>
                <w:szCs w:val="20"/>
                <w:color w:val="auto"/>
              </w:rPr>
            </w:pPr>
            <w:r>
              <w:rPr>
                <w:rFonts w:ascii="Arial" w:cs="Arial" w:eastAsia="Arial" w:hAnsi="Arial"/>
                <w:sz w:val="16"/>
                <w:szCs w:val="16"/>
                <w:b w:val="1"/>
                <w:bCs w:val="1"/>
                <w:color w:val="auto"/>
              </w:rPr>
              <w:t>52-2083046</w:t>
            </w:r>
          </w:p>
        </w:tc>
      </w:tr>
      <w:tr>
        <w:trPr>
          <w:trHeight w:val="134"/>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(IRS Employer Identification No.)</w:t>
            </w:r>
          </w:p>
        </w:tc>
      </w:tr>
      <w:tr>
        <w:trPr>
          <w:trHeight w:val="228"/>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2275 Research Boulevard</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Suite 600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214"/>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Rockville</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Maryland</w:t>
            </w:r>
          </w:p>
        </w:tc>
        <w:tc>
          <w:tcPr>
            <w:tcW w:w="6560" w:type="dxa"/>
            <w:vAlign w:val="bottom"/>
            <w:gridSpan w:val="7"/>
          </w:tcPr>
          <w:p>
            <w:pPr>
              <w:jc w:val="right"/>
              <w:ind w:right="2187"/>
              <w:spacing w:after="0"/>
              <w:rPr>
                <w:sz w:val="20"/>
                <w:szCs w:val="20"/>
                <w:color w:val="auto"/>
              </w:rPr>
            </w:pPr>
            <w:r>
              <w:rPr>
                <w:rFonts w:ascii="Arial" w:cs="Arial" w:eastAsia="Arial" w:hAnsi="Arial"/>
                <w:sz w:val="16"/>
                <w:szCs w:val="16"/>
                <w:b w:val="1"/>
                <w:bCs w:val="1"/>
                <w:color w:val="auto"/>
              </w:rPr>
              <w:t>20850</w:t>
            </w:r>
          </w:p>
        </w:tc>
      </w:tr>
      <w:tr>
        <w:trPr>
          <w:trHeight w:val="134"/>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(Address of principal executive offices)</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(Zip Code)</w:t>
            </w:r>
          </w:p>
        </w:tc>
      </w:tr>
      <w:tr>
        <w:trPr>
          <w:trHeight w:val="551"/>
        </w:trPr>
        <w:tc>
          <w:tcPr>
            <w:tcW w:w="3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(301) 468-8848</w:t>
            </w: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31"/>
        </w:trPr>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560" w:type="dxa"/>
            <w:vAlign w:val="bottom"/>
            <w:gridSpan w:val="7"/>
          </w:tcPr>
          <w:p>
            <w:pPr>
              <w:jc w:val="center"/>
              <w:ind w:right="4047"/>
              <w:spacing w:after="0"/>
              <w:rPr>
                <w:sz w:val="20"/>
                <w:szCs w:val="20"/>
                <w:color w:val="auto"/>
              </w:rPr>
            </w:pPr>
            <w:r>
              <w:rPr>
                <w:rFonts w:ascii="Arial" w:cs="Arial" w:eastAsia="Arial" w:hAnsi="Arial"/>
                <w:sz w:val="11"/>
                <w:szCs w:val="11"/>
                <w:color w:val="auto"/>
                <w:w w:val="96"/>
              </w:rPr>
              <w:t>Registrant’s telephone number, including area code</w:t>
            </w:r>
          </w:p>
        </w:tc>
      </w:tr>
    </w:tbl>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50" w:lineRule="exact"/>
        <w:rPr>
          <w:sz w:val="24"/>
          <w:szCs w:val="24"/>
          <w:color w:val="auto"/>
        </w:rPr>
      </w:pPr>
    </w:p>
    <w:p>
      <w:pPr>
        <w:jc w:val="both"/>
        <w:ind w:firstLine="235"/>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firstLine="254"/>
        <w:spacing w:after="0" w:line="24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54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firstLine="234"/>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4" w:lineRule="exact"/>
        <w:rPr>
          <w:sz w:val="24"/>
          <w:szCs w:val="24"/>
          <w:color w:val="auto"/>
        </w:rPr>
      </w:pPr>
    </w:p>
    <w:p>
      <w:pPr>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981710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spacing w:after="0" w:line="184" w:lineRule="exact"/>
        <w:tabs>
          <w:tab w:leader="none" w:pos="8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1" w:lineRule="exact"/>
        <w:rPr>
          <w:sz w:val="20"/>
          <w:szCs w:val="20"/>
          <w:color w:val="auto"/>
        </w:rPr>
      </w:pPr>
    </w:p>
    <w:tbl>
      <w:tblPr>
        <w:tblLayout w:type="fixed"/>
        <w:tblInd w:w="370" w:type="dxa"/>
        <w:tblCellMar>
          <w:top w:w="0" w:type="dxa"/>
          <w:left w:w="0" w:type="dxa"/>
          <w:bottom w:w="0" w:type="dxa"/>
          <w:right w:w="0" w:type="dxa"/>
        </w:tblCellMar>
      </w:tblPr>
      <w:tr>
        <w:trPr>
          <w:trHeight w:val="185"/>
        </w:trPr>
        <w:tc>
          <w:tcPr>
            <w:tcW w:w="900" w:type="dxa"/>
            <w:vAlign w:val="bottom"/>
            <w:tcBorders>
              <w:top w:val="single" w:sz="8" w:color="auto"/>
              <w:left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0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left="221"/>
              <w:spacing w:after="0"/>
              <w:rPr>
                <w:sz w:val="20"/>
                <w:szCs w:val="20"/>
                <w:color w:val="auto"/>
              </w:rPr>
            </w:pPr>
            <w:r>
              <w:rPr>
                <w:rFonts w:ascii="Arial" w:cs="Arial" w:eastAsia="Arial" w:hAnsi="Arial"/>
                <w:sz w:val="16"/>
                <w:szCs w:val="16"/>
                <w:color w:val="auto"/>
                <w:w w:val="97"/>
              </w:rPr>
              <w:t>Trading Symbol(s)</w:t>
            </w:r>
          </w:p>
        </w:tc>
        <w:tc>
          <w:tcPr>
            <w:tcW w:w="5720" w:type="dxa"/>
            <w:vAlign w:val="bottom"/>
            <w:tcBorders>
              <w:top w:val="single" w:sz="8" w:color="auto"/>
              <w:right w:val="single" w:sz="8" w:color="auto"/>
            </w:tcBorders>
            <w:gridSpan w:val="3"/>
          </w:tcPr>
          <w:p>
            <w:pPr>
              <w:jc w:val="center"/>
              <w:ind w:left="381"/>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204"/>
        </w:trPr>
        <w:tc>
          <w:tcPr>
            <w:tcW w:w="3260" w:type="dxa"/>
            <w:vAlign w:val="bottom"/>
            <w:tcBorders>
              <w:left w:val="single" w:sz="8" w:color="auto"/>
            </w:tcBorders>
            <w:gridSpan w:val="3"/>
          </w:tcPr>
          <w:p>
            <w:pPr>
              <w:jc w:val="center"/>
              <w:ind w:right="180"/>
              <w:spacing w:after="0" w:line="205" w:lineRule="exact"/>
              <w:rPr>
                <w:sz w:val="20"/>
                <w:szCs w:val="20"/>
                <w:color w:val="auto"/>
              </w:rPr>
            </w:pPr>
            <w:r>
              <w:rPr>
                <w:rFonts w:ascii="Arial" w:cs="Arial" w:eastAsia="Arial" w:hAnsi="Arial"/>
                <w:sz w:val="18"/>
                <w:szCs w:val="18"/>
                <w:color w:val="auto"/>
                <w:w w:val="98"/>
              </w:rPr>
              <w:t>Common Stock, par value $0.01 per</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26"/>
        </w:trPr>
        <w:tc>
          <w:tcPr>
            <w:tcW w:w="900" w:type="dxa"/>
            <w:vAlign w:val="bottom"/>
            <w:tcBorders>
              <w:left w:val="single" w:sz="8" w:color="auto"/>
              <w:bottom w:val="single" w:sz="8" w:color="auto"/>
            </w:tcBorders>
          </w:tcPr>
          <w:p>
            <w:pPr>
              <w:spacing w:after="0"/>
              <w:rPr>
                <w:sz w:val="19"/>
                <w:szCs w:val="19"/>
                <w:color w:val="auto"/>
              </w:rPr>
            </w:pPr>
          </w:p>
        </w:tc>
        <w:tc>
          <w:tcPr>
            <w:tcW w:w="23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8"/>
                <w:szCs w:val="18"/>
                <w:color w:val="auto"/>
                <w:w w:val="97"/>
              </w:rPr>
              <w:t>share</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CBNK</w:t>
            </w:r>
          </w:p>
        </w:tc>
        <w:tc>
          <w:tcPr>
            <w:tcW w:w="152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gridSpan w:val="2"/>
          </w:tcPr>
          <w:p>
            <w:pPr>
              <w:jc w:val="center"/>
              <w:ind w:right="1060"/>
              <w:spacing w:after="0"/>
              <w:rPr>
                <w:sz w:val="20"/>
                <w:szCs w:val="20"/>
                <w:color w:val="auto"/>
              </w:rPr>
            </w:pPr>
            <w:r>
              <w:rPr>
                <w:rFonts w:ascii="Arial" w:cs="Arial" w:eastAsia="Arial" w:hAnsi="Arial"/>
                <w:sz w:val="18"/>
                <w:szCs w:val="18"/>
                <w:color w:val="auto"/>
                <w:w w:val="97"/>
              </w:rPr>
              <w:t>NASDAQ Stock Market</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7, 2022, the Company had 14,057,645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1005205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 w:name="page3"/>
    <w:bookmarkEnd w:id="2"/>
    <w:p>
      <w:pPr>
        <w:jc w:val="center"/>
        <w:ind w:left="6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0"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Form 10-Q</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12065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940" w:type="dxa"/>
            <w:vAlign w:val="bottom"/>
            <w:gridSpan w:val="2"/>
          </w:tcPr>
          <w:p>
            <w:pPr>
              <w:ind w:left="340"/>
              <w:spacing w:after="0"/>
              <w:rPr>
                <w:sz w:val="20"/>
                <w:szCs w:val="20"/>
                <w:color w:val="auto"/>
              </w:rPr>
            </w:pPr>
            <w:r>
              <w:rPr>
                <w:rFonts w:ascii="Arial" w:cs="Arial" w:eastAsia="Arial" w:hAnsi="Arial"/>
                <w:sz w:val="16"/>
                <w:szCs w:val="16"/>
                <w:b w:val="1"/>
                <w:bCs w:val="1"/>
                <w:color w:val="auto"/>
              </w:rPr>
              <w:t>PART I - CONSOLIDATED FINANCIAL INFORMATION</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4"/>
              </w:rPr>
              <w:t>Page</w:t>
            </w:r>
          </w:p>
        </w:tc>
      </w:tr>
      <w:tr>
        <w:trPr>
          <w:trHeight w:val="227"/>
        </w:trPr>
        <w:tc>
          <w:tcPr>
            <w:tcW w:w="1240" w:type="dxa"/>
            <w:vAlign w:val="bottom"/>
          </w:tcPr>
          <w:p>
            <w:pPr>
              <w:ind w:left="340"/>
              <w:spacing w:after="0"/>
              <w:rPr>
                <w:sz w:val="20"/>
                <w:szCs w:val="20"/>
                <w:color w:val="auto"/>
              </w:rPr>
            </w:pPr>
            <w:r>
              <w:rPr>
                <w:rFonts w:ascii="Arial" w:cs="Arial" w:eastAsia="Arial" w:hAnsi="Arial"/>
                <w:sz w:val="16"/>
                <w:szCs w:val="16"/>
                <w:color w:val="auto"/>
              </w:rPr>
              <w:t>Item 1.</w:t>
            </w:r>
          </w:p>
        </w:tc>
        <w:tc>
          <w:tcPr>
            <w:tcW w:w="970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Balance Sheets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Comprehensive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Changes in Stockholders’ Equity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Cash Flows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Notes to Consolidated Financial Statements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2.</w:t>
            </w:r>
          </w:p>
        </w:tc>
        <w:tc>
          <w:tcPr>
            <w:tcW w:w="970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3.</w:t>
            </w:r>
          </w:p>
        </w:tc>
        <w:tc>
          <w:tcPr>
            <w:tcW w:w="970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4.</w:t>
            </w:r>
          </w:p>
        </w:tc>
        <w:tc>
          <w:tcPr>
            <w:tcW w:w="970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940" w:type="dxa"/>
            <w:vAlign w:val="bottom"/>
            <w:gridSpan w:val="2"/>
          </w:tcPr>
          <w:p>
            <w:pPr>
              <w:ind w:left="340"/>
              <w:spacing w:after="0"/>
              <w:rPr>
                <w:sz w:val="20"/>
                <w:szCs w:val="20"/>
                <w:color w:val="auto"/>
              </w:rPr>
            </w:pPr>
            <w:r>
              <w:rPr>
                <w:rFonts w:ascii="Arial" w:cs="Arial" w:eastAsia="Arial" w:hAnsi="Arial"/>
                <w:sz w:val="16"/>
                <w:szCs w:val="16"/>
                <w:b w:val="1"/>
                <w:bCs w:val="1"/>
                <w:color w:val="auto"/>
              </w:rPr>
              <w:t>PART II - OTHER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1.</w:t>
            </w:r>
          </w:p>
        </w:tc>
        <w:tc>
          <w:tcPr>
            <w:tcW w:w="970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1A.</w:t>
            </w:r>
          </w:p>
        </w:tc>
        <w:tc>
          <w:tcPr>
            <w:tcW w:w="970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2.</w:t>
            </w:r>
          </w:p>
        </w:tc>
        <w:tc>
          <w:tcPr>
            <w:tcW w:w="970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3.</w:t>
            </w:r>
          </w:p>
        </w:tc>
        <w:tc>
          <w:tcPr>
            <w:tcW w:w="970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4.</w:t>
            </w:r>
          </w:p>
        </w:tc>
        <w:tc>
          <w:tcPr>
            <w:tcW w:w="970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5.</w:t>
            </w:r>
          </w:p>
        </w:tc>
        <w:tc>
          <w:tcPr>
            <w:tcW w:w="970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6.</w:t>
            </w:r>
          </w:p>
        </w:tc>
        <w:tc>
          <w:tcPr>
            <w:tcW w:w="9700" w:type="dxa"/>
            <w:vAlign w:val="bottom"/>
          </w:tcPr>
          <w:p>
            <w:pPr>
              <w:ind w:left="320"/>
              <w:spacing w:after="0"/>
              <w:rPr>
                <w:sz w:val="20"/>
                <w:szCs w:val="20"/>
                <w:color w:val="auto"/>
              </w:rPr>
            </w:pPr>
            <w:r>
              <w:rPr>
                <w:rFonts w:ascii="Arial" w:cs="Arial" w:eastAsia="Arial" w:hAnsi="Arial"/>
                <w:sz w:val="16"/>
                <w:szCs w:val="16"/>
                <w:color w:val="auto"/>
              </w:rPr>
              <w:t>Exhibits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218"/>
        </w:trPr>
        <w:tc>
          <w:tcPr>
            <w:tcW w:w="1240" w:type="dxa"/>
            <w:vAlign w:val="bottom"/>
            <w:tcBorders>
              <w:bottom w:val="single" w:sz="8" w:color="9A9A9A"/>
            </w:tcBorders>
          </w:tcPr>
          <w:p>
            <w:pPr>
              <w:spacing w:after="0"/>
              <w:rPr>
                <w:sz w:val="24"/>
                <w:szCs w:val="24"/>
                <w:color w:val="auto"/>
              </w:rPr>
            </w:pPr>
          </w:p>
        </w:tc>
        <w:tc>
          <w:tcPr>
            <w:tcW w:w="9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20"/>
          </w:cols>
          <w:pgMar w:left="320" w:top="137" w:right="259" w:bottom="1440" w:gutter="0" w:footer="0" w:header="0"/>
        </w:sectPr>
      </w:pPr>
    </w:p>
    <w:bookmarkStart w:id="3" w:name="page4"/>
    <w:bookmarkEnd w:id="3"/>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5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rPr>
              <w:t>September 30, 2022</w:t>
            </w:r>
          </w:p>
        </w:tc>
        <w:tc>
          <w:tcPr>
            <w:tcW w:w="12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2"/>
                <w:szCs w:val="12"/>
                <w:b w:val="1"/>
                <w:bCs w:val="1"/>
                <w:color w:val="auto"/>
              </w:rPr>
              <w:t>December 31, 2021</w:t>
            </w:r>
          </w:p>
        </w:tc>
        <w:tc>
          <w:tcPr>
            <w:tcW w:w="0" w:type="dxa"/>
            <w:vAlign w:val="bottom"/>
          </w:tcPr>
          <w:p>
            <w:pPr>
              <w:spacing w:after="0"/>
              <w:rPr>
                <w:sz w:val="1"/>
                <w:szCs w:val="1"/>
                <w:color w:val="auto"/>
              </w:rPr>
            </w:pPr>
          </w:p>
        </w:tc>
      </w:tr>
      <w:tr>
        <w:trPr>
          <w:trHeight w:val="164"/>
        </w:trPr>
        <w:tc>
          <w:tcPr>
            <w:tcW w:w="8560" w:type="dxa"/>
            <w:vAlign w:val="bottom"/>
          </w:tcPr>
          <w:p>
            <w:pPr>
              <w:ind w:left="20"/>
              <w:spacing w:after="0"/>
              <w:rPr>
                <w:sz w:val="20"/>
                <w:szCs w:val="20"/>
                <w:color w:val="auto"/>
              </w:rPr>
            </w:pPr>
            <w:r>
              <w:rPr>
                <w:rFonts w:ascii="Arial" w:cs="Arial" w:eastAsia="Arial" w:hAnsi="Arial"/>
                <w:sz w:val="11"/>
                <w:szCs w:val="11"/>
                <w:color w:val="auto"/>
              </w:rPr>
              <w:t>(in thousands except share data)</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4"/>
                <w:szCs w:val="14"/>
                <w:color w:val="auto"/>
              </w:rPr>
            </w:pPr>
          </w:p>
        </w:tc>
        <w:tc>
          <w:tcPr>
            <w:tcW w:w="1020" w:type="dxa"/>
            <w:vAlign w:val="bottom"/>
          </w:tcPr>
          <w:p>
            <w:pPr>
              <w:jc w:val="right"/>
              <w:ind w:right="290"/>
              <w:spacing w:after="0"/>
              <w:rPr>
                <w:sz w:val="20"/>
                <w:szCs w:val="20"/>
                <w:color w:val="auto"/>
              </w:rPr>
            </w:pPr>
            <w:r>
              <w:rPr>
                <w:rFonts w:ascii="Arial" w:cs="Arial" w:eastAsia="Arial" w:hAnsi="Arial"/>
                <w:sz w:val="12"/>
                <w:szCs w:val="12"/>
                <w:b w:val="1"/>
                <w:bCs w:val="1"/>
                <w:color w:val="auto"/>
              </w:rPr>
              <w:t>(audited)</w:t>
            </w:r>
          </w:p>
        </w:tc>
        <w:tc>
          <w:tcPr>
            <w:tcW w:w="0" w:type="dxa"/>
            <w:vAlign w:val="bottom"/>
          </w:tcPr>
          <w:p>
            <w:pPr>
              <w:spacing w:after="0"/>
              <w:rPr>
                <w:sz w:val="1"/>
                <w:szCs w:val="1"/>
                <w:color w:val="auto"/>
              </w:rPr>
            </w:pPr>
          </w:p>
        </w:tc>
      </w:tr>
      <w:tr>
        <w:trPr>
          <w:trHeight w:val="21"/>
        </w:trPr>
        <w:tc>
          <w:tcPr>
            <w:tcW w:w="8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42,914</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Interest bearing deposits at other financial institutions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20,867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136,824</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funds sold</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192"/>
        </w:trPr>
        <w:tc>
          <w:tcPr>
            <w:tcW w:w="8560" w:type="dxa"/>
            <w:vAlign w:val="bottom"/>
          </w:tcPr>
          <w:p>
            <w:pPr>
              <w:ind w:left="500"/>
              <w:spacing w:after="0"/>
              <w:rPr>
                <w:sz w:val="20"/>
                <w:szCs w:val="20"/>
                <w:color w:val="auto"/>
              </w:rPr>
            </w:pPr>
            <w:r>
              <w:rPr>
                <w:rFonts w:ascii="Arial" w:cs="Arial" w:eastAsia="Arial" w:hAnsi="Arial"/>
                <w:sz w:val="14"/>
                <w:szCs w:val="14"/>
                <w:color w:val="auto"/>
              </w:rPr>
              <w:t>Total cash and cash equivalents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37,062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183,395</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269,620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184,455</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Marketable equity securities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investments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6,875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15,989</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Business Administration Payroll Protection Program loans receivable, net of fees and costs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108,285</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Portfolio loans receivable, net of deferred fees and costs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1,648,001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1,523,982</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allowance for loan losses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(26,091)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(25,181)</w:t>
            </w:r>
          </w:p>
        </w:tc>
        <w:tc>
          <w:tcPr>
            <w:tcW w:w="0" w:type="dxa"/>
            <w:vAlign w:val="bottom"/>
          </w:tcPr>
          <w:p>
            <w:pPr>
              <w:spacing w:after="0"/>
              <w:rPr>
                <w:sz w:val="1"/>
                <w:szCs w:val="1"/>
                <w:color w:val="auto"/>
              </w:rPr>
            </w:pPr>
          </w:p>
        </w:tc>
      </w:tr>
      <w:tr>
        <w:trPr>
          <w:trHeight w:val="192"/>
        </w:trPr>
        <w:tc>
          <w:tcPr>
            <w:tcW w:w="8560" w:type="dxa"/>
            <w:vAlign w:val="bottom"/>
          </w:tcPr>
          <w:p>
            <w:pPr>
              <w:ind w:left="500"/>
              <w:spacing w:after="0"/>
              <w:rPr>
                <w:sz w:val="20"/>
                <w:szCs w:val="20"/>
                <w:color w:val="auto"/>
              </w:rPr>
            </w:pPr>
            <w:r>
              <w:rPr>
                <w:rFonts w:ascii="Arial" w:cs="Arial" w:eastAsia="Arial" w:hAnsi="Arial"/>
                <w:sz w:val="14"/>
                <w:szCs w:val="14"/>
                <w:color w:val="auto"/>
              </w:rPr>
              <w:t>Total portfolio loans held for investment, net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1,621,910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1,498,801</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7,890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7,901</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14,047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9,793</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owned life insurance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36,267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35,506</w:t>
            </w:r>
          </w:p>
        </w:tc>
        <w:tc>
          <w:tcPr>
            <w:tcW w:w="0" w:type="dxa"/>
            <w:vAlign w:val="bottom"/>
          </w:tcPr>
          <w:p>
            <w:pPr>
              <w:spacing w:after="0"/>
              <w:rPr>
                <w:sz w:val="1"/>
                <w:szCs w:val="1"/>
                <w:color w:val="auto"/>
              </w:rPr>
            </w:pPr>
          </w:p>
        </w:tc>
      </w:tr>
      <w:tr>
        <w:trPr>
          <w:trHeight w:val="19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5,954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222"/>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2,009,358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2,055,300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Deposits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w:t>
            </w: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806,033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787,650</w:t>
            </w:r>
          </w:p>
        </w:tc>
        <w:tc>
          <w:tcPr>
            <w:tcW w:w="0" w:type="dxa"/>
            <w:vAlign w:val="bottom"/>
          </w:tcPr>
          <w:p>
            <w:pPr>
              <w:spacing w:after="0"/>
              <w:rPr>
                <w:sz w:val="1"/>
                <w:szCs w:val="1"/>
                <w:color w:val="auto"/>
              </w:rPr>
            </w:pPr>
          </w:p>
        </w:tc>
      </w:tr>
      <w:tr>
        <w:trPr>
          <w:trHeight w:val="193"/>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Interest-bearing</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931,558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1,009,487</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deposits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1,737,591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1,797,137</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Federal Home Loan Bank advances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borrowed funds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payable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23,219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25,725</w:t>
            </w: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1,795,353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1,857,397</w:t>
            </w:r>
          </w:p>
        </w:tc>
        <w:tc>
          <w:tcPr>
            <w:tcW w:w="0" w:type="dxa"/>
            <w:vAlign w:val="bottom"/>
          </w:tcPr>
          <w:p>
            <w:pPr>
              <w:spacing w:after="0"/>
              <w:rPr>
                <w:sz w:val="1"/>
                <w:szCs w:val="1"/>
                <w:color w:val="auto"/>
              </w:rPr>
            </w:pPr>
          </w:p>
        </w:tc>
      </w:tr>
      <w:tr>
        <w:trPr>
          <w:trHeight w:val="197"/>
        </w:trPr>
        <w:tc>
          <w:tcPr>
            <w:tcW w:w="8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$.01 par value; 49,000,000 shares authorized; 14,038,599 and 13,962,334 issued and outstanding</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3"/>
        </w:trPr>
        <w:tc>
          <w:tcPr>
            <w:tcW w:w="856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56,532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54,306</w:t>
            </w:r>
          </w:p>
        </w:tc>
        <w:tc>
          <w:tcPr>
            <w:tcW w:w="0" w:type="dxa"/>
            <w:vAlign w:val="bottom"/>
          </w:tcPr>
          <w:p>
            <w:pPr>
              <w:spacing w:after="0"/>
              <w:rPr>
                <w:sz w:val="1"/>
                <w:szCs w:val="1"/>
                <w:color w:val="auto"/>
              </w:rPr>
            </w:pPr>
          </w:p>
        </w:tc>
      </w:tr>
      <w:tr>
        <w:trPr>
          <w:trHeight w:val="204"/>
        </w:trPr>
        <w:tc>
          <w:tcPr>
            <w:tcW w:w="8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174,916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144,533</w:t>
            </w:r>
          </w:p>
        </w:tc>
        <w:tc>
          <w:tcPr>
            <w:tcW w:w="0" w:type="dxa"/>
            <w:vAlign w:val="bottom"/>
          </w:tcPr>
          <w:p>
            <w:pPr>
              <w:spacing w:after="0"/>
              <w:rPr>
                <w:sz w:val="1"/>
                <w:szCs w:val="1"/>
                <w:color w:val="auto"/>
              </w:rPr>
            </w:pPr>
          </w:p>
        </w:tc>
      </w:tr>
      <w:tr>
        <w:trPr>
          <w:trHeight w:val="193"/>
        </w:trPr>
        <w:tc>
          <w:tcPr>
            <w:tcW w:w="85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(17,583)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92"/>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214,005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197,903</w:t>
            </w:r>
          </w:p>
        </w:tc>
        <w:tc>
          <w:tcPr>
            <w:tcW w:w="0" w:type="dxa"/>
            <w:vAlign w:val="bottom"/>
          </w:tcPr>
          <w:p>
            <w:pPr>
              <w:spacing w:after="0"/>
              <w:rPr>
                <w:sz w:val="1"/>
                <w:szCs w:val="1"/>
                <w:color w:val="auto"/>
              </w:rPr>
            </w:pPr>
          </w:p>
        </w:tc>
      </w:tr>
      <w:tr>
        <w:trPr>
          <w:trHeight w:val="197"/>
        </w:trPr>
        <w:tc>
          <w:tcPr>
            <w:tcW w:w="85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2,009,358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2,055,300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8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-180340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280"/>
        <w:spacing w:after="0" w:line="213" w:lineRule="auto"/>
        <w:rPr>
          <w:sz w:val="20"/>
          <w:szCs w:val="20"/>
          <w:color w:val="auto"/>
        </w:rPr>
      </w:pPr>
      <w:r>
        <w:rPr>
          <w:rFonts w:ascii="Arial" w:cs="Arial" w:eastAsia="Arial" w:hAnsi="Arial"/>
          <w:sz w:val="14"/>
          <w:szCs w:val="14"/>
          <w:b w:val="1"/>
          <w:bCs w:val="1"/>
          <w:color w:val="auto"/>
        </w:rPr>
        <w:t>Consolidated Statements of Income</w:t>
      </w:r>
    </w:p>
    <w:p>
      <w:pPr>
        <w:ind w:left="28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12700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Three Months Ended September 30,</w:t>
            </w:r>
          </w:p>
        </w:tc>
        <w:tc>
          <w:tcPr>
            <w:tcW w:w="180" w:type="dxa"/>
            <w:vAlign w:val="bottom"/>
          </w:tcPr>
          <w:p>
            <w:pPr>
              <w:spacing w:after="0"/>
              <w:rPr>
                <w:sz w:val="14"/>
                <w:szCs w:val="14"/>
                <w:color w:val="auto"/>
              </w:rPr>
            </w:pPr>
          </w:p>
        </w:tc>
        <w:tc>
          <w:tcPr>
            <w:tcW w:w="2400" w:type="dxa"/>
            <w:vAlign w:val="bottom"/>
            <w:gridSpan w:val="4"/>
          </w:tcPr>
          <w:p>
            <w:pPr>
              <w:jc w:val="right"/>
              <w:ind w:right="209"/>
              <w:spacing w:after="0"/>
              <w:rPr>
                <w:sz w:val="20"/>
                <w:szCs w:val="20"/>
                <w:color w:val="auto"/>
              </w:rPr>
            </w:pPr>
            <w:r>
              <w:rPr>
                <w:rFonts w:ascii="Arial" w:cs="Arial" w:eastAsia="Arial" w:hAnsi="Arial"/>
                <w:sz w:val="12"/>
                <w:szCs w:val="12"/>
                <w:b w:val="1"/>
                <w:bCs w:val="1"/>
                <w:color w:val="auto"/>
              </w:rPr>
              <w:t>Nine Months Ended September 30,</w:t>
            </w:r>
          </w:p>
        </w:tc>
      </w:tr>
      <w:tr>
        <w:trPr>
          <w:trHeight w:val="19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r>
      <w:tr>
        <w:trPr>
          <w:trHeight w:val="184"/>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3"/>
        </w:trPr>
        <w:tc>
          <w:tcPr>
            <w:tcW w:w="5860" w:type="dxa"/>
            <w:vAlign w:val="bottom"/>
          </w:tcPr>
          <w:p>
            <w:pPr>
              <w:ind w:left="120"/>
              <w:spacing w:after="0"/>
              <w:rPr>
                <w:sz w:val="20"/>
                <w:szCs w:val="20"/>
                <w:color w:val="auto"/>
              </w:rPr>
            </w:pPr>
            <w:r>
              <w:rPr>
                <w:rFonts w:ascii="Arial" w:cs="Arial" w:eastAsia="Arial" w:hAnsi="Arial"/>
                <w:sz w:val="14"/>
                <w:szCs w:val="14"/>
                <w:color w:val="auto"/>
              </w:rPr>
              <w:t>Loans, including fees</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36,451</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32,840</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10"/>
              <w:spacing w:after="0"/>
              <w:rPr>
                <w:sz w:val="20"/>
                <w:szCs w:val="20"/>
                <w:color w:val="auto"/>
              </w:rPr>
            </w:pPr>
            <w:r>
              <w:rPr>
                <w:rFonts w:ascii="Arial" w:cs="Arial" w:eastAsia="Arial" w:hAnsi="Arial"/>
                <w:sz w:val="14"/>
                <w:szCs w:val="14"/>
                <w:b w:val="1"/>
                <w:bCs w:val="1"/>
                <w:color w:val="auto"/>
              </w:rPr>
              <w:t>105,645</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87,549</w:t>
            </w:r>
          </w:p>
        </w:tc>
      </w:tr>
      <w:tr>
        <w:trPr>
          <w:trHeight w:val="204"/>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securities available for sale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2,510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r>
      <w:tr>
        <w:trPr>
          <w:trHeight w:val="193"/>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Federal funds sold and other</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1,143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r>
      <w:tr>
        <w:trPr>
          <w:trHeight w:val="192"/>
        </w:trPr>
        <w:tc>
          <w:tcPr>
            <w:tcW w:w="5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interest income</w:t>
            </w: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38,340</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33,528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109,298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89,455</w:t>
            </w:r>
          </w:p>
        </w:tc>
      </w:tr>
      <w:tr>
        <w:trPr>
          <w:trHeight w:val="197"/>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3"/>
        </w:trPr>
        <w:tc>
          <w:tcPr>
            <w:tcW w:w="5860" w:type="dxa"/>
            <w:vAlign w:val="bottom"/>
          </w:tcPr>
          <w:p>
            <w:pPr>
              <w:ind w:left="120"/>
              <w:spacing w:after="0"/>
              <w:rPr>
                <w:sz w:val="20"/>
                <w:szCs w:val="20"/>
                <w:color w:val="auto"/>
              </w:rPr>
            </w:pPr>
            <w:r>
              <w:rPr>
                <w:rFonts w:ascii="Arial" w:cs="Arial" w:eastAsia="Arial" w:hAnsi="Arial"/>
                <w:sz w:val="14"/>
                <w:szCs w:val="14"/>
                <w:color w:val="auto"/>
              </w:rPr>
              <w:t>Deposits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b w:val="1"/>
                <w:bCs w:val="1"/>
                <w:color w:val="auto"/>
              </w:rPr>
              <w:t>3,234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4,874</w:t>
            </w:r>
          </w:p>
        </w:tc>
      </w:tr>
      <w:tr>
        <w:trPr>
          <w:trHeight w:val="199"/>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656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r>
      <w:tr>
        <w:trPr>
          <w:trHeight w:val="192"/>
        </w:trPr>
        <w:tc>
          <w:tcPr>
            <w:tcW w:w="58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interest expense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1,469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3,890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5,433</w:t>
            </w:r>
          </w:p>
        </w:tc>
      </w:tr>
      <w:tr>
        <w:trPr>
          <w:trHeight w:val="197"/>
        </w:trPr>
        <w:tc>
          <w:tcPr>
            <w:tcW w:w="5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36,677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32,059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b w:val="1"/>
                <w:bCs w:val="1"/>
                <w:color w:val="auto"/>
              </w:rPr>
              <w:t>105,408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84,022</w:t>
            </w:r>
          </w:p>
        </w:tc>
      </w:tr>
      <w:tr>
        <w:trPr>
          <w:trHeight w:val="204"/>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975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4,247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w:t>
            </w:r>
          </w:p>
        </w:tc>
      </w:tr>
      <w:tr>
        <w:trPr>
          <w:trHeight w:val="187"/>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35,417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31,084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101,161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81,763</w:t>
            </w:r>
          </w:p>
        </w:tc>
      </w:tr>
      <w:tr>
        <w:trPr>
          <w:trHeight w:val="197"/>
        </w:trPr>
        <w:tc>
          <w:tcPr>
            <w:tcW w:w="5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charges on deposits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r>
      <w:tr>
        <w:trPr>
          <w:trHeight w:val="193"/>
        </w:trPr>
        <w:tc>
          <w:tcPr>
            <w:tcW w:w="5860" w:type="dxa"/>
            <w:vAlign w:val="bottom"/>
          </w:tcPr>
          <w:p>
            <w:pPr>
              <w:ind w:left="120"/>
              <w:spacing w:after="0"/>
              <w:rPr>
                <w:sz w:val="20"/>
                <w:szCs w:val="20"/>
                <w:color w:val="auto"/>
              </w:rPr>
            </w:pPr>
            <w:r>
              <w:rPr>
                <w:rFonts w:ascii="Arial" w:cs="Arial" w:eastAsia="Arial" w:hAnsi="Arial"/>
                <w:sz w:val="14"/>
                <w:szCs w:val="14"/>
                <w:color w:val="auto"/>
              </w:rPr>
              <w:t>Credit card fees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5,524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7,554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b w:val="1"/>
                <w:bCs w:val="1"/>
                <w:color w:val="auto"/>
              </w:rPr>
              <w:t>17,658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21,208</w:t>
            </w:r>
          </w:p>
        </w:tc>
      </w:tr>
      <w:tr>
        <w:trPr>
          <w:trHeight w:val="204"/>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Mortgage banking revenue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4,312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17,478</w:t>
            </w:r>
          </w:p>
        </w:tc>
      </w:tr>
      <w:tr>
        <w:trPr>
          <w:trHeight w:val="193"/>
        </w:trPr>
        <w:tc>
          <w:tcPr>
            <w:tcW w:w="5860" w:type="dxa"/>
            <w:vAlign w:val="bottom"/>
          </w:tcPr>
          <w:p>
            <w:pPr>
              <w:ind w:left="120"/>
              <w:spacing w:after="0"/>
              <w:rPr>
                <w:sz w:val="20"/>
                <w:szCs w:val="20"/>
                <w:color w:val="auto"/>
              </w:rPr>
            </w:pPr>
            <w:r>
              <w:rPr>
                <w:rFonts w:ascii="Arial" w:cs="Arial" w:eastAsia="Arial" w:hAnsi="Arial"/>
                <w:sz w:val="14"/>
                <w:szCs w:val="14"/>
                <w:color w:val="auto"/>
              </w:rPr>
              <w:t>Gain on sale of investment securities available for sale, net</w:t>
            </w:r>
          </w:p>
        </w:tc>
        <w:tc>
          <w:tcPr>
            <w:tcW w:w="1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199"/>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fees and charges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1,296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w:t>
            </w:r>
          </w:p>
        </w:tc>
      </w:tr>
      <w:tr>
        <w:trPr>
          <w:trHeight w:val="192"/>
        </w:trPr>
        <w:tc>
          <w:tcPr>
            <w:tcW w:w="58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noninterest income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7,108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12,597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23,811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39,992</w:t>
            </w:r>
          </w:p>
        </w:tc>
      </w:tr>
      <w:tr>
        <w:trPr>
          <w:trHeight w:val="197"/>
        </w:trPr>
        <w:tc>
          <w:tcPr>
            <w:tcW w:w="5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4"/>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Salaries and employee benefits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31,129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27,279</w:t>
            </w:r>
          </w:p>
        </w:tc>
      </w:tr>
      <w:tr>
        <w:trPr>
          <w:trHeight w:val="193"/>
        </w:trPr>
        <w:tc>
          <w:tcPr>
            <w:tcW w:w="5860" w:type="dxa"/>
            <w:vAlign w:val="bottom"/>
          </w:tcPr>
          <w:p>
            <w:pPr>
              <w:ind w:left="120"/>
              <w:spacing w:after="0"/>
              <w:rPr>
                <w:sz w:val="20"/>
                <w:szCs w:val="20"/>
                <w:color w:val="auto"/>
              </w:rPr>
            </w:pPr>
            <w:r>
              <w:rPr>
                <w:rFonts w:ascii="Arial" w:cs="Arial" w:eastAsia="Arial" w:hAnsi="Arial"/>
                <w:sz w:val="14"/>
                <w:szCs w:val="14"/>
                <w:color w:val="auto"/>
              </w:rPr>
              <w:t>Occupancy and equipment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1,138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b w:val="1"/>
                <w:bCs w:val="1"/>
                <w:color w:val="auto"/>
              </w:rPr>
              <w:t>3,476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3,322</w:t>
            </w:r>
          </w:p>
        </w:tc>
      </w:tr>
      <w:tr>
        <w:trPr>
          <w:trHeight w:val="204"/>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Professional fees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8,586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5,542</w:t>
            </w:r>
          </w:p>
        </w:tc>
      </w:tr>
      <w:tr>
        <w:trPr>
          <w:trHeight w:val="193"/>
        </w:trPr>
        <w:tc>
          <w:tcPr>
            <w:tcW w:w="5860" w:type="dxa"/>
            <w:vAlign w:val="bottom"/>
          </w:tcPr>
          <w:p>
            <w:pPr>
              <w:ind w:left="120"/>
              <w:spacing w:after="0"/>
              <w:rPr>
                <w:sz w:val="20"/>
                <w:szCs w:val="20"/>
                <w:color w:val="auto"/>
              </w:rPr>
            </w:pPr>
            <w:r>
              <w:rPr>
                <w:rFonts w:ascii="Arial" w:cs="Arial" w:eastAsia="Arial" w:hAnsi="Arial"/>
                <w:sz w:val="14"/>
                <w:szCs w:val="14"/>
                <w:color w:val="auto"/>
              </w:rPr>
              <w:t>Data processing</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10,161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b w:val="1"/>
                <w:bCs w:val="1"/>
                <w:color w:val="auto"/>
              </w:rPr>
              <w:t>22,721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29,594</w:t>
            </w:r>
          </w:p>
        </w:tc>
      </w:tr>
      <w:tr>
        <w:trPr>
          <w:trHeight w:val="204"/>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Advertising</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5,494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w:t>
            </w:r>
          </w:p>
        </w:tc>
      </w:tr>
      <w:tr>
        <w:trPr>
          <w:trHeight w:val="193"/>
        </w:trPr>
        <w:tc>
          <w:tcPr>
            <w:tcW w:w="5860" w:type="dxa"/>
            <w:vAlign w:val="bottom"/>
          </w:tcPr>
          <w:p>
            <w:pPr>
              <w:ind w:left="120"/>
              <w:spacing w:after="0"/>
              <w:rPr>
                <w:sz w:val="20"/>
                <w:szCs w:val="20"/>
                <w:color w:val="auto"/>
              </w:rPr>
            </w:pPr>
            <w:r>
              <w:rPr>
                <w:rFonts w:ascii="Arial" w:cs="Arial" w:eastAsia="Arial" w:hAnsi="Arial"/>
                <w:sz w:val="14"/>
                <w:szCs w:val="14"/>
                <w:color w:val="auto"/>
              </w:rPr>
              <w:t>Loan processing</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b w:val="1"/>
                <w:bCs w:val="1"/>
                <w:color w:val="auto"/>
              </w:rPr>
              <w:t>1,352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2,670</w:t>
            </w:r>
          </w:p>
        </w:tc>
      </w:tr>
      <w:tr>
        <w:trPr>
          <w:trHeight w:val="199"/>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3,280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9,621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10,012</w:t>
            </w:r>
          </w:p>
        </w:tc>
      </w:tr>
      <w:tr>
        <w:trPr>
          <w:trHeight w:val="192"/>
        </w:trPr>
        <w:tc>
          <w:tcPr>
            <w:tcW w:w="58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noninterest expenses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28,094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28,627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82,379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81,572</w:t>
            </w:r>
          </w:p>
        </w:tc>
      </w:tr>
      <w:tr>
        <w:trPr>
          <w:trHeight w:val="197"/>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42,593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40,183</w:t>
            </w:r>
          </w:p>
        </w:tc>
      </w:tr>
      <w:tr>
        <w:trPr>
          <w:trHeight w:val="19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3,877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9,779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10,376</w:t>
            </w:r>
          </w:p>
        </w:tc>
      </w:tr>
      <w:tr>
        <w:trPr>
          <w:trHeight w:val="222"/>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11,095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11,177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32,814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29,807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0.79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0.81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58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0.77</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2.29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5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3"/>
        </w:trPr>
        <w:tc>
          <w:tcPr>
            <w:tcW w:w="586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9"/>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14,030,408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13,793,087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14,008,885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13,772,261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5860" w:type="dxa"/>
            <w:vAlign w:val="bottom"/>
          </w:tcPr>
          <w:p>
            <w:pPr>
              <w:ind w:left="12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14,374,980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14,228,497</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14,328,602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14,110,789</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252095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80" w:top="614" w:right="379" w:bottom="1440" w:gutter="0" w:footer="0" w:header="0"/>
        </w:sectPr>
      </w:pPr>
    </w:p>
    <w:bookmarkStart w:id="5" w:name="page6"/>
    <w:bookmarkEnd w:id="5"/>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9951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20"/>
        <w:spacing w:after="0" w:line="213" w:lineRule="auto"/>
        <w:rPr>
          <w:sz w:val="20"/>
          <w:szCs w:val="20"/>
          <w:color w:val="auto"/>
        </w:rPr>
      </w:pPr>
      <w:r>
        <w:rPr>
          <w:rFonts w:ascii="Arial" w:cs="Arial" w:eastAsia="Arial" w:hAnsi="Arial"/>
          <w:sz w:val="14"/>
          <w:szCs w:val="14"/>
          <w:b w:val="1"/>
          <w:bCs w:val="1"/>
          <w:color w:val="auto"/>
        </w:rPr>
        <w:t>Consolidated Statements of Comprehensive Income</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4"/>
                <w:szCs w:val="14"/>
                <w:color w:val="auto"/>
              </w:rPr>
            </w:pPr>
          </w:p>
        </w:tc>
        <w:tc>
          <w:tcPr>
            <w:tcW w:w="2540" w:type="dxa"/>
            <w:vAlign w:val="bottom"/>
            <w:gridSpan w:val="4"/>
          </w:tcPr>
          <w:p>
            <w:pPr>
              <w:jc w:val="right"/>
              <w:ind w:right="229"/>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9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11,095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32,814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6"/>
                <w:szCs w:val="16"/>
                <w:color w:val="auto"/>
              </w:rPr>
              <w:t>Unrealized (loss) gain on investment securities available for sale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(5,684)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(22,026)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7"/>
        </w:trPr>
        <w:tc>
          <w:tcPr>
            <w:tcW w:w="50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Reclassification of realized gain on sale of investment securities</w:t>
            </w:r>
          </w:p>
        </w:tc>
        <w:tc>
          <w:tcPr>
            <w:tcW w:w="2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available for sale</w:t>
            </w:r>
          </w:p>
        </w:tc>
        <w:tc>
          <w:tcPr>
            <w:tcW w:w="28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(5,684)</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(22,026)</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relating to the items above</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5,519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(4,247)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(16,507)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6,848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16,307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sectPr>
      </w:pPr>
    </w:p>
    <w:bookmarkStart w:id="6" w:name="page7"/>
    <w:bookmarkEnd w:id="6"/>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20"/>
        <w:spacing w:after="0" w:line="213"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2320" w:type="dxa"/>
            <w:vAlign w:val="bottom"/>
            <w:gridSpan w:val="5"/>
          </w:tcPr>
          <w:p>
            <w:pPr>
              <w:ind w:left="660"/>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388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4"/>
                <w:szCs w:val="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Accumulated Other</w:t>
            </w: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tcPr>
          <w:p>
            <w:pPr>
              <w:ind w:left="3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5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Comprehensive Loss</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13,753,529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50,602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1,717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8"/>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tcPr>
          <w:p>
            <w:pPr>
              <w:jc w:val="right"/>
              <w:spacing w:after="0"/>
              <w:rPr>
                <w:sz w:val="20"/>
                <w:szCs w:val="20"/>
                <w:color w:val="auto"/>
              </w:rPr>
            </w:pPr>
            <w:r>
              <w:rPr>
                <w:rFonts w:ascii="Arial" w:cs="Arial" w:eastAsia="Arial" w:hAnsi="Arial"/>
                <w:sz w:val="14"/>
                <w:szCs w:val="14"/>
                <w:color w:val="auto"/>
              </w:rPr>
              <w:t>1,795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13,759,218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51,042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tcPr>
          <w:p>
            <w:pPr>
              <w:jc w:val="right"/>
              <w:spacing w:after="0"/>
              <w:rPr>
                <w:sz w:val="20"/>
                <w:szCs w:val="20"/>
                <w:color w:val="auto"/>
              </w:rPr>
            </w:pPr>
            <w:r>
              <w:rPr>
                <w:rFonts w:ascii="Arial" w:cs="Arial" w:eastAsia="Arial" w:hAnsi="Arial"/>
                <w:sz w:val="14"/>
                <w:szCs w:val="14"/>
                <w:color w:val="auto"/>
              </w:rPr>
              <w:t>10,301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13,771,615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51,487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125,431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8"/>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tcPr>
          <w:p>
            <w:pPr>
              <w:jc w:val="right"/>
              <w:spacing w:after="0"/>
              <w:rPr>
                <w:sz w:val="20"/>
                <w:szCs w:val="20"/>
                <w:color w:val="auto"/>
              </w:rPr>
            </w:pPr>
            <w:r>
              <w:rPr>
                <w:rFonts w:ascii="Arial" w:cs="Arial" w:eastAsia="Arial" w:hAnsi="Arial"/>
                <w:sz w:val="14"/>
                <w:szCs w:val="14"/>
                <w:color w:val="auto"/>
              </w:rPr>
              <w:t>30,321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to stockholders ($0.05 per share)</w:t>
            </w:r>
          </w:p>
        </w:tc>
        <w:tc>
          <w:tcPr>
            <w:tcW w:w="1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1"/>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1160" w:type="dxa"/>
            <w:vAlign w:val="bottom"/>
          </w:tcPr>
          <w:p>
            <w:pPr>
              <w:jc w:val="right"/>
              <w:spacing w:after="0"/>
              <w:rPr>
                <w:sz w:val="20"/>
                <w:szCs w:val="20"/>
                <w:color w:val="auto"/>
              </w:rPr>
            </w:pPr>
            <w:r>
              <w:rPr>
                <w:rFonts w:ascii="Arial" w:cs="Arial" w:eastAsia="Arial" w:hAnsi="Arial"/>
                <w:sz w:val="14"/>
                <w:szCs w:val="14"/>
                <w:color w:val="auto"/>
              </w:rPr>
              <w:t>13,801,936</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52,123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135,906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20"/>
        <w:spacing w:after="0" w:line="213"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spacing w:after="0"/>
              <w:rPr>
                <w:sz w:val="14"/>
                <w:szCs w:val="14"/>
                <w:color w:val="auto"/>
              </w:rPr>
            </w:pPr>
          </w:p>
        </w:tc>
        <w:tc>
          <w:tcPr>
            <w:tcW w:w="2320" w:type="dxa"/>
            <w:vAlign w:val="bottom"/>
            <w:gridSpan w:val="5"/>
          </w:tcPr>
          <w:p>
            <w:pPr>
              <w:ind w:left="660"/>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388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4"/>
                <w:szCs w:val="4"/>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Accumulated Other</w:t>
            </w: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9"/>
        </w:trPr>
        <w:tc>
          <w:tcPr>
            <w:tcW w:w="388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tcPr>
          <w:p>
            <w:pPr>
              <w:ind w:left="3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Comprehensive Loss</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13,962,334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54,306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144,533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197,9</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10,211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(6,747)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68"/>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27,028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339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417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to stockholders ($0.05 per share)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87"/>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14,000,520</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55,226</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153,949</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(7,823)</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164"/>
        </w:trPr>
        <w:tc>
          <w:tcPr>
            <w:tcW w:w="3880" w:type="dxa"/>
            <w:vAlign w:val="bottom"/>
          </w:tcPr>
          <w:p>
            <w:pPr>
              <w:ind w:left="20"/>
              <w:spacing w:after="0"/>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68"/>
        </w:trPr>
        <w:tc>
          <w:tcPr>
            <w:tcW w:w="3880" w:type="dxa"/>
            <w:vAlign w:val="bottom"/>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Cash dividends to stockholders ($0.05 per share)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97"/>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14,010,158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55,762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164,750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(13,336)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207,3</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11,095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(4,247)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68"/>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28,441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b w:val="1"/>
                <w:bCs w:val="1"/>
                <w:color w:val="auto"/>
              </w:rPr>
              <w:t>355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4"/>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Cash dividends to stockholders ($0.06 per share)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22"/>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14,038,599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56,532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174,916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214,0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4"/>
          <w:szCs w:val="14"/>
          <w:b w:val="1"/>
          <w:b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Nine Months Ended September 30,</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2"/>
        </w:trPr>
        <w:tc>
          <w:tcPr>
            <w:tcW w:w="8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32,814</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29,807</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Provision for loan losses</w:t>
            </w:r>
          </w:p>
        </w:tc>
        <w:tc>
          <w:tcPr>
            <w:tcW w:w="3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4,247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2,259</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mortgage put-back reserve,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279</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Reversal of provision for off balance sheet credit commitments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investments,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1,090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1,013</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cash surrender value of bank-owned life insurance policies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1,247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1,006</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compensation paid in Company stock</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1,264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marketable equity securities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Gain on sale of securities available for sale</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Valuation (increase) decrease on derivatives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(Gain) loss on sale of foreclosed real estate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28</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valuation of loans held for sale carried at fair value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(17,478)</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269,446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925,093</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Originations of loans held for sale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(256,020)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(836,466)</w:t>
            </w:r>
          </w:p>
        </w:tc>
      </w:tr>
      <w:tr>
        <w:trPr>
          <w:trHeight w:val="209"/>
        </w:trPr>
        <w:tc>
          <w:tcPr>
            <w:tcW w:w="8240" w:type="dxa"/>
            <w:vAlign w:val="bottom"/>
          </w:tcPr>
          <w:p>
            <w:pPr>
              <w:ind w:left="2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 accrued interest receivable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w:t>
            </w:r>
          </w:p>
        </w:tc>
      </w:tr>
      <w:tr>
        <w:trPr>
          <w:trHeight w:val="212"/>
        </w:trPr>
        <w:tc>
          <w:tcPr>
            <w:tcW w:w="8240" w:type="dxa"/>
            <w:vAlign w:val="bottom"/>
          </w:tcPr>
          <w:p>
            <w:pPr>
              <w:ind w:left="340"/>
              <w:spacing w:after="0"/>
              <w:rPr>
                <w:sz w:val="20"/>
                <w:szCs w:val="20"/>
                <w:color w:val="auto"/>
              </w:rPr>
            </w:pPr>
            <w:r>
              <w:rPr>
                <w:rFonts w:ascii="Arial" w:cs="Arial" w:eastAsia="Arial" w:hAnsi="Arial"/>
                <w:sz w:val="16"/>
                <w:szCs w:val="16"/>
                <w:color w:val="auto"/>
              </w:rPr>
              <w:t>(Increase) decrease in other assets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1,055</w:t>
            </w:r>
          </w:p>
        </w:tc>
      </w:tr>
      <w:tr>
        <w:trPr>
          <w:trHeight w:val="212"/>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accrued interest payable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12"/>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Decrease in other liabilities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w:t>
            </w:r>
          </w:p>
        </w:tc>
      </w:tr>
      <w:tr>
        <w:trPr>
          <w:trHeight w:val="205"/>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45,352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102,533</w:t>
            </w:r>
          </w:p>
        </w:tc>
      </w:tr>
      <w:tr>
        <w:trPr>
          <w:trHeight w:val="192"/>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8240" w:type="dxa"/>
            <w:vAlign w:val="bottom"/>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(113,078)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(169,672)</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calls and paydowns of securities available for sale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5,368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12,231</w:t>
            </w:r>
          </w:p>
        </w:tc>
      </w:tr>
      <w:tr>
        <w:trPr>
          <w:trHeight w:val="212"/>
        </w:trPr>
        <w:tc>
          <w:tcPr>
            <w:tcW w:w="8240" w:type="dxa"/>
            <w:vAlign w:val="bottom"/>
          </w:tcPr>
          <w:p>
            <w:pPr>
              <w:ind w:left="140"/>
              <w:spacing w:after="0"/>
              <w:rPr>
                <w:sz w:val="20"/>
                <w:szCs w:val="20"/>
                <w:color w:val="auto"/>
              </w:rPr>
            </w:pPr>
            <w:r>
              <w:rPr>
                <w:rFonts w:ascii="Arial" w:cs="Arial" w:eastAsia="Arial" w:hAnsi="Arial"/>
                <w:sz w:val="16"/>
                <w:szCs w:val="16"/>
                <w:color w:val="auto"/>
              </w:rPr>
              <w:t>Proceeds from sale of securities available for sale</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66,534</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sales of restricted investments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w:t>
            </w:r>
          </w:p>
        </w:tc>
      </w:tr>
      <w:tr>
        <w:trPr>
          <w:trHeight w:val="212"/>
        </w:trPr>
        <w:tc>
          <w:tcPr>
            <w:tcW w:w="8240" w:type="dxa"/>
            <w:vAlign w:val="bottom"/>
          </w:tcPr>
          <w:p>
            <w:pPr>
              <w:ind w:left="140"/>
              <w:spacing w:after="0"/>
              <w:rPr>
                <w:sz w:val="20"/>
                <w:szCs w:val="20"/>
                <w:color w:val="auto"/>
              </w:rPr>
            </w:pPr>
            <w:r>
              <w:rPr>
                <w:rFonts w:ascii="Arial" w:cs="Arial" w:eastAsia="Arial" w:hAnsi="Arial"/>
                <w:sz w:val="16"/>
                <w:szCs w:val="16"/>
                <w:color w:val="auto"/>
              </w:rPr>
              <w:t>Purchases of bank-owned life insurance</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SBA-PPP loans receivable,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105,623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63,840</w:t>
            </w:r>
          </w:p>
        </w:tc>
      </w:tr>
      <w:tr>
        <w:trPr>
          <w:trHeight w:val="212"/>
        </w:trPr>
        <w:tc>
          <w:tcPr>
            <w:tcW w:w="8240" w:type="dxa"/>
            <w:vAlign w:val="bottom"/>
          </w:tcPr>
          <w:p>
            <w:pPr>
              <w:ind w:left="140"/>
              <w:spacing w:after="0"/>
              <w:rPr>
                <w:sz w:val="20"/>
                <w:szCs w:val="20"/>
                <w:color w:val="auto"/>
              </w:rPr>
            </w:pPr>
            <w:r>
              <w:rPr>
                <w:rFonts w:ascii="Arial" w:cs="Arial" w:eastAsia="Arial" w:hAnsi="Arial"/>
                <w:sz w:val="16"/>
                <w:szCs w:val="16"/>
                <w:color w:val="auto"/>
              </w:rPr>
              <w:t>Increase in portfolio loans receivable,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(127,356)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(130,564)</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premises and equipment,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2"/>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sales of foreclosed real estate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w:t>
            </w:r>
          </w:p>
        </w:tc>
      </w:tr>
      <w:tr>
        <w:trPr>
          <w:trHeight w:val="205"/>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(130,486)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(192,335)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243205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4"/>
          <w:szCs w:val="14"/>
          <w:b w:val="1"/>
          <w:bCs w:val="1"/>
          <w:color w:val="auto"/>
        </w:rPr>
        <w:t>Consolidated Statements of Cash Flows (Continued)</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Nine Months Ended September 30,</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2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r>
      <w:tr>
        <w:trPr>
          <w:trHeight w:val="196"/>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4"/>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(decrease) in: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Noninterest-bearing deposits</w:t>
            </w:r>
          </w:p>
        </w:tc>
        <w:tc>
          <w:tcPr>
            <w:tcW w:w="3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18,383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224,628</w:t>
            </w: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Interest-bearing deposits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(77,929)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44,482</w:t>
            </w:r>
          </w:p>
        </w:tc>
      </w:tr>
      <w:tr>
        <w:trPr>
          <w:trHeight w:val="212"/>
        </w:trPr>
        <w:tc>
          <w:tcPr>
            <w:tcW w:w="8240" w:type="dxa"/>
            <w:vAlign w:val="bottom"/>
          </w:tcPr>
          <w:p>
            <w:pPr>
              <w:ind w:left="220"/>
              <w:spacing w:after="0"/>
              <w:rPr>
                <w:sz w:val="20"/>
                <w:szCs w:val="20"/>
                <w:color w:val="auto"/>
              </w:rPr>
            </w:pPr>
            <w:r>
              <w:rPr>
                <w:rFonts w:ascii="Arial" w:cs="Arial" w:eastAsia="Arial" w:hAnsi="Arial"/>
                <w:sz w:val="16"/>
                <w:szCs w:val="16"/>
                <w:color w:val="auto"/>
              </w:rPr>
              <w:t>Repayment of advances from Federal Reserve Bank</w:t>
            </w: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2"/>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proceeds from exercise of stock options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589</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423</w:t>
            </w:r>
          </w:p>
        </w:tc>
      </w:tr>
      <w:tr>
        <w:trPr>
          <w:trHeight w:val="205"/>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(61,199)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266,890</w:t>
            </w:r>
          </w:p>
        </w:tc>
      </w:tr>
      <w:tr>
        <w:trPr>
          <w:trHeight w:val="179"/>
        </w:trPr>
        <w:tc>
          <w:tcPr>
            <w:tcW w:w="8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(146,333)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177,088</w:t>
            </w:r>
          </w:p>
        </w:tc>
      </w:tr>
      <w:tr>
        <w:trPr>
          <w:trHeight w:val="212"/>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183,395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146,910</w:t>
            </w:r>
          </w:p>
        </w:tc>
      </w:tr>
      <w:tr>
        <w:trPr>
          <w:trHeight w:val="192"/>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37,062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323,998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5"/>
        </w:trPr>
        <w:tc>
          <w:tcPr>
            <w:tcW w:w="8240" w:type="dxa"/>
            <w:vAlign w:val="bottom"/>
          </w:tcPr>
          <w:p>
            <w:pPr>
              <w:ind w:left="140"/>
              <w:spacing w:after="0"/>
              <w:rPr>
                <w:sz w:val="20"/>
                <w:szCs w:val="20"/>
                <w:color w:val="auto"/>
              </w:rPr>
            </w:pPr>
            <w:r>
              <w:rPr>
                <w:rFonts w:ascii="Arial" w:cs="Arial" w:eastAsia="Arial" w:hAnsi="Arial"/>
                <w:sz w:val="16"/>
                <w:szCs w:val="16"/>
                <w:color w:val="auto"/>
              </w:rPr>
              <w:t>Change in unrealized losses on investments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(22,026)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9"/>
        </w:trPr>
        <w:tc>
          <w:tcPr>
            <w:tcW w:w="8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8240" w:type="dxa"/>
            <w:vAlign w:val="bottom"/>
          </w:tcPr>
          <w:p>
            <w:pPr>
              <w:ind w:left="14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3,882</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5,728</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243205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sectPr>
      </w:pPr>
    </w:p>
    <w:bookmarkStart w:id="10" w:name="page11"/>
    <w:bookmarkEnd w:id="1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-180340</wp:posOffset>
            </wp:positionV>
            <wp:extent cx="6537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39"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 w:cs="Arial" w:eastAsia="Arial" w:hAnsi="Arial"/>
          <w:sz w:val="22"/>
          <w:szCs w:val="22"/>
          <w:color w:val="auto"/>
          <w:vertAlign w:val="superscript"/>
        </w:rPr>
        <w:t>®</w:t>
      </w:r>
      <w:r>
        <w:rPr>
          <w:rFonts w:ascii="Arial" w:cs="Arial" w:eastAsia="Arial" w:hAnsi="Arial"/>
          <w:sz w:val="18"/>
          <w:szCs w:val="18"/>
          <w:color w:val="auto"/>
        </w:rPr>
        <w:t>, a secured, digitally-driven nationwide credit card platform.</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September 30, 2022, Church Street Capital had loans totaling $7.1 million.</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3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wholly-owned subsidiaries, the Bank and Church Street Capital. The statements do not include all of the information and footnotes required by GAAP for complete financials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Certain prior period amounts have been reclassified to conform to the current period presentation. The results of operations for the three and nine months ended September 30, 2022 are not necessarily indicative of the results that may be expected for the full year. These consolidated financial statements should be read in conjunction with the Company’s audited financial statements and the notes thereto as of December 31, 2021, included in the Company’s Annual Report on Form 10-K for the fiscal year ended December 31, 2021.</w:t>
      </w:r>
    </w:p>
    <w:p>
      <w:pPr>
        <w:spacing w:after="0" w:line="1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Risks and uncertainties</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has been, and may continue to be, impacted by the coronavirus disease 2019 pandemic (“COVID-19”). The direct impacts of COVID-19 appear to be waning, but the pandemic’s residual impact manifests itself in supply chain and labor market imbalances and ongoing inflationary pressures. To address the economic impact of the pandemic in the U.S., multiple stimulus packages have been enacted to provide economic relief to individuals and businesses, including the Coronavirus Aid, Relief and Economic Security Act (“CARES Act”), which established the Small Business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Paycheck Protection Program (“SBA-PPP”), the American Rescue Plan Act of 2021 which was enacted in March 2021, and the Inflation Reduction Act of 2022 which was signed into law in August 2022.</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remains watchful of COVID-19 surges and new variants and continues to evaluate processes in place to execute our business continuity plan and promote the health and safety of our employees.</w:t>
      </w:r>
    </w:p>
    <w:p>
      <w:pPr>
        <w:spacing w:after="0" w:line="20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future direct and indirect impact of the pandemic on the Company’s businesses, results of operations and financial condition continues to remain uncertain as inflationary concerns remain elevated due to continuing supply and demand imbalances associated with the pandemic. Should current economic conditions deteriorate, the macroeconomic environment could have an adverse effect on our businesses,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value of certain assets and liabilities that are not readily available from other sources. Estimates are evaluated on an ongoing basis. Actual results may materially differ from these estimates under different assumptions or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interest-bearing deposits with financial institutions and federal funds sold. Generally, federal funds are sold for one-day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Marketable equity securities are carried at fair value with realized gains and losses included in earnings. Premiums and discounts on investment securities are amortized or accreted using the interest method. Changes in the fair value of equity securities are also included in earnings as gain or loss on marketable equity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sales are determined by the specific-identification method. The Company’s current practice is to sell residential mortgage loans on a servicing released basis. Interest on loans held for sale is credited to income based on the principal amounts outstanding.</w:t>
      </w:r>
    </w:p>
    <w:p>
      <w:pPr>
        <w:spacing w:after="0" w:line="203" w:lineRule="exact"/>
        <w:rPr>
          <w:sz w:val="20"/>
          <w:szCs w:val="20"/>
          <w:color w:val="auto"/>
        </w:rPr>
      </w:pPr>
    </w:p>
    <w:p>
      <w:pPr>
        <w:jc w:val="both"/>
        <w:ind w:firstLine="318"/>
        <w:spacing w:after="0" w:line="212"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2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elects to measure loans held for sale at fair value to better align reported results with the underlying economic changes in value of the loans on the Company’s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SBA-PPP is one of the centerpieces of the CARES Act which was passed on March 27, 2020 in response to the outbreak of COVID-19 and was supplemented with subsequent legislation. Overseen by the United States (“U.S.”) Treasury Department, the SBA-PPP offered cash-flow assistance to nonprofit and small business employers through guaranteed loans. Borrowers are eligible for forgiveness of principal and accrued interest on SBA-PPP loans to the extent that the proceeds are used to cover eligible payroll costs, interest costs, rent, and utility costs over a period between eight and twenty four weeks after the loan is made as long as the borrower retains its employees and their compensation levels. The CARES Act authorized the SBA to fully guarantee these loans.</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December 27, 2020, the Consolidated Appropriations Act, 2021 (“CAA”) was signed into law. The CAA provides several amendments to the SBA-PPP, including additional funding for the first and second draws of PPP loans up to March 13, 2021. On March 30, 2021, the PPP Extension Act of 2021 was signed into law, which extended the program to May 31, 2021.</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September 30, 2022 totaled $2.7 million with $53 thousand of net unearned fees. SBA-PPP loans generated interest income of $263 thousand and $3.4 million for the three and nine months ended September 30, 2022 and $1.5 million and $6.3 million for the three and nine months ended September 30,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at the earlier of when any portion of the principal and/or interest is 90 days past due, or when it is probable that not all principal and interest payments will be collected, and collateral is insufficient to discharge the debt in full. Generally, interest payments on nonaccrual loans are recorded as a reduction of the principal balance.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Loans are considered impaired when, based on current information, management believes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however, the CARES Act provided financial institutions optional temporary relief from TDR and impairment accounting for certain loan modifications related to the COVID-19 pandemic. Under Section 4013 of the CARES Act, banks may suspend (1) the requirement under GAAP for certain modifications that would otherwise be categorized as a TDR and (2) any determination that such loan modifications would be considered a TDR, including the related impairment for accounting purposes. To be eligible, each loan modification must be (1) related to the COVID-19 event; (2) executed on a loan that was not more than 30 days past due as of December 31, 2019; and (3) executed between March 1, 2020, and the earlier of (A) 60 days after the date of termination of the National Emergency or (B) December 31, 2020. The December 31, 2020 deadline was subsequently extended to January 1, 2022, by the CAA. As of September 30, 2022 all of our COVID-19 deferred loans had returned to original payment terms while the outstanding balance at September 30, 2021 was $7.3 million.</w:t>
      </w:r>
    </w:p>
    <w:p>
      <w:pPr>
        <w:spacing w:after="0" w:line="21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All other short-term modifications made on a good faith basis in response to COVID-19 to borrowers who were current prior to any relief, are not TDRs. This includes short-term modifications such as payment deferrals, fee waivers, extensions of repayment terms, and other delays in payment that are deemed insignificant. Borrowers considered current are those that are less than 30 days past due on their contractual payments at the time a modification program is implemented.</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extended out beyond reasonable time frames, client bankruptcy and lack of assets, and/or collateral deficiencies.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assumptions require a substantial degree of judgment. Additional disclosure on the allowance for loan losses, and qualitative factors can be found in Part II, Item 1A - Risk Factors and </w:t>
      </w:r>
      <w:r>
        <w:rPr>
          <w:rFonts w:ascii="Arial" w:cs="Arial" w:eastAsia="Arial" w:hAnsi="Arial"/>
          <w:sz w:val="18"/>
          <w:szCs w:val="18"/>
          <w:i w:val="1"/>
          <w:iCs w:val="1"/>
          <w:color w:val="auto"/>
        </w:rPr>
        <w:t>Note 5 - Portfolio Loans Receivable</w:t>
      </w:r>
      <w:r>
        <w:rPr>
          <w:rFonts w:ascii="Arial" w:cs="Arial" w:eastAsia="Arial" w:hAnsi="Arial"/>
          <w:sz w:val="18"/>
          <w:szCs w:val="18"/>
          <w:color w:val="auto"/>
        </w:rPr>
        <w:t>.</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 Expenditures for maintenance, repairs, and minor replacements are charged to noninterest expenses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1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accounts for leases according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9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flow hedges, to the extent they are effective as hedges, are recorded in other comprehensive income, net of deferred taxes. Any hedge ineffectiveness would be recognized in the income statement line item pertaining to the hedged item.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17"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211" w:lineRule="exact"/>
        <w:rPr>
          <w:sz w:val="20"/>
          <w:szCs w:val="20"/>
          <w:color w:val="auto"/>
        </w:rPr>
      </w:pPr>
    </w:p>
    <w:p>
      <w:pPr>
        <w:jc w:val="both"/>
        <w:ind w:right="40" w:firstLine="318"/>
        <w:spacing w:after="0" w:line="247"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2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Bank-owned life insurance</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had $36.3 million of bank-owned life insurance at September 30, 2022 and $35.3 million at September 30, 2021. The Company recognized income, which is included in other noninterest income, of $255 thousand and $761 thousand for the three and nine months ended September 30, 2022, respectively, and $268 thousand for both the three and nine months ended September 30,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September 30, 2022, there were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140,591 stock options excluded from the calculation as their effect would have been anti-dilutive, whereas at September 30, 2021 there were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147 such options.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loss:</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reports as comprehensive loss all changes in stockholders' equity during the year from sources other than stockholders. Other comprehensive loss refers to all components (income, expenses, gains, and losses) of comprehensive loss that are excluded from net income.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only component of other comprehensive loss is unrealized losses on investment securities available for sale, net of income taxes. Information concerning the Company's accumulated other comprehensive loss as of September 30, 2022 and December 31, 2021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December 31, 2021</w:t>
            </w:r>
          </w:p>
        </w:tc>
      </w:tr>
      <w:tr>
        <w:trPr>
          <w:trHeight w:val="208"/>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losses on securities available for sale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r>
      <w:tr>
        <w:trPr>
          <w:trHeight w:val="212"/>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benefit</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30"/>
        </w:trPr>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accumulated comprehensive loss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(17,583)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ASU 2016-13 introduces guidance that changes the accounting for loan losses and modifies the impairment model for certain debt securities. This ASU introduced a new model known as CECL. CECL applies to financial assets subject to credit losses and measured at amortized cost, as well as a number of off-balance sheet credit exposures. Examples include loans, loan commitments, standby letters of credit, net investments in leases recognized by a lessor and HTM debt securities. The CECL model requires an entity to estimate credit losses expected over the life of an exposure, considering relevant information about historical experience, current conditions and reasonable and supportable forecasts. ASU 2016-13 offers a simplified accounting model for purchased financial assets with more than insignificant credit deterioration since their origination. Additionally, ASU 2016-13 also modifies certain provisions of the current other-than-temporary impairment model for AFS debt securities. Credit losses on AFS debt securities will be restricted to the difference between the security’s amortized cost basis and its fair value. In April 2019, the FASB issued ASU 2019-04 which elaborates on the treatment of accrued interest when measuring credit losses. To meet disclosure requirements we elected a practical expedient to disclose separately the total amount of accrued interest included in the amortized cost basis as a single balance. ASU 2019-04 explains that expected recoveries of amounts previously written off and expected to be written off should be included in the valuation account and should not exceed the aggregate of amounts previously written off and expected to be written off by the entity. In addition, for collateral dependent financial assets, the amendments clarify that an allowance for credit losses that is added to the amortized cost basis of the financial asset(s) should not exceed amounts previously written off. In November 2019, the FASB issued ASU 2019-10, which delayed the effective date of ASU 2016-13 to fiscal years beginning after December 15, 2022 for smaller reporting companies. While early adoption was permitted, the Company did not elect that option. The Company expects the provisions of this standard to impact the Company’s consolidated financial statements and, in particular, the level of the reserve for loan losses. The Company engaged a consultant to assist with the implementation of this ASU and has completed various milestones so as to ensure timely implementation. The Company plans to refine assumptions, complete model validation and identify expected financial statement impact over the next quarter. The Company plans to apply the amendments to the ASU through a cumulative-effect adjustment to retained earnings or prospectively for purchased financial assets with credit deterioration as of the beginning of the year of adoption. While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adoption of this standard is expected to impact the Company's financial statements, management continues to work on refining the estimate of the impact that will be made in the first quarter of 2023.</w:t>
      </w:r>
    </w:p>
    <w:p>
      <w:pPr>
        <w:spacing w:after="0" w:line="20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March 2020, the FASB released ASU 2020-04 - Reference Rate Reform, Topic 848, which provides temporary guidance to ease the potential accounting burden in accounting for, or recognizing the effects from,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and other transactions that reference LIBOR, or another reference rate expected to be discontinued. The amendments in the update are effective for all entities between March 12, 2020 and December 31, 2022. The adoption of this guidance is not expected to have a material impact on the Company’s financial statements.</w:t>
      </w:r>
    </w:p>
    <w:p>
      <w:pPr>
        <w:spacing w:after="0" w:line="19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and other delays in payment that are deemed insignificant. Borrowers considered current were those that were less than 30 days past due on their contractual payments at the time a modification program was implemented. As of September 30, 2022, the Company had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w:t>
      </w:r>
    </w:p>
    <w:p>
      <w:pPr>
        <w:spacing w:after="0" w:line="21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February 2022, the FASB issued ASU 2022-02, Financial Instruments - Credit Losses (Topic 326): Troubled Debt Restructurings and Vintage Disclosures. The ASU eliminates the accounting guidance for troubled debt restructurings by creditors and enhances disclosure requirements for certain loan re-financings and restructurings by creditors when a borrower is experiencing financial difficulty. The amendments also add requirements to disclose current-period gross write-offs by year of origination for financing receivables. The amendments in this update are effective for fiscal years beginning after December 15, 2022, including interim periods within those fiscal years. Early adoption is permitted, including in an interim period. We do not expect the adoption of this standard to have a material impact on our consolidated financial statements.</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8" w:name="page19"/>
    <w:bookmarkEnd w:id="18"/>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39"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Cash and cash equivalents include cash and amounts due from banks, interest-bearing deposits and federal funds sold. The Bank is required by regulations to maintain an average cash reserve balance based on a percentage of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September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9"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amortized cost and estimated fair value of investment securities at September 30, 2022 and December 31, 2021 are summarized as follows: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thousands)</w:t>
      </w:r>
    </w:p>
    <w:p>
      <w:pPr>
        <w:spacing w:after="0" w:line="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Unrealized</w:t>
            </w:r>
          </w:p>
        </w:tc>
        <w:tc>
          <w:tcPr>
            <w:tcW w:w="360" w:type="dxa"/>
            <w:vAlign w:val="bottom"/>
          </w:tcPr>
          <w:p>
            <w:pPr>
              <w:spacing w:after="0"/>
              <w:rPr>
                <w:sz w:val="14"/>
                <w:szCs w:val="14"/>
                <w:color w:val="auto"/>
              </w:rPr>
            </w:pPr>
          </w:p>
        </w:tc>
        <w:tc>
          <w:tcPr>
            <w:tcW w:w="980" w:type="dxa"/>
            <w:vAlign w:val="bottom"/>
          </w:tcPr>
          <w:p>
            <w:pPr>
              <w:jc w:val="right"/>
              <w:ind w:right="34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6"/>
              </w:rPr>
              <w:t>Cost</w:t>
            </w: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2"/>
                <w:szCs w:val="12"/>
                <w:color w:val="auto"/>
              </w:rPr>
            </w:pPr>
          </w:p>
        </w:tc>
        <w:tc>
          <w:tcPr>
            <w:tcW w:w="980" w:type="dxa"/>
            <w:vAlign w:val="bottom"/>
          </w:tcPr>
          <w:p>
            <w:pPr>
              <w:jc w:val="right"/>
              <w:ind w:right="309"/>
              <w:spacing w:after="0" w:line="146"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232,406</w:t>
            </w:r>
          </w:p>
        </w:tc>
        <w:tc>
          <w:tcPr>
            <w:tcW w:w="12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(17,466)</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214,9</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36,604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(2,881)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33,7</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6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293,150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36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10,825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There were no securities sold during the three and nine months ended September 30, 2022. There were no securities sold during the three months ended September 30, 2021 and 28 securities were sold during the nine months ended September 30, 2021 which generated proceeds of $66.5 million. The investment sales resulted in gross gains of $694 thousand and gross losses of $541 thousand for the nine months ended September 30, 2021.</w:t>
      </w:r>
    </w:p>
    <w:p>
      <w:pPr>
        <w:sectPr>
          <w:pgSz w:w="11900" w:h="16838" w:orient="portrait"/>
          <w:cols w:equalWidth="0" w:num="1">
            <w:col w:w="11340"/>
          </w:cols>
          <w:pgMar w:left="320" w:top="6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250825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type w:val="continuous"/>
        </w:sectPr>
      </w:pPr>
    </w:p>
    <w:bookmarkStart w:id="19" w:name="page20"/>
    <w:bookmarkEnd w:id="19"/>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6350</wp:posOffset>
            </wp:positionV>
            <wp:extent cx="6537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Information related to unrealized losses in the investment portfolio as of September 30, 2022 and December 31, 2021 is summarized as follows: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6"/>
                <w:szCs w:val="16"/>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6"/>
                <w:szCs w:val="16"/>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12 months or longer</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09"/>
              <w:spacing w:after="0" w:line="14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89"/>
              <w:spacing w:after="0" w:line="14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89"/>
              <w:spacing w:after="0" w:line="145" w:lineRule="exact"/>
              <w:rPr>
                <w:sz w:val="20"/>
                <w:szCs w:val="20"/>
                <w:color w:val="auto"/>
              </w:rPr>
            </w:pPr>
            <w:r>
              <w:rPr>
                <w:rFonts w:ascii="Arial" w:cs="Arial" w:eastAsia="Arial" w:hAnsi="Arial"/>
                <w:sz w:val="14"/>
                <w:szCs w:val="14"/>
                <w:b w:val="1"/>
                <w:bCs w:val="1"/>
                <w:color w:val="auto"/>
              </w:rPr>
              <w:t>Fair</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9"/>
              <w:spacing w:after="0" w:line="145"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9"/>
              </w:rPr>
              <w:t>Losses</w:t>
            </w: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2"/>
                <w:szCs w:val="12"/>
                <w:color w:val="auto"/>
              </w:rPr>
            </w:pPr>
          </w:p>
        </w:tc>
        <w:tc>
          <w:tcPr>
            <w:tcW w:w="800" w:type="dxa"/>
            <w:vAlign w:val="bottom"/>
          </w:tcPr>
          <w:p>
            <w:pPr>
              <w:jc w:val="right"/>
              <w:ind w:right="229"/>
              <w:spacing w:after="0" w:line="126" w:lineRule="exact"/>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29"/>
              <w:spacing w:after="0" w:line="126"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U.S. Treasuries</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116,078</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(4,968)</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98,862</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(12,498)</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214,940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(17,46</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18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4,648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4,648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11,597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33,723</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146,076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(7,156)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123,544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(16,374)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269,620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246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U.S. Treasuries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110,191</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110,191</w:t>
            </w:r>
          </w:p>
        </w:tc>
        <w:tc>
          <w:tcPr>
            <w:tcW w:w="40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16,238</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142,247</w:t>
            </w:r>
          </w:p>
        </w:tc>
        <w:tc>
          <w:tcPr>
            <w:tcW w:w="400" w:type="dxa"/>
            <w:vAlign w:val="bottom"/>
            <w:gridSpan w:val="3"/>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There were no pledged securities at September 30, 2022 or December 31, 2021. At September 30, 2022, there were fourteen treasury securities, seven municipal securities, five corporate securities, one asset-backed security, and three mortgage-backed securities that had been in an unrealized loss position for greater than twelve months. At December 31, 2021 there were two municipal securities, one corporate security, one asset-backed security, and one mortgage-backed security that had been in an unrealized loss position for greater than twelve months. Management believes that the unrealized losses at September 30, 2022 and December 31, 2021 resulted from changes in interest rates and current market conditions and not as a result of credit deterioration. Management has the ability and the intent to hold these investment securities until maturity or until they recover in value.</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Contractual maturities of investment securities at September 30, 2022 and December 31, 2021 are shown below. Actual maturities may differ from contractual maturities because issuers may have the right to call or prepay obligations with or without call premiums or prepayment penalties.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Maturities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6"/>
                <w:szCs w:val="16"/>
                <w:color w:val="auto"/>
              </w:rPr>
            </w:pPr>
          </w:p>
        </w:tc>
        <w:tc>
          <w:tcPr>
            <w:tcW w:w="2320" w:type="dxa"/>
            <w:vAlign w:val="bottom"/>
            <w:gridSpan w:val="4"/>
          </w:tcPr>
          <w:p>
            <w:pPr>
              <w:jc w:val="right"/>
              <w:ind w:right="549"/>
              <w:spacing w:after="0"/>
              <w:rPr>
                <w:sz w:val="20"/>
                <w:szCs w:val="20"/>
                <w:color w:val="auto"/>
              </w:rPr>
            </w:pPr>
            <w:r>
              <w:rPr>
                <w:rFonts w:ascii="Arial" w:cs="Arial" w:eastAsia="Arial" w:hAnsi="Arial"/>
                <w:sz w:val="14"/>
                <w:szCs w:val="14"/>
                <w:b w:val="1"/>
                <w:bCs w:val="1"/>
                <w:color w:val="auto"/>
              </w:rPr>
              <w:t>December 31, 2021</w:t>
            </w:r>
          </w:p>
        </w:tc>
      </w:tr>
      <w:tr>
        <w:trPr>
          <w:trHeight w:val="144"/>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80"/>
              <w:spacing w:after="0" w:line="145"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9"/>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80"/>
              <w:spacing w:after="0" w:line="145"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89"/>
              <w:spacing w:after="0" w:line="145" w:lineRule="exact"/>
              <w:rPr>
                <w:sz w:val="20"/>
                <w:szCs w:val="20"/>
                <w:color w:val="auto"/>
              </w:rPr>
            </w:pPr>
            <w:r>
              <w:rPr>
                <w:rFonts w:ascii="Arial" w:cs="Arial" w:eastAsia="Arial" w:hAnsi="Arial"/>
                <w:sz w:val="14"/>
                <w:szCs w:val="14"/>
                <w:b w:val="1"/>
                <w:bCs w:val="1"/>
                <w:color w:val="auto"/>
              </w:rPr>
              <w:t>Fair</w:t>
            </w:r>
          </w:p>
        </w:tc>
      </w:tr>
      <w:tr>
        <w:trPr>
          <w:trHeight w:val="18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Value</w:t>
            </w:r>
          </w:p>
        </w:tc>
      </w:tr>
      <w:tr>
        <w:trPr>
          <w:trHeight w:val="187"/>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Within one year</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60,645</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60,219</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Over one to five years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98,111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91,686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57,650</w:t>
            </w:r>
          </w:p>
        </w:tc>
      </w:tr>
      <w:tr>
        <w:trPr>
          <w:trHeight w:val="193"/>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Over five to ten years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78,650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67,684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78,850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78,285</w:t>
            </w:r>
          </w:p>
        </w:tc>
      </w:tr>
      <w:tr>
        <w:trPr>
          <w:trHeight w:val="204"/>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Over ten years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10,474</w:t>
            </w:r>
          </w:p>
        </w:tc>
      </w:tr>
      <w:tr>
        <w:trPr>
          <w:trHeight w:val="199"/>
        </w:trPr>
        <w:tc>
          <w:tcPr>
            <w:tcW w:w="5800" w:type="dxa"/>
            <w:vAlign w:val="bottom"/>
            <w:gridSpan w:val="2"/>
          </w:tcPr>
          <w:p>
            <w:pPr>
              <w:ind w:left="20"/>
              <w:spacing w:after="0" w:line="199" w:lineRule="exact"/>
              <w:rPr>
                <w:sz w:val="20"/>
                <w:szCs w:val="20"/>
                <w:color w:val="auto"/>
              </w:rPr>
            </w:pPr>
            <w:r>
              <w:rPr>
                <w:rFonts w:ascii="Arial" w:cs="Arial" w:eastAsia="Arial" w:hAnsi="Arial"/>
                <w:sz w:val="14"/>
                <w:szCs w:val="14"/>
                <w:color w:val="auto"/>
              </w:rPr>
              <w:t>Asset-backed securities</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8,323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8,222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10,140</w:t>
            </w:r>
          </w:p>
        </w:tc>
      </w:tr>
      <w:tr>
        <w:trPr>
          <w:trHeight w:val="199"/>
        </w:trPr>
        <w:tc>
          <w:tcPr>
            <w:tcW w:w="580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4"/>
                <w:szCs w:val="14"/>
                <w:color w:val="auto"/>
              </w:rPr>
              <w:t>Mortgage-backed securities</w:t>
            </w:r>
            <w:r>
              <w:rPr>
                <w:rFonts w:ascii="Arial" w:cs="Arial" w:eastAsia="Arial" w:hAnsi="Arial"/>
                <w:sz w:val="18"/>
                <w:szCs w:val="18"/>
                <w:color w:val="auto"/>
                <w:vertAlign w:val="superscript"/>
              </w:rPr>
              <w:t>(1)</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27,906</w:t>
            </w:r>
          </w:p>
        </w:tc>
      </w:tr>
      <w:tr>
        <w:trPr>
          <w:trHeight w:val="19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293,150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269,620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185,959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184,455</w:t>
            </w: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4"/>
        <w:spacing w:after="0" w:line="199" w:lineRule="auto"/>
        <w:tabs>
          <w:tab w:leader="none" w:pos="160"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Asset-backed and Mortgage-backed securities are due in monthly installments.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-180340</wp:posOffset>
            </wp:positionV>
            <wp:extent cx="6537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two or five year terms, and carry a 100% guarantee of the SBA.</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SBA-PPP gross loans receivable totaled $2.7 million at September 30, 2022, and $111.5 million at December 31, 2021, and were all rated as pass credits and were not past due, nonaccrual, TDR, or otherwise impaired. Unearned net fees associated with the SBA-PPP loans amounted to $53 thousand at September 30, 2022 compared to $3.2 million at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Portfolio Loan Categories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7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6"/>
                <w:szCs w:val="16"/>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6"/>
                <w:szCs w:val="16"/>
                <w:color w:val="auto"/>
              </w:rPr>
            </w:pPr>
          </w:p>
        </w:tc>
        <w:tc>
          <w:tcPr>
            <w:tcW w:w="1600" w:type="dxa"/>
            <w:vAlign w:val="bottom"/>
          </w:tcPr>
          <w:p>
            <w:pPr>
              <w:jc w:val="right"/>
              <w:ind w:right="141"/>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10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5"/>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466,849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401,60</w:t>
            </w:r>
          </w:p>
        </w:tc>
      </w:tr>
      <w:tr>
        <w:trPr>
          <w:trHeight w:val="212"/>
        </w:trPr>
        <w:tc>
          <w:tcPr>
            <w:tcW w:w="7100" w:type="dxa"/>
            <w:vAlign w:val="bottom"/>
          </w:tcPr>
          <w:p>
            <w:pPr>
              <w:ind w:left="14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626,030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556,33</w:t>
            </w:r>
          </w:p>
        </w:tc>
      </w:tr>
      <w:tr>
        <w:trPr>
          <w:trHeight w:val="212"/>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235,045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192,207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175,95</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141,12</w:t>
            </w:r>
          </w:p>
        </w:tc>
      </w:tr>
      <w:tr>
        <w:trPr>
          <w:trHeight w:val="212"/>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consumer</w:t>
            </w: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05"/>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Portfolio loans receivable, gross</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1,657,844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1,531,20</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Deferred origination fees, net</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(9,843)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loan losses</w:t>
            </w: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(26,091)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r>
      <w:tr>
        <w:trPr>
          <w:trHeight w:val="205"/>
        </w:trPr>
        <w:tc>
          <w:tcPr>
            <w:tcW w:w="7100" w:type="dxa"/>
            <w:vAlign w:val="bottom"/>
          </w:tcPr>
          <w:p>
            <w:pPr>
              <w:ind w:left="140"/>
              <w:spacing w:after="0"/>
              <w:rPr>
                <w:sz w:val="20"/>
                <w:szCs w:val="20"/>
                <w:color w:val="auto"/>
              </w:rPr>
            </w:pPr>
            <w:r>
              <w:rPr>
                <w:rFonts w:ascii="Arial" w:cs="Arial" w:eastAsia="Arial" w:hAnsi="Arial"/>
                <w:sz w:val="16"/>
                <w:szCs w:val="16"/>
                <w:color w:val="auto"/>
              </w:rPr>
              <w:t>Portfolio loans receivable, net</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1,621,910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1,498,80</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8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18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September 30, 2022, there were approximately $354.1 million of owner-occupied commercial real estate loans, representing approximately 57% of the commercial real estate portfolio. Commercial real estate loan terms are generally extended for 10 years or less and amortize generally over 25 years or less. The interest rates on commercial real estate loans generally have initial fixed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1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although exceptions are sometimes made. Semi-annual stress testing of the construction loan portfolio is conducted, and underlying real estate conditions are monitored as well as trends in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5"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the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the Company offers secured, partially secured, and unsecured credit cards on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nationwide basis to under-banked populations and those looking to rebuild their credit scores through a fully digital and mobile platform. The secured lines of credit are secured by a noninterest 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repayments, but ultimately determined on a case-by-case basis). Partially secured and unsecured credit cards are only extended to existing secured card customers who have demonstrated sound credit behaviors. Approximately $116.5 million and $126.8 million of the $132.0 million and $140.2 million in secured and partially secured credit card balances were protected by savings deposits held by the Company as of September 30, 2022 and December 31, 2021, respectively. Unsecured balances were $27.3 million and $17.7 million, respectively, for the same periods.</w:t>
      </w:r>
    </w:p>
    <w:p>
      <w:pPr>
        <w:spacing w:after="0" w:line="199" w:lineRule="exact"/>
        <w:rPr>
          <w:sz w:val="20"/>
          <w:szCs w:val="20"/>
          <w:color w:val="auto"/>
        </w:rPr>
      </w:pPr>
    </w:p>
    <w:p>
      <w:pPr>
        <w:jc w:val="both"/>
        <w:ind w:right="20" w:firstLine="318"/>
        <w:spacing w:after="0" w:line="27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car loans and boat loans are offered.</w:t>
      </w:r>
    </w:p>
    <w:p>
      <w:pPr>
        <w:spacing w:after="0" w:line="18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recorded as an accretable discount, which will be recognized in interest income over the terms of the related loans. For loans considered to be impaired at acquisition, the difference between the contractually required payments and expected cash flows are recorded as a non-accretable discount. The remaining non-accretable discounts on loans acquired was $285 thousand as of September 30, 2022 and December 31, 2021. Loans with non-accretable discounts had carrying values of $793 thousand and $818 thousand as of September 30, 2022 and December 31, 2021, respectively.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5"/>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222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6"/>
                <w:szCs w:val="16"/>
                <w:color w:val="auto"/>
              </w:rPr>
            </w:pPr>
          </w:p>
        </w:tc>
      </w:tr>
      <w:tr>
        <w:trPr>
          <w:trHeight w:val="192"/>
        </w:trPr>
        <w:tc>
          <w:tcPr>
            <w:tcW w:w="47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5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September 30, 2022</w:t>
            </w: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r>
      <w:tr>
        <w:trPr>
          <w:trHeight w:val="197"/>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212</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166</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93"/>
        </w:trPr>
        <w:tc>
          <w:tcPr>
            <w:tcW w:w="4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Accretion and payoff of loans</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22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nine months ended September 30, 2022 and September 30, 2021.</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Losses</w:t>
      </w:r>
    </w:p>
    <w:p>
      <w:pPr>
        <w:spacing w:after="0" w:line="83" w:lineRule="exact"/>
        <w:rPr>
          <w:sz w:val="20"/>
          <w:szCs w:val="20"/>
          <w:color w:val="auto"/>
        </w:rPr>
      </w:pPr>
    </w:p>
    <w:tbl>
      <w:tblPr>
        <w:tblLayout w:type="fixed"/>
        <w:tblInd w:w="32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Beginning</w:t>
            </w:r>
          </w:p>
        </w:tc>
        <w:tc>
          <w:tcPr>
            <w:tcW w:w="14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19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760" w:type="dxa"/>
            <w:vAlign w:val="bottom"/>
            <w:tcBorders>
              <w:bottom w:val="single" w:sz="8" w:color="auto"/>
            </w:tcBorders>
            <w:gridSpan w:val="2"/>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2"/>
                <w:szCs w:val="12"/>
                <w:color w:val="auto"/>
              </w:rPr>
            </w:pPr>
          </w:p>
        </w:tc>
        <w:tc>
          <w:tcPr>
            <w:tcW w:w="120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8,857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(1,596)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(1,596)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20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(3,375)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(3,375)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23" w:name="page24"/>
    <w:bookmarkEnd w:id="23"/>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66369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636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Allowance for Loan Losses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Beginning</w:t>
            </w:r>
          </w:p>
        </w:tc>
        <w:tc>
          <w:tcPr>
            <w:tcW w:w="14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198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4"/>
                <w:szCs w:val="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760" w:type="dxa"/>
            <w:vAlign w:val="bottom"/>
            <w:tcBorders>
              <w:bottom w:val="single" w:sz="8" w:color="auto"/>
            </w:tcBorders>
            <w:gridSpan w:val="2"/>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2"/>
                <w:szCs w:val="12"/>
                <w:color w:val="auto"/>
              </w:rPr>
            </w:pPr>
          </w:p>
        </w:tc>
        <w:tc>
          <w:tcPr>
            <w:tcW w:w="120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9"/>
              <w:spacing w:after="0" w:line="12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20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1,467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mentioned in Note 1, the allowance for loan losses is believed to adequately provide for probable future losses on existing loans. A major consideration in the determination of the allowance for loan loss on the credit card portfolio is based on historical loss experience in that portfolio and is calculated using both secured and unsecured loan balances.</w:t>
      </w:r>
    </w:p>
    <w:p>
      <w:pPr>
        <w:spacing w:after="0" w:line="20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 Composition</w:t>
      </w:r>
    </w:p>
    <w:p>
      <w:pPr>
        <w:spacing w:after="0" w:line="54"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rPr>
              <w:t>Allowance for Loan Losses</w:t>
            </w:r>
          </w:p>
        </w:tc>
        <w:tc>
          <w:tcPr>
            <w:tcW w:w="240" w:type="dxa"/>
            <w:vAlign w:val="bottom"/>
          </w:tcPr>
          <w:p>
            <w:pPr>
              <w:spacing w:after="0"/>
              <w:rPr>
                <w:sz w:val="12"/>
                <w:szCs w:val="12"/>
                <w:color w:val="auto"/>
              </w:rPr>
            </w:pPr>
          </w:p>
        </w:tc>
        <w:tc>
          <w:tcPr>
            <w:tcW w:w="2540" w:type="dxa"/>
            <w:vAlign w:val="bottom"/>
            <w:gridSpan w:val="4"/>
          </w:tcPr>
          <w:p>
            <w:pPr>
              <w:jc w:val="center"/>
              <w:spacing w:after="0"/>
              <w:rPr>
                <w:sz w:val="20"/>
                <w:szCs w:val="20"/>
                <w:color w:val="auto"/>
              </w:rPr>
            </w:pPr>
            <w:r>
              <w:rPr>
                <w:rFonts w:ascii="Arial" w:cs="Arial" w:eastAsia="Arial" w:hAnsi="Arial"/>
                <w:sz w:val="12"/>
                <w:szCs w:val="12"/>
                <w:b w:val="1"/>
                <w:bCs w:val="1"/>
                <w:color w:val="auto"/>
              </w:rPr>
              <w:t>Outstanding Portfolio</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60" w:type="dxa"/>
            <w:vAlign w:val="bottom"/>
            <w:gridSpan w:val="5"/>
          </w:tcPr>
          <w:p>
            <w:pPr>
              <w:jc w:val="center"/>
              <w:ind w:right="360"/>
              <w:spacing w:after="0" w:line="126" w:lineRule="exact"/>
              <w:rPr>
                <w:sz w:val="20"/>
                <w:szCs w:val="20"/>
                <w:color w:val="auto"/>
              </w:rPr>
            </w:pPr>
            <w:r>
              <w:rPr>
                <w:rFonts w:ascii="Arial" w:cs="Arial" w:eastAsia="Arial" w:hAnsi="Arial"/>
                <w:sz w:val="12"/>
                <w:szCs w:val="12"/>
                <w:b w:val="1"/>
                <w:bCs w:val="1"/>
                <w:color w:val="auto"/>
              </w:rPr>
              <w:t>Ending Balance Evaluated</w:t>
            </w:r>
          </w:p>
        </w:tc>
        <w:tc>
          <w:tcPr>
            <w:tcW w:w="240" w:type="dxa"/>
            <w:vAlign w:val="bottom"/>
          </w:tcPr>
          <w:p>
            <w:pPr>
              <w:spacing w:after="0"/>
              <w:rPr>
                <w:sz w:val="10"/>
                <w:szCs w:val="10"/>
                <w:color w:val="auto"/>
              </w:rPr>
            </w:pPr>
          </w:p>
        </w:tc>
        <w:tc>
          <w:tcPr>
            <w:tcW w:w="2540" w:type="dxa"/>
            <w:vAlign w:val="bottom"/>
            <w:gridSpan w:val="4"/>
          </w:tcPr>
          <w:p>
            <w:pPr>
              <w:jc w:val="center"/>
              <w:spacing w:after="0" w:line="126" w:lineRule="exact"/>
              <w:rPr>
                <w:sz w:val="20"/>
                <w:szCs w:val="20"/>
                <w:color w:val="auto"/>
              </w:rPr>
            </w:pPr>
            <w:r>
              <w:rPr>
                <w:rFonts w:ascii="Arial" w:cs="Arial" w:eastAsia="Arial" w:hAnsi="Arial"/>
                <w:sz w:val="12"/>
                <w:szCs w:val="12"/>
                <w:b w:val="1"/>
                <w:bCs w:val="1"/>
                <w:color w:val="auto"/>
              </w:rPr>
              <w:t>Loan Balances Evaluated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2"/>
                <w:szCs w:val="12"/>
                <w:b w:val="1"/>
                <w:bCs w:val="1"/>
                <w:color w:val="auto"/>
              </w:rPr>
              <w:t>for Impairment: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for Impairment: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Individually</w:t>
            </w:r>
          </w:p>
        </w:tc>
        <w:tc>
          <w:tcPr>
            <w:tcW w:w="22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Collectively</w:t>
            </w:r>
          </w:p>
        </w:tc>
        <w:tc>
          <w:tcPr>
            <w:tcW w:w="2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Individually</w:t>
            </w:r>
          </w:p>
        </w:tc>
        <w:tc>
          <w:tcPr>
            <w:tcW w:w="240" w:type="dxa"/>
            <w:vAlign w:val="bottom"/>
          </w:tcPr>
          <w:p>
            <w:pPr>
              <w:spacing w:after="0"/>
              <w:rPr>
                <w:sz w:val="13"/>
                <w:szCs w:val="13"/>
                <w:color w:val="auto"/>
              </w:rPr>
            </w:pPr>
          </w:p>
        </w:tc>
        <w:tc>
          <w:tcPr>
            <w:tcW w:w="980" w:type="dxa"/>
            <w:vAlign w:val="bottom"/>
          </w:tcPr>
          <w:p>
            <w:pPr>
              <w:jc w:val="right"/>
              <w:ind w:right="90"/>
              <w:spacing w:after="0"/>
              <w:rPr>
                <w:sz w:val="20"/>
                <w:szCs w:val="20"/>
                <w:color w:val="auto"/>
              </w:rPr>
            </w:pPr>
            <w:r>
              <w:rPr>
                <w:rFonts w:ascii="Arial" w:cs="Arial" w:eastAsia="Arial" w:hAnsi="Arial"/>
                <w:sz w:val="12"/>
                <w:szCs w:val="12"/>
                <w:b w:val="1"/>
                <w:bCs w:val="1"/>
                <w:color w:val="auto"/>
              </w:rPr>
              <w:t>Collectively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color w:val="auto"/>
              </w:rPr>
              <w:t>Real estate:</w:t>
            </w:r>
          </w:p>
        </w:tc>
        <w:tc>
          <w:tcPr>
            <w:tcW w:w="38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5,969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8,368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624,4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191,3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8,420</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84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loans, segregated by age and class of loans, as of September 30, 2022 and December 31, 2021 were as follows:</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Portfolio Loans Past Due</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360" w:type="dxa"/>
            <w:vAlign w:val="bottom"/>
            <w:gridSpan w:val="3"/>
            <w:vMerge w:val="restart"/>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Accruing</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Total Past</w:t>
            </w:r>
          </w:p>
        </w:tc>
        <w:tc>
          <w:tcPr>
            <w:tcW w:w="20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rPr>
              <w:t>Current</w:t>
            </w: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rPr>
              <w:t>Loans 90 or</w:t>
            </w:r>
          </w:p>
        </w:tc>
        <w:tc>
          <w:tcPr>
            <w:tcW w:w="140" w:type="dxa"/>
            <w:vAlign w:val="bottom"/>
          </w:tcPr>
          <w:p>
            <w:pPr>
              <w:spacing w:after="0"/>
              <w:rPr>
                <w:sz w:val="10"/>
                <w:szCs w:val="10"/>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rPr>
                <w:sz w:val="1"/>
                <w:szCs w:val="1"/>
                <w:color w:val="auto"/>
              </w:rPr>
            </w:pPr>
          </w:p>
        </w:tc>
      </w:tr>
      <w:tr>
        <w:trPr>
          <w:trHeight w:val="124"/>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rPr>
              <w:t>30-89 Days</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rPr>
              <w:t>Portfolio</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rPr>
              <w:t>More Days</w:t>
            </w: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Due Loans</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Past Due</w:t>
            </w:r>
          </w:p>
        </w:tc>
        <w:tc>
          <w:tcPr>
            <w:tcW w:w="140" w:type="dxa"/>
            <w:vAlign w:val="bottom"/>
          </w:tcPr>
          <w:p>
            <w:pPr>
              <w:spacing w:after="0"/>
              <w:rPr>
                <w:sz w:val="12"/>
                <w:szCs w:val="12"/>
                <w:color w:val="auto"/>
              </w:rPr>
            </w:pPr>
          </w:p>
        </w:tc>
        <w:tc>
          <w:tcPr>
            <w:tcW w:w="940" w:type="dxa"/>
            <w:vAlign w:val="bottom"/>
          </w:tcPr>
          <w:p>
            <w:pPr>
              <w:jc w:val="right"/>
              <w:ind w:right="290"/>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20"/>
        </w:trPr>
        <w:tc>
          <w:tcPr>
            <w:tcW w:w="132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Real estate:</w:t>
            </w:r>
          </w:p>
        </w:tc>
        <w:tc>
          <w:tcPr>
            <w:tcW w:w="20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20" w:type="dxa"/>
            <w:vAlign w:val="bottom"/>
            <w:gridSpan w:val="2"/>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462,742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466,849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3,165</w:t>
            </w:r>
          </w:p>
        </w:tc>
        <w:tc>
          <w:tcPr>
            <w:tcW w:w="0" w:type="dxa"/>
            <w:vAlign w:val="bottom"/>
          </w:tcPr>
          <w:p>
            <w:pPr>
              <w:spacing w:after="0"/>
              <w:rPr>
                <w:sz w:val="1"/>
                <w:szCs w:val="1"/>
                <w:color w:val="auto"/>
              </w:rPr>
            </w:pPr>
          </w:p>
        </w:tc>
      </w:tr>
      <w:tr>
        <w:trPr>
          <w:trHeight w:val="193"/>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625,073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626,030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1,560</w:t>
            </w:r>
          </w:p>
        </w:tc>
        <w:tc>
          <w:tcPr>
            <w:tcW w:w="0" w:type="dxa"/>
            <w:vAlign w:val="bottom"/>
          </w:tcPr>
          <w:p>
            <w:pPr>
              <w:spacing w:after="0"/>
              <w:rPr>
                <w:sz w:val="1"/>
                <w:szCs w:val="1"/>
                <w:color w:val="auto"/>
              </w:rPr>
            </w:pPr>
          </w:p>
        </w:tc>
      </w:tr>
      <w:tr>
        <w:trPr>
          <w:trHeight w:val="204"/>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231,350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235,045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2,852</w:t>
            </w:r>
          </w:p>
        </w:tc>
        <w:tc>
          <w:tcPr>
            <w:tcW w:w="0" w:type="dxa"/>
            <w:vAlign w:val="bottom"/>
          </w:tcPr>
          <w:p>
            <w:pPr>
              <w:spacing w:after="0"/>
              <w:rPr>
                <w:sz w:val="1"/>
                <w:szCs w:val="1"/>
                <w:color w:val="auto"/>
              </w:rPr>
            </w:pPr>
          </w:p>
        </w:tc>
      </w:tr>
      <w:tr>
        <w:trPr>
          <w:trHeight w:val="193"/>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191,093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192,207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843</w:t>
            </w:r>
          </w:p>
        </w:tc>
        <w:tc>
          <w:tcPr>
            <w:tcW w:w="0" w:type="dxa"/>
            <w:vAlign w:val="bottom"/>
          </w:tcPr>
          <w:p>
            <w:pPr>
              <w:spacing w:after="0"/>
              <w:rPr>
                <w:sz w:val="1"/>
                <w:szCs w:val="1"/>
                <w:color w:val="auto"/>
              </w:rPr>
            </w:pPr>
          </w:p>
        </w:tc>
      </w:tr>
      <w:tr>
        <w:trPr>
          <w:trHeight w:val="204"/>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118,031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136,658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1,055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1,629,344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1,657,844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December 31, 2021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Real estate:</w:t>
            </w:r>
          </w:p>
        </w:tc>
        <w:tc>
          <w:tcPr>
            <w:tcW w:w="208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398,644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93"/>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555,947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4"/>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247,344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0" w:type="dxa"/>
            <w:vAlign w:val="bottom"/>
          </w:tcPr>
          <w:p>
            <w:pPr>
              <w:spacing w:after="0"/>
              <w:rPr>
                <w:sz w:val="1"/>
                <w:szCs w:val="1"/>
                <w:color w:val="auto"/>
              </w:rPr>
            </w:pPr>
          </w:p>
        </w:tc>
      </w:tr>
      <w:tr>
        <w:trPr>
          <w:trHeight w:val="193"/>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175,180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175,956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04"/>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122,088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1,500,236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1,531,202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There were $1.4 million and $6 thousand of loans secured by one-to-four family residential properties in the process of foreclosure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6636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6369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Impaired portfolio loans were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Impaired Portfolio Loans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Unpaid</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Recorded</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Recorded</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gridSpan w:val="3"/>
            <w:vMerge w:val="restart"/>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0"/>
                <w:szCs w:val="10"/>
                <w:color w:val="auto"/>
              </w:rPr>
            </w:pPr>
          </w:p>
        </w:tc>
        <w:tc>
          <w:tcPr>
            <w:tcW w:w="1140" w:type="dxa"/>
            <w:vAlign w:val="bottom"/>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rPr>
              <w:t>Contractual</w:t>
            </w:r>
          </w:p>
        </w:tc>
        <w:tc>
          <w:tcPr>
            <w:tcW w:w="180" w:type="dxa"/>
            <w:vAlign w:val="bottom"/>
          </w:tcPr>
          <w:p>
            <w:pPr>
              <w:spacing w:after="0"/>
              <w:rPr>
                <w:sz w:val="10"/>
                <w:szCs w:val="10"/>
                <w:color w:val="auto"/>
              </w:rPr>
            </w:pPr>
          </w:p>
        </w:tc>
        <w:tc>
          <w:tcPr>
            <w:tcW w:w="1120" w:type="dxa"/>
            <w:vAlign w:val="bottom"/>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7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vMerge w:val="restart"/>
          </w:tcPr>
          <w:p>
            <w:pPr>
              <w:jc w:val="center"/>
              <w:ind w:right="300"/>
              <w:spacing w:after="0" w:line="133" w:lineRule="exact"/>
              <w:rPr>
                <w:sz w:val="20"/>
                <w:szCs w:val="20"/>
                <w:color w:val="auto"/>
              </w:rPr>
            </w:pPr>
            <w:r>
              <w:rPr>
                <w:rFonts w:ascii="Arial" w:cs="Arial" w:eastAsia="Arial" w:hAnsi="Arial"/>
                <w:sz w:val="12"/>
                <w:szCs w:val="12"/>
                <w:b w:val="1"/>
                <w:bCs w:val="1"/>
                <w:color w:val="auto"/>
              </w:rPr>
              <w:t>Principal</w:t>
            </w:r>
          </w:p>
        </w:tc>
        <w:tc>
          <w:tcPr>
            <w:tcW w:w="180" w:type="dxa"/>
            <w:vAlign w:val="bottom"/>
          </w:tcPr>
          <w:p>
            <w:pPr>
              <w:spacing w:after="0"/>
              <w:rPr>
                <w:sz w:val="6"/>
                <w:szCs w:val="6"/>
                <w:color w:val="auto"/>
              </w:rPr>
            </w:pPr>
          </w:p>
        </w:tc>
        <w:tc>
          <w:tcPr>
            <w:tcW w:w="1120" w:type="dxa"/>
            <w:vAlign w:val="bottom"/>
            <w:gridSpan w:val="2"/>
            <w:vMerge w:val="restart"/>
          </w:tcPr>
          <w:p>
            <w:pPr>
              <w:jc w:val="center"/>
              <w:ind w:right="300"/>
              <w:spacing w:after="0" w:line="133" w:lineRule="exact"/>
              <w:rPr>
                <w:sz w:val="20"/>
                <w:szCs w:val="20"/>
                <w:color w:val="auto"/>
              </w:rPr>
            </w:pPr>
            <w:r>
              <w:rPr>
                <w:rFonts w:ascii="Arial" w:cs="Arial" w:eastAsia="Arial" w:hAnsi="Arial"/>
                <w:sz w:val="12"/>
                <w:szCs w:val="12"/>
                <w:b w:val="1"/>
                <w:bCs w:val="1"/>
                <w:color w:val="auto"/>
              </w:rPr>
              <w:t>With No</w:t>
            </w:r>
          </w:p>
        </w:tc>
        <w:tc>
          <w:tcPr>
            <w:tcW w:w="200" w:type="dxa"/>
            <w:vAlign w:val="bottom"/>
          </w:tcPr>
          <w:p>
            <w:pPr>
              <w:spacing w:after="0"/>
              <w:rPr>
                <w:sz w:val="6"/>
                <w:szCs w:val="6"/>
                <w:color w:val="auto"/>
              </w:rPr>
            </w:pPr>
          </w:p>
        </w:tc>
        <w:tc>
          <w:tcPr>
            <w:tcW w:w="1120" w:type="dxa"/>
            <w:vAlign w:val="bottom"/>
            <w:gridSpan w:val="2"/>
            <w:vMerge w:val="restart"/>
          </w:tcPr>
          <w:p>
            <w:pPr>
              <w:jc w:val="center"/>
              <w:ind w:right="300"/>
              <w:spacing w:after="0" w:line="133" w:lineRule="exact"/>
              <w:rPr>
                <w:sz w:val="20"/>
                <w:szCs w:val="20"/>
                <w:color w:val="auto"/>
              </w:rPr>
            </w:pPr>
            <w:r>
              <w:rPr>
                <w:rFonts w:ascii="Arial" w:cs="Arial" w:eastAsia="Arial" w:hAnsi="Arial"/>
                <w:sz w:val="12"/>
                <w:szCs w:val="12"/>
                <w:b w:val="1"/>
                <w:bCs w:val="1"/>
                <w:color w:val="auto"/>
                <w:w w:val="99"/>
              </w:rPr>
              <w:t>With</w:t>
            </w:r>
          </w:p>
        </w:tc>
        <w:tc>
          <w:tcPr>
            <w:tcW w:w="200" w:type="dxa"/>
            <w:vAlign w:val="bottom"/>
          </w:tcPr>
          <w:p>
            <w:pPr>
              <w:spacing w:after="0"/>
              <w:rPr>
                <w:sz w:val="6"/>
                <w:szCs w:val="6"/>
                <w:color w:val="auto"/>
              </w:rPr>
            </w:pPr>
          </w:p>
        </w:tc>
        <w:tc>
          <w:tcPr>
            <w:tcW w:w="1140" w:type="dxa"/>
            <w:vAlign w:val="bottom"/>
            <w:gridSpan w:val="2"/>
            <w:vMerge w:val="restart"/>
          </w:tcPr>
          <w:p>
            <w:pPr>
              <w:jc w:val="center"/>
              <w:ind w:right="320"/>
              <w:spacing w:after="0" w:line="133" w:lineRule="exact"/>
              <w:rPr>
                <w:sz w:val="20"/>
                <w:szCs w:val="20"/>
                <w:color w:val="auto"/>
              </w:rPr>
            </w:pPr>
            <w:r>
              <w:rPr>
                <w:rFonts w:ascii="Arial" w:cs="Arial" w:eastAsia="Arial" w:hAnsi="Arial"/>
                <w:sz w:val="12"/>
                <w:szCs w:val="12"/>
                <w:b w:val="1"/>
                <w:bCs w:val="1"/>
                <w:color w:val="auto"/>
              </w:rPr>
              <w:t>Recorded</w:t>
            </w:r>
          </w:p>
        </w:tc>
        <w:tc>
          <w:tcPr>
            <w:tcW w:w="200" w:type="dxa"/>
            <w:vAlign w:val="bottom"/>
          </w:tcPr>
          <w:p>
            <w:pPr>
              <w:spacing w:after="0"/>
              <w:rPr>
                <w:sz w:val="6"/>
                <w:szCs w:val="6"/>
                <w:color w:val="auto"/>
              </w:rPr>
            </w:pPr>
          </w:p>
        </w:tc>
        <w:tc>
          <w:tcPr>
            <w:tcW w:w="780" w:type="dxa"/>
            <w:vAlign w:val="bottom"/>
            <w:vMerge w:val="restart"/>
          </w:tcPr>
          <w:p>
            <w:pPr>
              <w:jc w:val="right"/>
              <w:ind w:right="92"/>
              <w:spacing w:after="0" w:line="133" w:lineRule="exact"/>
              <w:rPr>
                <w:sz w:val="20"/>
                <w:szCs w:val="20"/>
                <w:color w:val="auto"/>
              </w:rPr>
            </w:pPr>
            <w:r>
              <w:rPr>
                <w:rFonts w:ascii="Arial" w:cs="Arial" w:eastAsia="Arial" w:hAnsi="Arial"/>
                <w:sz w:val="12"/>
                <w:szCs w:val="12"/>
                <w:b w:val="1"/>
                <w:bCs w:val="1"/>
                <w:color w:val="auto"/>
              </w:rPr>
              <w:t>Related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Balance</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Allowance</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Allowance</w:t>
            </w:r>
          </w:p>
        </w:tc>
        <w:tc>
          <w:tcPr>
            <w:tcW w:w="20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780" w:type="dxa"/>
            <w:vAlign w:val="bottom"/>
          </w:tcPr>
          <w:p>
            <w:pPr>
              <w:jc w:val="right"/>
              <w:ind w:right="12"/>
              <w:spacing w:after="0" w:line="133" w:lineRule="exact"/>
              <w:rPr>
                <w:sz w:val="20"/>
                <w:szCs w:val="20"/>
                <w:color w:val="auto"/>
              </w:rPr>
            </w:pPr>
            <w:r>
              <w:rPr>
                <w:rFonts w:ascii="Arial" w:cs="Arial" w:eastAsia="Arial" w:hAnsi="Arial"/>
                <w:sz w:val="12"/>
                <w:szCs w:val="12"/>
                <w:b w:val="1"/>
                <w:bCs w:val="1"/>
                <w:color w:val="auto"/>
              </w:rPr>
              <w:t>Allowance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color w:val="auto"/>
              </w:rPr>
              <w:t>Real estate:</w:t>
            </w:r>
          </w:p>
        </w:tc>
        <w:tc>
          <w:tcPr>
            <w:tcW w:w="34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3,329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3,165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1,643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b w:val="1"/>
                <w:bCs w:val="1"/>
                <w:color w:val="auto"/>
              </w:rPr>
              <w:t>1,560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2,939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2,852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1,028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843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8,939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8,420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46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7,885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832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676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11,829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11,339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Interest Recognized on Impaired Portfolio Loans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380" w:type="dxa"/>
            <w:vAlign w:val="bottom"/>
            <w:gridSpan w:val="6"/>
          </w:tcPr>
          <w:p>
            <w:pPr>
              <w:ind w:left="160"/>
              <w:spacing w:after="0"/>
              <w:rPr>
                <w:sz w:val="20"/>
                <w:szCs w:val="20"/>
                <w:color w:val="auto"/>
              </w:rPr>
            </w:pPr>
            <w:r>
              <w:rPr>
                <w:rFonts w:ascii="Arial" w:cs="Arial" w:eastAsia="Arial" w:hAnsi="Arial"/>
                <w:sz w:val="14"/>
                <w:szCs w:val="14"/>
                <w:b w:val="1"/>
                <w:bCs w:val="1"/>
                <w:color w:val="auto"/>
              </w:rPr>
              <w:t>For the Three Months Ended September 30,</w:t>
            </w: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 Ended Septemb</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30, 2022</w:t>
            </w:r>
          </w:p>
        </w:tc>
        <w:tc>
          <w:tcPr>
            <w:tcW w:w="0" w:type="dxa"/>
            <w:vAlign w:val="bottom"/>
          </w:tcPr>
          <w:p>
            <w:pPr>
              <w:spacing w:after="0"/>
              <w:rPr>
                <w:sz w:val="1"/>
                <w:szCs w:val="1"/>
                <w:color w:val="auto"/>
              </w:rPr>
            </w:pPr>
          </w:p>
        </w:tc>
      </w:tr>
      <w:tr>
        <w:trPr>
          <w:trHeight w:val="113"/>
        </w:trPr>
        <w:tc>
          <w:tcPr>
            <w:tcW w:w="5100" w:type="dxa"/>
            <w:vAlign w:val="bottom"/>
          </w:tcPr>
          <w:p>
            <w:pPr>
              <w:spacing w:after="0"/>
              <w:rPr>
                <w:sz w:val="9"/>
                <w:szCs w:val="9"/>
                <w:color w:val="auto"/>
              </w:rPr>
            </w:pPr>
          </w:p>
        </w:tc>
        <w:tc>
          <w:tcPr>
            <w:tcW w:w="1140" w:type="dxa"/>
            <w:vAlign w:val="bottom"/>
          </w:tcPr>
          <w:p>
            <w:pPr>
              <w:jc w:val="center"/>
              <w:ind w:left="354"/>
              <w:spacing w:after="0" w:line="113" w:lineRule="exact"/>
              <w:rPr>
                <w:sz w:val="20"/>
                <w:szCs w:val="20"/>
                <w:color w:val="auto"/>
              </w:rPr>
            </w:pPr>
            <w:r>
              <w:rPr>
                <w:rFonts w:ascii="Arial" w:cs="Arial" w:eastAsia="Arial" w:hAnsi="Arial"/>
                <w:sz w:val="12"/>
                <w:szCs w:val="12"/>
                <w:b w:val="1"/>
                <w:bCs w:val="1"/>
                <w:color w:val="auto"/>
              </w:rPr>
              <w:t>Average</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Interest</w:t>
            </w:r>
          </w:p>
        </w:tc>
        <w:tc>
          <w:tcPr>
            <w:tcW w:w="200" w:type="dxa"/>
            <w:vAlign w:val="bottom"/>
          </w:tcPr>
          <w:p>
            <w:pPr>
              <w:spacing w:after="0"/>
              <w:rPr>
                <w:sz w:val="9"/>
                <w:szCs w:val="9"/>
                <w:color w:val="auto"/>
              </w:rPr>
            </w:pPr>
          </w:p>
        </w:tc>
        <w:tc>
          <w:tcPr>
            <w:tcW w:w="1240" w:type="dxa"/>
            <w:vAlign w:val="bottom"/>
            <w:gridSpan w:val="2"/>
          </w:tcPr>
          <w:p>
            <w:pPr>
              <w:jc w:val="center"/>
              <w:ind w:right="360"/>
              <w:spacing w:after="0" w:line="113" w:lineRule="exact"/>
              <w:rPr>
                <w:sz w:val="20"/>
                <w:szCs w:val="20"/>
                <w:color w:val="auto"/>
              </w:rPr>
            </w:pPr>
            <w:r>
              <w:rPr>
                <w:rFonts w:ascii="Arial" w:cs="Arial" w:eastAsia="Arial" w:hAnsi="Arial"/>
                <w:sz w:val="12"/>
                <w:szCs w:val="12"/>
                <w:b w:val="1"/>
                <w:bCs w:val="1"/>
                <w:color w:val="auto"/>
              </w:rPr>
              <w:t>Average</w:t>
            </w:r>
          </w:p>
        </w:tc>
        <w:tc>
          <w:tcPr>
            <w:tcW w:w="110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140" w:type="dxa"/>
            <w:vAlign w:val="bottom"/>
          </w:tcPr>
          <w:p>
            <w:pPr>
              <w:jc w:val="center"/>
              <w:ind w:left="374"/>
              <w:spacing w:after="0" w:line="120" w:lineRule="exact"/>
              <w:rPr>
                <w:sz w:val="20"/>
                <w:szCs w:val="20"/>
                <w:color w:val="auto"/>
              </w:rPr>
            </w:pPr>
            <w:r>
              <w:rPr>
                <w:rFonts w:ascii="Arial" w:cs="Arial" w:eastAsia="Arial" w:hAnsi="Arial"/>
                <w:sz w:val="12"/>
                <w:szCs w:val="12"/>
                <w:b w:val="1"/>
                <w:bCs w:val="1"/>
                <w:color w:val="auto"/>
              </w:rPr>
              <w:t>Recorded</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rPr>
              <w:t>Recorded</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tcPr>
          <w:p>
            <w:pPr>
              <w:jc w:val="center"/>
              <w:ind w:left="374"/>
              <w:spacing w:after="0"/>
              <w:rPr>
                <w:sz w:val="20"/>
                <w:szCs w:val="20"/>
                <w:color w:val="auto"/>
              </w:rPr>
            </w:pPr>
            <w:r>
              <w:rPr>
                <w:rFonts w:ascii="Arial" w:cs="Arial" w:eastAsia="Arial" w:hAnsi="Arial"/>
                <w:sz w:val="12"/>
                <w:szCs w:val="12"/>
                <w:b w:val="1"/>
                <w:bCs w:val="1"/>
                <w:color w:val="auto"/>
              </w:rPr>
              <w:t>Investment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2"/>
                <w:szCs w:val="12"/>
                <w:b w:val="1"/>
                <w:bCs w:val="1"/>
                <w:color w:val="auto"/>
              </w:rPr>
              <w:t>Recognized</w:t>
            </w:r>
          </w:p>
        </w:tc>
        <w:tc>
          <w:tcPr>
            <w:tcW w:w="2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Investment</w:t>
            </w:r>
          </w:p>
        </w:tc>
        <w:tc>
          <w:tcPr>
            <w:tcW w:w="1100" w:type="dxa"/>
            <w:vAlign w:val="bottom"/>
          </w:tcPr>
          <w:p>
            <w:pPr>
              <w:jc w:val="right"/>
              <w:ind w:right="14"/>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21"/>
        </w:trPr>
        <w:tc>
          <w:tcPr>
            <w:tcW w:w="5100" w:type="dxa"/>
            <w:vAlign w:val="bottom"/>
            <w:vMerge w:val="restart"/>
          </w:tcPr>
          <w:p>
            <w:pPr>
              <w:ind w:left="20"/>
              <w:spacing w:after="0"/>
              <w:rPr>
                <w:sz w:val="20"/>
                <w:szCs w:val="20"/>
                <w:color w:val="auto"/>
              </w:rPr>
            </w:pPr>
            <w:r>
              <w:rPr>
                <w:rFonts w:ascii="Arial" w:cs="Arial" w:eastAsia="Arial" w:hAnsi="Arial"/>
                <w:sz w:val="14"/>
                <w:szCs w:val="14"/>
                <w:color w:val="auto"/>
              </w:rPr>
              <w:t>Real estate:</w:t>
            </w: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51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140" w:type="dxa"/>
            <w:vAlign w:val="bottom"/>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3,329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3,341</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510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1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1,643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1,650</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2,939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2,938</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0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1,242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1,267</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14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9,153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243205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Recognized on Impaired Portfolio Loans</w:t>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254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Nine Months Ended Septemb</w:t>
            </w: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30, 2021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rPr>
              <w:t>Average</w:t>
            </w:r>
          </w:p>
        </w:tc>
        <w:tc>
          <w:tcPr>
            <w:tcW w:w="280" w:type="dxa"/>
            <w:vAlign w:val="bottom"/>
          </w:tcPr>
          <w:p>
            <w:pPr>
              <w:spacing w:after="0"/>
              <w:rPr>
                <w:sz w:val="9"/>
                <w:szCs w:val="9"/>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rPr>
              <w:t>Interest</w:t>
            </w:r>
          </w:p>
        </w:tc>
        <w:tc>
          <w:tcPr>
            <w:tcW w:w="220" w:type="dxa"/>
            <w:vAlign w:val="bottom"/>
          </w:tcPr>
          <w:p>
            <w:pPr>
              <w:spacing w:after="0"/>
              <w:rPr>
                <w:sz w:val="9"/>
                <w:szCs w:val="9"/>
                <w:color w:val="auto"/>
              </w:rPr>
            </w:pPr>
          </w:p>
        </w:tc>
        <w:tc>
          <w:tcPr>
            <w:tcW w:w="1180" w:type="dxa"/>
            <w:vAlign w:val="bottom"/>
            <w:gridSpan w:val="2"/>
          </w:tcPr>
          <w:p>
            <w:pPr>
              <w:jc w:val="center"/>
              <w:ind w:right="300"/>
              <w:spacing w:after="0" w:line="113" w:lineRule="exact"/>
              <w:rPr>
                <w:sz w:val="20"/>
                <w:szCs w:val="20"/>
                <w:color w:val="auto"/>
              </w:rPr>
            </w:pPr>
            <w:r>
              <w:rPr>
                <w:rFonts w:ascii="Arial" w:cs="Arial" w:eastAsia="Arial" w:hAnsi="Arial"/>
                <w:sz w:val="12"/>
                <w:szCs w:val="12"/>
                <w:b w:val="1"/>
                <w:bCs w:val="1"/>
                <w:color w:val="auto"/>
              </w:rPr>
              <w:t>Average</w:t>
            </w:r>
          </w:p>
        </w:tc>
        <w:tc>
          <w:tcPr>
            <w:tcW w:w="280" w:type="dxa"/>
            <w:vAlign w:val="bottom"/>
          </w:tcPr>
          <w:p>
            <w:pPr>
              <w:spacing w:after="0"/>
              <w:rPr>
                <w:sz w:val="9"/>
                <w:szCs w:val="9"/>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Recorded</w:t>
            </w:r>
          </w:p>
        </w:tc>
        <w:tc>
          <w:tcPr>
            <w:tcW w:w="2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rPr>
              <w:t>Recorded</w:t>
            </w: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Investment</w:t>
            </w:r>
          </w:p>
        </w:tc>
        <w:tc>
          <w:tcPr>
            <w:tcW w:w="2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Recognized</w:t>
            </w:r>
          </w:p>
        </w:tc>
        <w:tc>
          <w:tcPr>
            <w:tcW w:w="2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Investment</w:t>
            </w:r>
          </w:p>
        </w:tc>
        <w:tc>
          <w:tcPr>
            <w:tcW w:w="280" w:type="dxa"/>
            <w:vAlign w:val="bottom"/>
          </w:tcPr>
          <w:p>
            <w:pPr>
              <w:spacing w:after="0"/>
              <w:rPr>
                <w:sz w:val="15"/>
                <w:szCs w:val="15"/>
                <w:color w:val="auto"/>
              </w:rPr>
            </w:pPr>
          </w:p>
        </w:tc>
        <w:tc>
          <w:tcPr>
            <w:tcW w:w="860" w:type="dxa"/>
            <w:vAlign w:val="bottom"/>
          </w:tcPr>
          <w:p>
            <w:pPr>
              <w:jc w:val="right"/>
              <w:ind w:right="52"/>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3"/>
        </w:trPr>
        <w:tc>
          <w:tcPr>
            <w:tcW w:w="514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5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Impaired portfolio loans include loans acquired on which management has recorded a nonaccretable discount.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20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40" w:type="dxa"/>
            <w:vAlign w:val="bottom"/>
            <w:gridSpan w:val="3"/>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39"/>
        </w:trPr>
        <w:tc>
          <w:tcPr>
            <w:tcW w:w="394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September 30, 2022</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920" w:type="dxa"/>
            <w:vAlign w:val="bottom"/>
            <w:gridSpan w:val="2"/>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451,471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9,751</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5,627</w:t>
            </w:r>
          </w:p>
        </w:tc>
        <w:tc>
          <w:tcPr>
            <w:tcW w:w="120" w:type="dxa"/>
            <w:vAlign w:val="bottom"/>
          </w:tcPr>
          <w:p>
            <w:pPr>
              <w:spacing w:after="0"/>
              <w:rPr>
                <w:sz w:val="16"/>
                <w:szCs w:val="16"/>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466,849</w:t>
            </w:r>
          </w:p>
        </w:tc>
      </w:tr>
      <w:tr>
        <w:trPr>
          <w:trHeight w:val="204"/>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618,461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6,009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1,560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626,030</w:t>
            </w:r>
          </w:p>
        </w:tc>
      </w:tr>
      <w:tr>
        <w:trPr>
          <w:trHeight w:val="193"/>
        </w:trPr>
        <w:tc>
          <w:tcPr>
            <w:tcW w:w="20" w:type="dxa"/>
            <w:vAlign w:val="bottom"/>
          </w:tcPr>
          <w:p>
            <w:pPr>
              <w:spacing w:after="0"/>
              <w:rPr>
                <w:sz w:val="16"/>
                <w:szCs w:val="16"/>
                <w:color w:val="auto"/>
              </w:rPr>
            </w:pPr>
          </w:p>
        </w:tc>
        <w:tc>
          <w:tcPr>
            <w:tcW w:w="3920" w:type="dxa"/>
            <w:vAlign w:val="bottom"/>
            <w:gridSpan w:val="2"/>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232,193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2,852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235,045</w:t>
            </w:r>
          </w:p>
        </w:tc>
      </w:tr>
      <w:tr>
        <w:trPr>
          <w:trHeight w:val="204"/>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186,448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1,543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192,207</w:t>
            </w:r>
          </w:p>
        </w:tc>
      </w:tr>
      <w:tr>
        <w:trPr>
          <w:trHeight w:val="193"/>
        </w:trPr>
        <w:tc>
          <w:tcPr>
            <w:tcW w:w="3940" w:type="dxa"/>
            <w:vAlign w:val="bottom"/>
            <w:gridSpan w:val="3"/>
          </w:tcPr>
          <w:p>
            <w:pPr>
              <w:ind w:left="20"/>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136,658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136,658</w:t>
            </w:r>
          </w:p>
        </w:tc>
      </w:tr>
      <w:tr>
        <w:trPr>
          <w:trHeight w:val="204"/>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1,055</w:t>
            </w:r>
          </w:p>
        </w:tc>
      </w:tr>
      <w:tr>
        <w:trPr>
          <w:trHeight w:val="192"/>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1,626,286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19,976</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11,582</w:t>
            </w:r>
          </w:p>
        </w:tc>
        <w:tc>
          <w:tcPr>
            <w:tcW w:w="1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1,657,844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6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9"/>
        </w:trPr>
        <w:tc>
          <w:tcPr>
            <w:tcW w:w="39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920" w:type="dxa"/>
            <w:vAlign w:val="bottom"/>
            <w:gridSpan w:val="2"/>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394,488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4,579</w:t>
            </w:r>
          </w:p>
        </w:tc>
        <w:tc>
          <w:tcPr>
            <w:tcW w:w="120" w:type="dxa"/>
            <w:vAlign w:val="bottom"/>
          </w:tcPr>
          <w:p>
            <w:pPr>
              <w:spacing w:after="0"/>
              <w:rPr>
                <w:sz w:val="16"/>
                <w:szCs w:val="16"/>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401,607</w:t>
            </w:r>
          </w:p>
        </w:tc>
      </w:tr>
      <w:tr>
        <w:trPr>
          <w:trHeight w:val="204"/>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556,339</w:t>
            </w:r>
          </w:p>
        </w:tc>
      </w:tr>
      <w:tr>
        <w:trPr>
          <w:trHeight w:val="193"/>
        </w:trPr>
        <w:tc>
          <w:tcPr>
            <w:tcW w:w="20" w:type="dxa"/>
            <w:vAlign w:val="bottom"/>
          </w:tcPr>
          <w:p>
            <w:pPr>
              <w:spacing w:after="0"/>
              <w:rPr>
                <w:sz w:val="16"/>
                <w:szCs w:val="16"/>
                <w:color w:val="auto"/>
              </w:rPr>
            </w:pPr>
          </w:p>
        </w:tc>
        <w:tc>
          <w:tcPr>
            <w:tcW w:w="3920" w:type="dxa"/>
            <w:vAlign w:val="bottom"/>
            <w:gridSpan w:val="2"/>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243,848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7,803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255,147</w:t>
            </w:r>
          </w:p>
        </w:tc>
      </w:tr>
      <w:tr>
        <w:trPr>
          <w:trHeight w:val="204"/>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175,956</w:t>
            </w:r>
          </w:p>
        </w:tc>
      </w:tr>
      <w:tr>
        <w:trPr>
          <w:trHeight w:val="193"/>
        </w:trPr>
        <w:tc>
          <w:tcPr>
            <w:tcW w:w="3940" w:type="dxa"/>
            <w:vAlign w:val="bottom"/>
            <w:gridSpan w:val="3"/>
          </w:tcPr>
          <w:p>
            <w:pPr>
              <w:ind w:left="20"/>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141,120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141,120</w:t>
            </w:r>
          </w:p>
        </w:tc>
      </w:tr>
      <w:tr>
        <w:trPr>
          <w:trHeight w:val="199"/>
        </w:trPr>
        <w:tc>
          <w:tcPr>
            <w:tcW w:w="3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98"/>
        </w:trPr>
        <w:tc>
          <w:tcPr>
            <w:tcW w:w="20" w:type="dxa"/>
            <w:vAlign w:val="bottom"/>
          </w:tcPr>
          <w:p>
            <w:pPr>
              <w:spacing w:after="0"/>
              <w:rPr>
                <w:sz w:val="17"/>
                <w:szCs w:val="17"/>
                <w:color w:val="auto"/>
              </w:rPr>
            </w:pPr>
          </w:p>
        </w:tc>
        <w:tc>
          <w:tcPr>
            <w:tcW w:w="3920" w:type="dxa"/>
            <w:vAlign w:val="bottom"/>
            <w:gridSpan w:val="2"/>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1,492,799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24,523</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13,880</w:t>
            </w:r>
          </w:p>
        </w:tc>
        <w:tc>
          <w:tcPr>
            <w:tcW w:w="120" w:type="dxa"/>
            <w:vAlign w:val="bottom"/>
          </w:tcPr>
          <w:p>
            <w:pPr>
              <w:spacing w:after="0"/>
              <w:rPr>
                <w:sz w:val="17"/>
                <w:szCs w:val="17"/>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1,531,202</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198" w:lineRule="auto"/>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Pass includes loans graded exceptional, very good, good, satisfactory and pass/watch, in addition to credit cards and consumer credits that are not individually graded.</w:t>
      </w:r>
    </w:p>
    <w:p>
      <w:pPr>
        <w:spacing w:after="0" w:line="24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Modifications such as payment deferrals through September 30, 2022 have been short term in nature and are included in the population of loans deferred and have not impacted TDRs. The status of TDRs is as follows: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Troubled Debt Restructurings</w:t>
      </w:r>
    </w:p>
    <w:p>
      <w:pPr>
        <w:spacing w:after="0" w:line="4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Recorded Investment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September 30, 2022</w:t>
            </w:r>
          </w:p>
        </w:tc>
        <w:tc>
          <w:tcPr>
            <w:tcW w:w="1680" w:type="dxa"/>
            <w:vAlign w:val="bottom"/>
            <w:gridSpan w:val="2"/>
          </w:tcPr>
          <w:p>
            <w:pPr>
              <w:jc w:val="center"/>
              <w:ind w:right="140"/>
              <w:spacing w:after="0" w:line="138" w:lineRule="exact"/>
              <w:rPr>
                <w:sz w:val="20"/>
                <w:szCs w:val="20"/>
                <w:color w:val="auto"/>
              </w:rPr>
            </w:pPr>
            <w:r>
              <w:rPr>
                <w:rFonts w:ascii="Arial" w:cs="Arial" w:eastAsia="Arial" w:hAnsi="Arial"/>
                <w:sz w:val="14"/>
                <w:szCs w:val="14"/>
                <w:b w:val="1"/>
                <w:bCs w:val="1"/>
                <w:color w:val="auto"/>
              </w:rPr>
              <w:t>Contracts</w:t>
            </w:r>
          </w:p>
        </w:tc>
        <w:tc>
          <w:tcPr>
            <w:tcW w:w="240" w:type="dxa"/>
            <w:vAlign w:val="bottom"/>
          </w:tcPr>
          <w:p>
            <w:pPr>
              <w:spacing w:after="0"/>
              <w:rPr>
                <w:sz w:val="13"/>
                <w:szCs w:val="13"/>
                <w:color w:val="auto"/>
              </w:rPr>
            </w:pPr>
          </w:p>
        </w:tc>
        <w:tc>
          <w:tcPr>
            <w:tcW w:w="142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76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Nonperforming</w:t>
            </w:r>
          </w:p>
        </w:tc>
        <w:tc>
          <w:tcPr>
            <w:tcW w:w="340" w:type="dxa"/>
            <w:vAlign w:val="bottom"/>
          </w:tcPr>
          <w:p>
            <w:pPr>
              <w:spacing w:after="0"/>
              <w:rPr>
                <w:sz w:val="13"/>
                <w:szCs w:val="13"/>
                <w:color w:val="auto"/>
              </w:rPr>
            </w:pPr>
          </w:p>
        </w:tc>
        <w:tc>
          <w:tcPr>
            <w:tcW w:w="920" w:type="dxa"/>
            <w:vAlign w:val="bottom"/>
          </w:tcPr>
          <w:p>
            <w:pPr>
              <w:jc w:val="right"/>
              <w:ind w:right="289"/>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color w:val="auto"/>
              </w:rPr>
              <w:t>Real estate:</w:t>
            </w:r>
          </w:p>
        </w:tc>
        <w:tc>
          <w:tcPr>
            <w:tcW w:w="322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5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5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260" w:type="dxa"/>
            <w:vAlign w:val="bottom"/>
            <w:tcBorders>
              <w:bottom w:val="single" w:sz="8" w:color="CCEEFF"/>
            </w:tcBorders>
            <w:gridSpan w:val="2"/>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7"/>
          <w:szCs w:val="17"/>
          <w:color w:val="auto"/>
        </w:rPr>
        <w:t>During the three and nine months ended September 30, 2022 the Company did not have any new TDRs and no TDRs defaulted during the same periods. There were no new TDRs added during the three months ended September 30, 2021. There was one new residential TDR during the nine months ended September 30, 2021 for $319 thousand in which the borrower was granted a rate reduction and payment recast. There was one commercial and industrial TDR that was paid off during the nine months ended September 30, 2021 for $200 thousand.</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Outstanding loan commitments were as follows: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Loan Commitments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70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6"/>
                <w:szCs w:val="16"/>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520" w:type="dxa"/>
            <w:vAlign w:val="bottom"/>
          </w:tcPr>
          <w:p>
            <w:pPr>
              <w:jc w:val="right"/>
              <w:ind w:right="49"/>
              <w:spacing w:after="0"/>
              <w:rPr>
                <w:sz w:val="20"/>
                <w:szCs w:val="20"/>
                <w:color w:val="auto"/>
              </w:rPr>
            </w:pPr>
            <w:r>
              <w:rPr>
                <w:rFonts w:ascii="Arial" w:cs="Arial" w:eastAsia="Arial" w:hAnsi="Arial"/>
                <w:sz w:val="14"/>
                <w:szCs w:val="14"/>
                <w:b w:val="1"/>
                <w:bCs w:val="1"/>
                <w:color w:val="auto"/>
              </w:rPr>
              <w:t>December 31, 2021</w:t>
            </w:r>
          </w:p>
        </w:tc>
      </w:tr>
      <w:tr>
        <w:trPr>
          <w:trHeight w:val="180"/>
        </w:trPr>
        <w:tc>
          <w:tcPr>
            <w:tcW w:w="7020" w:type="dxa"/>
            <w:vAlign w:val="bottom"/>
          </w:tcPr>
          <w:p>
            <w:pPr>
              <w:ind w:left="20"/>
              <w:spacing w:after="0"/>
              <w:rPr>
                <w:sz w:val="20"/>
                <w:szCs w:val="20"/>
                <w:color w:val="auto"/>
              </w:rPr>
            </w:pPr>
            <w:r>
              <w:rPr>
                <w:rFonts w:ascii="Arial" w:cs="Arial" w:eastAsia="Arial" w:hAnsi="Arial"/>
                <w:sz w:val="14"/>
                <w:szCs w:val="14"/>
                <w:color w:val="auto"/>
              </w:rPr>
              <w:t>Unused lines of credit</w:t>
            </w:r>
          </w:p>
        </w:tc>
        <w:tc>
          <w:tcPr>
            <w:tcW w:w="26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04"/>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3"/>
        </w:trPr>
        <w:tc>
          <w:tcPr>
            <w:tcW w:w="7020" w:type="dxa"/>
            <w:vAlign w:val="bottom"/>
          </w:tcPr>
          <w:p>
            <w:pPr>
              <w:ind w:left="220"/>
              <w:spacing w:after="0"/>
              <w:rPr>
                <w:sz w:val="20"/>
                <w:szCs w:val="20"/>
                <w:color w:val="auto"/>
              </w:rPr>
            </w:pPr>
            <w:r>
              <w:rPr>
                <w:rFonts w:ascii="Arial" w:cs="Arial" w:eastAsia="Arial" w:hAnsi="Arial"/>
                <w:sz w:val="14"/>
                <w:szCs w:val="14"/>
                <w:color w:val="auto"/>
              </w:rPr>
              <w:t>Residential</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900" w:type="dxa"/>
            <w:vAlign w:val="bottom"/>
          </w:tcPr>
          <w:p>
            <w:pPr>
              <w:jc w:val="right"/>
              <w:ind w:right="9"/>
              <w:spacing w:after="0"/>
              <w:rPr>
                <w:sz w:val="20"/>
                <w:szCs w:val="20"/>
                <w:color w:val="auto"/>
              </w:rPr>
            </w:pPr>
            <w:r>
              <w:rPr>
                <w:rFonts w:ascii="Arial" w:cs="Arial" w:eastAsia="Arial" w:hAnsi="Arial"/>
                <w:sz w:val="14"/>
                <w:szCs w:val="14"/>
                <w:b w:val="1"/>
                <w:bCs w:val="1"/>
                <w:color w:val="auto"/>
              </w:rPr>
              <w:t>24,997</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04"/>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Home Equity</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39,957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193"/>
        </w:trPr>
        <w:tc>
          <w:tcPr>
            <w:tcW w:w="7020" w:type="dxa"/>
            <w:vAlign w:val="bottom"/>
          </w:tcPr>
          <w:p>
            <w:pPr>
              <w:ind w:left="220"/>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6"/>
                <w:szCs w:val="16"/>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b w:val="1"/>
                <w:bCs w:val="1"/>
                <w:color w:val="auto"/>
              </w:rPr>
              <w:t>33,382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204"/>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Construction</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76,034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r>
      <w:tr>
        <w:trPr>
          <w:trHeight w:val="193"/>
        </w:trPr>
        <w:tc>
          <w:tcPr>
            <w:tcW w:w="7020" w:type="dxa"/>
            <w:vAlign w:val="bottom"/>
          </w:tcPr>
          <w:p>
            <w:pPr>
              <w:ind w:left="140"/>
              <w:spacing w:after="0"/>
              <w:rPr>
                <w:sz w:val="20"/>
                <w:szCs w:val="20"/>
                <w:color w:val="auto"/>
              </w:rPr>
            </w:pPr>
            <w:r>
              <w:rPr>
                <w:rFonts w:ascii="Arial" w:cs="Arial" w:eastAsia="Arial" w:hAnsi="Arial"/>
                <w:sz w:val="14"/>
                <w:szCs w:val="14"/>
                <w:color w:val="auto"/>
              </w:rPr>
              <w:t>Commercial and Industrial</w:t>
            </w:r>
          </w:p>
        </w:tc>
        <w:tc>
          <w:tcPr>
            <w:tcW w:w="260" w:type="dxa"/>
            <w:vAlign w:val="bottom"/>
          </w:tcPr>
          <w:p>
            <w:pPr>
              <w:spacing w:after="0"/>
              <w:rPr>
                <w:sz w:val="16"/>
                <w:szCs w:val="16"/>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b w:val="1"/>
                <w:bCs w:val="1"/>
                <w:color w:val="auto"/>
              </w:rPr>
              <w:t>48,184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45,1</w:t>
            </w:r>
          </w:p>
        </w:tc>
      </w:tr>
      <w:tr>
        <w:trPr>
          <w:trHeight w:val="204"/>
        </w:trPr>
        <w:tc>
          <w:tcPr>
            <w:tcW w:w="7020" w:type="dxa"/>
            <w:vAlign w:val="bottom"/>
            <w:shd w:val="clear" w:color="auto" w:fill="CCEEFF"/>
          </w:tcPr>
          <w:p>
            <w:pPr>
              <w:ind w:left="140"/>
              <w:spacing w:after="0" w:line="204" w:lineRule="exact"/>
              <w:rPr>
                <w:sz w:val="20"/>
                <w:szCs w:val="20"/>
                <w:color w:val="auto"/>
              </w:rPr>
            </w:pPr>
            <w:r>
              <w:rPr>
                <w:rFonts w:ascii="Arial" w:cs="Arial" w:eastAsia="Arial" w:hAnsi="Arial"/>
                <w:sz w:val="14"/>
                <w:szCs w:val="14"/>
                <w:color w:val="auto"/>
              </w:rPr>
              <w:t>Credit card</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119,680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r>
      <w:tr>
        <w:trPr>
          <w:trHeight w:val="193"/>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consumer</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2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342,508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to originate residential loans held for sale</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7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Letters of credit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20" w:hanging="214"/>
        <w:spacing w:after="0" w:line="199" w:lineRule="auto"/>
        <w:tabs>
          <w:tab w:leader="none" w:pos="2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Outstanding loan commitments in the credit card portfolio include $114.5 million and $121.7 million in secured balances as of September 30, 2022 and December 31, 2021, respectively.</w:t>
      </w:r>
    </w:p>
    <w:p>
      <w:pPr>
        <w:spacing w:after="0" w:line="246"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6636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cash requirements because it is unlikely that all customers will, at any given time, draw upon their lines in full. Loan commitments generally have variable interest rates, fixed expiration dates, and may require payment of a fee.</w:t>
      </w:r>
    </w:p>
    <w:p>
      <w:pPr>
        <w:spacing w:after="0" w:line="203"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 The Company maintains an estimated reserve for off balance sheet items such as unfunded lines of credit, which is reflected in other liabilities, with increases or decreases in the reserve being charged to or released from operating expense. Activity for this account is as follows for the periods presented: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Off Balance Sheet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Borders>
              <w:bottom w:val="single" w:sz="8" w:color="auto"/>
            </w:tcBorders>
          </w:tcPr>
          <w:p>
            <w:pPr>
              <w:spacing w:after="0"/>
              <w:rPr>
                <w:sz w:val="16"/>
                <w:szCs w:val="16"/>
                <w:color w:val="auto"/>
              </w:rPr>
            </w:pPr>
          </w:p>
        </w:tc>
      </w:tr>
      <w:tr>
        <w:trPr>
          <w:trHeight w:val="192"/>
        </w:trPr>
        <w:tc>
          <w:tcPr>
            <w:tcW w:w="50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2022</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1,631</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(reversal of) off balance sheet credit commitments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w:t>
      </w:r>
    </w:p>
    <w:p>
      <w:pPr>
        <w:spacing w:after="0" w:line="20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maintains a reserve for potential losses on mortgage loans sold, which is reflected in other liabilities, with changes being charged to or released from operating expense. Activity in this reserve is as follows for the periods presented:</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Mortgage Loan Put-back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For the Nine Months Ended</w:t>
            </w:r>
          </w:p>
        </w:tc>
        <w:tc>
          <w:tcPr>
            <w:tcW w:w="300" w:type="dxa"/>
            <w:vAlign w:val="bottom"/>
            <w:tcBorders>
              <w:bottom w:val="single" w:sz="8" w:color="auto"/>
            </w:tcBorders>
          </w:tcPr>
          <w:p>
            <w:pPr>
              <w:spacing w:after="0"/>
              <w:rPr>
                <w:sz w:val="16"/>
                <w:szCs w:val="16"/>
                <w:color w:val="auto"/>
              </w:rPr>
            </w:pPr>
          </w:p>
        </w:tc>
      </w:tr>
      <w:tr>
        <w:trPr>
          <w:trHeight w:val="192"/>
        </w:trPr>
        <w:tc>
          <w:tcPr>
            <w:tcW w:w="50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4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w:t>
            </w:r>
          </w:p>
        </w:tc>
      </w:tr>
      <w:tr>
        <w:trPr>
          <w:trHeight w:val="197"/>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1,166</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1,369</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mortgage loan put backs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2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1,439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customers have locked into that interest rate. The Company then locks the loan and rate in with an investor and commits to deliver the loan if settlement occurs (Best Efforts). Certain loans under rate lock commitments are covered under forward sales contracts. Forward sales contracts are recorded at fair value with changes in fair value recorded in mortgage banking revenue. Interest rate lock commitments and forward sales contracts are considered to be derivatives. The market value of interest rate lock commitments and best efforts contracts are not readily ascertainable with precision because they are not actively traded in stand-alone markets. The Company determines the fair value of rate lock commitments by estimating the fair value of the underlying asset, which is impacted by current interest rates and takes into consideration the probability that the rate lock commitments will close or will be funded.</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Derivatives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2021</w:t>
            </w:r>
          </w:p>
        </w:tc>
      </w:tr>
      <w:tr>
        <w:trPr>
          <w:trHeight w:val="19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open forward sales agreements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4,250</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193"/>
        </w:trPr>
        <w:tc>
          <w:tcPr>
            <w:tcW w:w="7220" w:type="dxa"/>
            <w:vAlign w:val="bottom"/>
          </w:tcPr>
          <w:p>
            <w:pPr>
              <w:ind w:left="20"/>
              <w:spacing w:after="0"/>
              <w:rPr>
                <w:sz w:val="20"/>
                <w:szCs w:val="20"/>
                <w:color w:val="auto"/>
              </w:rPr>
            </w:pPr>
            <w:r>
              <w:rPr>
                <w:rFonts w:ascii="Arial" w:cs="Arial" w:eastAsia="Arial" w:hAnsi="Arial"/>
                <w:sz w:val="14"/>
                <w:szCs w:val="14"/>
                <w:color w:val="auto"/>
              </w:rPr>
              <w:t>Fair value of open forward delivery sales agreements</w:t>
            </w:r>
          </w:p>
        </w:tc>
        <w:tc>
          <w:tcPr>
            <w:tcW w:w="2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interest rate lock commitments</w:t>
            </w: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3,689</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88"/>
        </w:trPr>
        <w:tc>
          <w:tcPr>
            <w:tcW w:w="7220" w:type="dxa"/>
            <w:vAlign w:val="bottom"/>
          </w:tcPr>
          <w:p>
            <w:pPr>
              <w:ind w:left="20"/>
              <w:spacing w:after="0"/>
              <w:rPr>
                <w:sz w:val="20"/>
                <w:szCs w:val="20"/>
                <w:color w:val="auto"/>
              </w:rPr>
            </w:pPr>
            <w:r>
              <w:rPr>
                <w:rFonts w:ascii="Arial" w:cs="Arial" w:eastAsia="Arial" w:hAnsi="Arial"/>
                <w:sz w:val="14"/>
                <w:szCs w:val="14"/>
                <w:color w:val="auto"/>
              </w:rPr>
              <w:t>Fair value of interest rate lock commitments</w:t>
            </w:r>
          </w:p>
        </w:tc>
        <w:tc>
          <w:tcPr>
            <w:tcW w:w="2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3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four of its full service branches and four other locations for corporate/administration activities, operations, and loan production. All property leases under lease agreements have been been designated as operating leases. The Company does not have leases designated as finance leases.</w:t>
      </w:r>
    </w:p>
    <w:p>
      <w:pPr>
        <w:spacing w:after="0" w:line="208"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was 2.01% at September 30, 2022 and 2.23% at December 31, 2021.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5373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53732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As of September 30, 2022, the Company’s net lease ROU assets and related lease liabilities were $2.4 million and $2.7 million, respectively, compared to December 31, 2021 balances of $2.5 million of ROU assets and $2.7 million of lease liabilities, and have remaining terms ranging from 1 - 6 years, including extension options that the Company is reasonably certain will be exercised. As of September 30, 2022, the Company had not entered into any material leases that have not yet commenced. The Company’s lease information is summarized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79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84"/>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Right of Use Asset:</w:t>
            </w:r>
          </w:p>
        </w:tc>
        <w:tc>
          <w:tcPr>
            <w:tcW w:w="5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r>
      <w:tr>
        <w:trPr>
          <w:trHeight w:val="193"/>
        </w:trPr>
        <w:tc>
          <w:tcPr>
            <w:tcW w:w="7960" w:type="dxa"/>
            <w:vAlign w:val="bottom"/>
          </w:tcPr>
          <w:p>
            <w:pPr>
              <w:ind w:left="20"/>
              <w:spacing w:after="0"/>
              <w:rPr>
                <w:sz w:val="20"/>
                <w:szCs w:val="20"/>
                <w:color w:val="auto"/>
              </w:rPr>
            </w:pPr>
            <w:r>
              <w:rPr>
                <w:rFonts w:ascii="Arial" w:cs="Arial" w:eastAsia="Arial" w:hAnsi="Arial"/>
                <w:sz w:val="14"/>
                <w:szCs w:val="14"/>
                <w:color w:val="auto"/>
              </w:rPr>
              <w:t>Lease asset</w:t>
            </w:r>
          </w:p>
        </w:tc>
        <w:tc>
          <w:tcPr>
            <w:tcW w:w="540" w:type="dxa"/>
            <w:vAlign w:val="bottom"/>
          </w:tcPr>
          <w:p>
            <w:pPr>
              <w:jc w:val="right"/>
              <w:ind w:right="36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center"/>
              <w:ind w:left="349"/>
              <w:spacing w:after="0"/>
              <w:rPr>
                <w:sz w:val="20"/>
                <w:szCs w:val="20"/>
                <w:color w:val="auto"/>
              </w:rPr>
            </w:pPr>
            <w:r>
              <w:rPr>
                <w:rFonts w:ascii="Arial" w:cs="Arial" w:eastAsia="Arial" w:hAnsi="Arial"/>
                <w:sz w:val="14"/>
                <w:szCs w:val="14"/>
                <w:b w:val="1"/>
                <w:bCs w:val="1"/>
                <w:color w:val="auto"/>
                <w:w w:val="96"/>
              </w:rPr>
              <w:t>5,240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329"/>
              <w:spacing w:after="0"/>
              <w:rPr>
                <w:sz w:val="20"/>
                <w:szCs w:val="20"/>
                <w:color w:val="auto"/>
              </w:rPr>
            </w:pPr>
            <w:r>
              <w:rPr>
                <w:rFonts w:ascii="Arial" w:cs="Arial" w:eastAsia="Arial" w:hAnsi="Arial"/>
                <w:sz w:val="14"/>
                <w:szCs w:val="14"/>
                <w:b w:val="1"/>
                <w:bCs w:val="1"/>
                <w:color w:val="auto"/>
                <w:w w:val="99"/>
              </w:rPr>
              <w:t>(2,841)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71"/>
        </w:trPr>
        <w:tc>
          <w:tcPr>
            <w:tcW w:w="7960" w:type="dxa"/>
            <w:vAlign w:val="bottom"/>
          </w:tcPr>
          <w:p>
            <w:pPr>
              <w:ind w:left="20"/>
              <w:spacing w:after="0"/>
              <w:rPr>
                <w:sz w:val="20"/>
                <w:szCs w:val="20"/>
                <w:color w:val="auto"/>
              </w:rPr>
            </w:pPr>
            <w:r>
              <w:rPr>
                <w:rFonts w:ascii="Arial" w:cs="Arial" w:eastAsia="Arial" w:hAnsi="Arial"/>
                <w:sz w:val="14"/>
                <w:szCs w:val="14"/>
                <w:color w:val="auto"/>
              </w:rPr>
              <w:t>Net lease asset</w:t>
            </w: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b w:val="1"/>
                <w:bCs w:val="1"/>
                <w:color w:val="auto"/>
                <w:w w:val="96"/>
              </w:rPr>
              <w:t>2,399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8"/>
        </w:trPr>
        <w:tc>
          <w:tcPr>
            <w:tcW w:w="7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93"/>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Lease Liability:</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center"/>
              <w:ind w:left="349"/>
              <w:spacing w:after="0"/>
              <w:rPr>
                <w:sz w:val="20"/>
                <w:szCs w:val="20"/>
                <w:color w:val="auto"/>
              </w:rPr>
            </w:pPr>
            <w:r>
              <w:rPr>
                <w:rFonts w:ascii="Arial" w:cs="Arial" w:eastAsia="Arial" w:hAnsi="Arial"/>
                <w:sz w:val="14"/>
                <w:szCs w:val="14"/>
                <w:b w:val="1"/>
                <w:bCs w:val="1"/>
                <w:color w:val="auto"/>
                <w:w w:val="96"/>
              </w:rPr>
              <w:t>5,396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19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b w:val="1"/>
                <w:bCs w:val="1"/>
                <w:color w:val="auto"/>
                <w:w w:val="99"/>
              </w:rPr>
              <w:t>(2,732)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222"/>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center"/>
              <w:ind w:left="349"/>
              <w:spacing w:after="0"/>
              <w:rPr>
                <w:sz w:val="20"/>
                <w:szCs w:val="20"/>
                <w:color w:val="auto"/>
              </w:rPr>
            </w:pPr>
            <w:r>
              <w:rPr>
                <w:rFonts w:ascii="Arial" w:cs="Arial" w:eastAsia="Arial" w:hAnsi="Arial"/>
                <w:sz w:val="14"/>
                <w:szCs w:val="14"/>
                <w:b w:val="1"/>
                <w:bCs w:val="1"/>
                <w:color w:val="auto"/>
                <w:w w:val="96"/>
              </w:rPr>
              <w:t>2,664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 Payment Obligations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September 30, 2022</w:t>
            </w:r>
          </w:p>
        </w:tc>
      </w:tr>
      <w:tr>
        <w:trPr>
          <w:trHeight w:val="184"/>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due in:</w:t>
            </w:r>
          </w:p>
        </w:tc>
        <w:tc>
          <w:tcPr>
            <w:tcW w:w="1740" w:type="dxa"/>
            <w:vAlign w:val="bottom"/>
            <w:shd w:val="clear" w:color="auto" w:fill="CCEEFF"/>
          </w:tcPr>
          <w:p>
            <w:pPr>
              <w:spacing w:after="0"/>
              <w:rPr>
                <w:sz w:val="16"/>
                <w:szCs w:val="16"/>
                <w:color w:val="auto"/>
              </w:rPr>
            </w:pPr>
          </w:p>
        </w:tc>
      </w:tr>
      <w:tr>
        <w:trPr>
          <w:trHeight w:val="193"/>
        </w:trPr>
        <w:tc>
          <w:tcPr>
            <w:tcW w:w="9280" w:type="dxa"/>
            <w:vAlign w:val="bottom"/>
          </w:tcPr>
          <w:p>
            <w:pPr>
              <w:ind w:left="20"/>
              <w:spacing w:after="0"/>
              <w:rPr>
                <w:sz w:val="20"/>
                <w:szCs w:val="20"/>
                <w:color w:val="auto"/>
              </w:rPr>
            </w:pPr>
            <w:r>
              <w:rPr>
                <w:rFonts w:ascii="Arial" w:cs="Arial" w:eastAsia="Arial" w:hAnsi="Arial"/>
                <w:sz w:val="14"/>
                <w:szCs w:val="14"/>
                <w:color w:val="auto"/>
              </w:rPr>
              <w:t>2022</w:t>
            </w:r>
          </w:p>
        </w:tc>
        <w:tc>
          <w:tcPr>
            <w:tcW w:w="1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4"/>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3"/>
        </w:trPr>
        <w:tc>
          <w:tcPr>
            <w:tcW w:w="9280" w:type="dxa"/>
            <w:vAlign w:val="bottom"/>
          </w:tcPr>
          <w:p>
            <w:pPr>
              <w:ind w:left="20"/>
              <w:spacing w:after="0"/>
              <w:rPr>
                <w:sz w:val="20"/>
                <w:szCs w:val="20"/>
                <w:color w:val="auto"/>
              </w:rPr>
            </w:pPr>
            <w:r>
              <w:rPr>
                <w:rFonts w:ascii="Arial" w:cs="Arial" w:eastAsia="Arial" w:hAnsi="Arial"/>
                <w:sz w:val="14"/>
                <w:szCs w:val="14"/>
                <w:color w:val="auto"/>
              </w:rPr>
              <w:t>2024</w:t>
            </w:r>
          </w:p>
        </w:tc>
        <w:tc>
          <w:tcPr>
            <w:tcW w:w="17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4"/>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8"/>
        </w:trPr>
        <w:tc>
          <w:tcPr>
            <w:tcW w:w="9280" w:type="dxa"/>
            <w:vAlign w:val="bottom"/>
          </w:tcPr>
          <w:p>
            <w:pPr>
              <w:ind w:left="20"/>
              <w:spacing w:after="0"/>
              <w:rPr>
                <w:sz w:val="20"/>
                <w:szCs w:val="20"/>
                <w:color w:val="auto"/>
              </w:rPr>
            </w:pPr>
            <w:r>
              <w:rPr>
                <w:rFonts w:ascii="Arial" w:cs="Arial" w:eastAsia="Arial" w:hAnsi="Arial"/>
                <w:sz w:val="14"/>
                <w:szCs w:val="14"/>
                <w:color w:val="auto"/>
              </w:rPr>
              <w:t>2026 and thereafter</w:t>
            </w:r>
          </w:p>
        </w:tc>
        <w:tc>
          <w:tcPr>
            <w:tcW w:w="174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9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future lease payments</w:t>
            </w:r>
          </w:p>
        </w:tc>
        <w:tc>
          <w:tcPr>
            <w:tcW w:w="8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r>
      <w:tr>
        <w:trPr>
          <w:trHeight w:val="193"/>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Discount of cash flows</w:t>
            </w: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9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Present value of net future lease payments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1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-180340</wp:posOffset>
            </wp:positionV>
            <wp:extent cx="65373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8"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 xml:space="preserve">Marketable equity securities </w:t>
      </w:r>
      <w:r>
        <w:rPr>
          <w:rFonts w:ascii="Arial" w:cs="Arial" w:eastAsia="Arial" w:hAnsi="Arial"/>
          <w:sz w:val="18"/>
          <w:szCs w:val="18"/>
          <w:color w:val="auto"/>
        </w:rPr>
        <w:t>- The fair value of marketable equity securities is provided by an independent pricing service.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quoted prices for similar securities using Level 1 inputs.</w:t>
      </w:r>
    </w:p>
    <w:p>
      <w:pPr>
        <w:spacing w:after="0" w:line="167"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-180340</wp:posOffset>
            </wp:positionV>
            <wp:extent cx="653732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financial instruments measured at fair value on a recurring basis as of September 30, 2022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214,940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214,940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4"/>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4,648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4,648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1"/>
        </w:trPr>
        <w:tc>
          <w:tcPr>
            <w:tcW w:w="20" w:type="dxa"/>
            <w:vAlign w:val="bottom"/>
            <w:shd w:val="clear" w:color="auto" w:fill="CCEEFF"/>
          </w:tcPr>
          <w:p>
            <w:pPr>
              <w:spacing w:after="0"/>
              <w:rPr>
                <w:sz w:val="20"/>
                <w:szCs w:val="20"/>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193"/>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33,723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33,723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269,620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214,940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232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476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4"/>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131,001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60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184,455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131,001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53,454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Fair Value of Loans Held for Sale</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6"/>
                <w:szCs w:val="16"/>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176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 2021</w:t>
            </w:r>
          </w:p>
        </w:tc>
      </w:tr>
      <w:tr>
        <w:trPr>
          <w:trHeight w:val="198"/>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6,875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15,989</w:t>
            </w:r>
          </w:p>
        </w:tc>
      </w:tr>
      <w:tr>
        <w:trPr>
          <w:trHeight w:val="19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6,237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14,504</w:t>
            </w:r>
          </w:p>
        </w:tc>
      </w:tr>
      <w:tr>
        <w:trPr>
          <w:trHeight w:val="222"/>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Difference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638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1,485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250825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type w:val="continuous"/>
        </w:sectPr>
      </w:pPr>
    </w:p>
    <w:bookmarkStart w:id="35" w:name="page36"/>
    <w:bookmarkEnd w:id="35"/>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-180340</wp:posOffset>
            </wp:positionV>
            <wp:extent cx="653732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1"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7"/>
          <w:szCs w:val="17"/>
          <w:i w:val="1"/>
          <w:iCs w:val="1"/>
          <w:color w:val="auto"/>
        </w:rPr>
        <w:t xml:space="preserve">Impaired loans </w:t>
      </w:r>
      <w:r>
        <w:rPr>
          <w:rFonts w:ascii="Arial" w:cs="Arial" w:eastAsia="Arial" w:hAnsi="Arial"/>
          <w:sz w:val="17"/>
          <w:szCs w:val="17"/>
          <w:color w:val="auto"/>
        </w:rPr>
        <w:t>- The Company has measured impairment generally based on the fair value of the loan's collateral and discounted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Fair value is generally determined based upon independent third-party appraisals of the properties, or discounted cash flows based upon the expected proceeds. These assets are included as Level 3 fair values. As of September 30, 2022 and December 31, 2021, the fair values consist of loan balances of $8.4 million and $11.3 million, with specific reserves of $159 thousand and $218 thousand, respectively.</w:t>
      </w:r>
    </w:p>
    <w:p>
      <w:pPr>
        <w:spacing w:after="0" w:line="167"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174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 2021</w:t>
            </w:r>
          </w:p>
        </w:tc>
      </w:tr>
      <w:tr>
        <w:trPr>
          <w:trHeight w:val="21"/>
        </w:trPr>
        <w:tc>
          <w:tcPr>
            <w:tcW w:w="7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9"/>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Impaired loans</w:t>
            </w: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2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11,121</w:t>
            </w:r>
          </w:p>
        </w:tc>
      </w:tr>
      <w:tr>
        <w:trPr>
          <w:trHeight w:val="223"/>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8,261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Foreclosed real estate</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3"/>
        </w:trPr>
        <w:tc>
          <w:tcPr>
            <w:tcW w:w="7120" w:type="dxa"/>
            <w:vAlign w:val="bottom"/>
          </w:tcPr>
          <w:p>
            <w:pPr>
              <w:ind w:left="20"/>
              <w:spacing w:after="0"/>
              <w:rPr>
                <w:sz w:val="20"/>
                <w:szCs w:val="20"/>
                <w:color w:val="auto"/>
              </w:rPr>
            </w:pPr>
            <w:r>
              <w:rPr>
                <w:rFonts w:ascii="Arial" w:cs="Arial" w:eastAsia="Arial" w:hAnsi="Arial"/>
                <w:sz w:val="14"/>
                <w:szCs w:val="14"/>
                <w:color w:val="auto"/>
              </w:rPr>
              <w:t>Level 3 inputs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22"/>
        </w:trPr>
        <w:tc>
          <w:tcPr>
            <w:tcW w:w="7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September 30, 2022 and December 31, 2021:</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Unobservable Inputs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22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rPr>
              <w:t>Range of Inputs</w:t>
            </w:r>
          </w:p>
        </w:tc>
        <w:tc>
          <w:tcPr>
            <w:tcW w:w="0" w:type="dxa"/>
            <w:vAlign w:val="bottom"/>
          </w:tcPr>
          <w:p>
            <w:pPr>
              <w:spacing w:after="0"/>
              <w:rPr>
                <w:sz w:val="1"/>
                <w:szCs w:val="1"/>
                <w:color w:val="auto"/>
              </w:rPr>
            </w:pPr>
          </w:p>
        </w:tc>
      </w:tr>
      <w:tr>
        <w:trPr>
          <w:trHeight w:val="149"/>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Impaired Loans</w:t>
            </w:r>
          </w:p>
        </w:tc>
        <w:tc>
          <w:tcPr>
            <w:tcW w:w="30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Appraised Value/Discounted Cash Flows</w:t>
            </w:r>
          </w:p>
        </w:tc>
        <w:tc>
          <w:tcPr>
            <w:tcW w:w="420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rPr>
              <w:t>Discounts to appraisals or cash flows for estimated holding</w:t>
            </w:r>
          </w:p>
        </w:tc>
        <w:tc>
          <w:tcPr>
            <w:tcW w:w="1600" w:type="dxa"/>
            <w:vAlign w:val="bottom"/>
            <w:vMerge w:val="restart"/>
            <w:shd w:val="clear" w:color="auto" w:fill="CCEEFF"/>
          </w:tcPr>
          <w:p>
            <w:pPr>
              <w:jc w:val="center"/>
              <w:ind w:left="129"/>
              <w:spacing w:after="0"/>
              <w:rPr>
                <w:sz w:val="20"/>
                <w:szCs w:val="20"/>
                <w:color w:val="auto"/>
              </w:rPr>
            </w:pPr>
            <w:r>
              <w:rPr>
                <w:rFonts w:ascii="Arial" w:cs="Arial" w:eastAsia="Arial" w:hAnsi="Arial"/>
                <w:sz w:val="14"/>
                <w:szCs w:val="14"/>
                <w:color w:val="auto"/>
              </w:rPr>
              <w:t>11 to 25%</w:t>
            </w:r>
          </w:p>
        </w:tc>
        <w:tc>
          <w:tcPr>
            <w:tcW w:w="0" w:type="dxa"/>
            <w:vAlign w:val="bottom"/>
          </w:tcPr>
          <w:p>
            <w:pPr>
              <w:spacing w:after="0"/>
              <w:rPr>
                <w:sz w:val="1"/>
                <w:szCs w:val="1"/>
                <w:color w:val="auto"/>
              </w:rPr>
            </w:pPr>
          </w:p>
        </w:tc>
      </w:tr>
      <w:tr>
        <w:trPr>
          <w:trHeight w:val="181"/>
        </w:trPr>
        <w:tc>
          <w:tcPr>
            <w:tcW w:w="2220" w:type="dxa"/>
            <w:vAlign w:val="bottom"/>
            <w:vMerge w:val="continue"/>
            <w:shd w:val="clear" w:color="auto" w:fill="CCEEFF"/>
          </w:tcPr>
          <w:p>
            <w:pPr>
              <w:spacing w:after="0"/>
              <w:rPr>
                <w:sz w:val="15"/>
                <w:szCs w:val="15"/>
                <w:color w:val="auto"/>
              </w:rPr>
            </w:pPr>
          </w:p>
        </w:tc>
        <w:tc>
          <w:tcPr>
            <w:tcW w:w="3000" w:type="dxa"/>
            <w:vAlign w:val="bottom"/>
            <w:gridSpan w:val="2"/>
            <w:vMerge w:val="continue"/>
            <w:shd w:val="clear" w:color="auto" w:fill="CCEEFF"/>
          </w:tcPr>
          <w:p>
            <w:pPr>
              <w:spacing w:after="0"/>
              <w:rPr>
                <w:sz w:val="15"/>
                <w:szCs w:val="15"/>
                <w:color w:val="auto"/>
              </w:rPr>
            </w:pPr>
          </w:p>
        </w:tc>
        <w:tc>
          <w:tcPr>
            <w:tcW w:w="4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and/or selling costs</w:t>
            </w:r>
          </w:p>
        </w:tc>
        <w:tc>
          <w:tcPr>
            <w:tcW w:w="1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Foreclosed Real Estate</w:t>
            </w:r>
          </w:p>
        </w:tc>
        <w:tc>
          <w:tcPr>
            <w:tcW w:w="30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Appraised Value/Comparable Sales</w:t>
            </w:r>
          </w:p>
        </w:tc>
        <w:tc>
          <w:tcPr>
            <w:tcW w:w="4200" w:type="dxa"/>
            <w:vAlign w:val="bottom"/>
            <w:gridSpan w:val="2"/>
          </w:tcPr>
          <w:p>
            <w:pPr>
              <w:jc w:val="center"/>
              <w:ind w:right="140"/>
              <w:spacing w:after="0" w:line="151" w:lineRule="exact"/>
              <w:rPr>
                <w:sz w:val="20"/>
                <w:szCs w:val="20"/>
                <w:color w:val="auto"/>
              </w:rPr>
            </w:pPr>
            <w:r>
              <w:rPr>
                <w:rFonts w:ascii="Arial" w:cs="Arial" w:eastAsia="Arial" w:hAnsi="Arial"/>
                <w:sz w:val="14"/>
                <w:szCs w:val="14"/>
                <w:color w:val="auto"/>
              </w:rPr>
              <w:t>Discounts to appraisals for estimated holding and/or selling</w:t>
            </w:r>
          </w:p>
        </w:tc>
        <w:tc>
          <w:tcPr>
            <w:tcW w:w="1600" w:type="dxa"/>
            <w:vAlign w:val="bottom"/>
            <w:vMerge w:val="restart"/>
          </w:tcPr>
          <w:p>
            <w:pPr>
              <w:jc w:val="center"/>
              <w:ind w:left="129"/>
              <w:spacing w:after="0"/>
              <w:rPr>
                <w:sz w:val="20"/>
                <w:szCs w:val="20"/>
                <w:color w:val="auto"/>
              </w:rPr>
            </w:pPr>
            <w:r>
              <w:rPr>
                <w:rFonts w:ascii="Arial" w:cs="Arial" w:eastAsia="Arial" w:hAnsi="Arial"/>
                <w:sz w:val="14"/>
                <w:szCs w:val="14"/>
                <w:color w:val="auto"/>
              </w:rPr>
              <w:t>11 to 25%</w:t>
            </w:r>
          </w:p>
        </w:tc>
        <w:tc>
          <w:tcPr>
            <w:tcW w:w="0" w:type="dxa"/>
            <w:vAlign w:val="bottom"/>
          </w:tcPr>
          <w:p>
            <w:pPr>
              <w:spacing w:after="0"/>
              <w:rPr>
                <w:sz w:val="1"/>
                <w:szCs w:val="1"/>
                <w:color w:val="auto"/>
              </w:rPr>
            </w:pPr>
          </w:p>
        </w:tc>
      </w:tr>
      <w:tr>
        <w:trPr>
          <w:trHeight w:val="170"/>
        </w:trPr>
        <w:tc>
          <w:tcPr>
            <w:tcW w:w="2220" w:type="dxa"/>
            <w:vAlign w:val="bottom"/>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4200" w:type="dxa"/>
            <w:vAlign w:val="bottom"/>
            <w:gridSpan w:val="2"/>
          </w:tcPr>
          <w:p>
            <w:pPr>
              <w:jc w:val="center"/>
              <w:ind w:right="140"/>
              <w:spacing w:after="0"/>
              <w:rPr>
                <w:sz w:val="20"/>
                <w:szCs w:val="20"/>
                <w:color w:val="auto"/>
              </w:rPr>
            </w:pPr>
            <w:r>
              <w:rPr>
                <w:rFonts w:ascii="Arial" w:cs="Arial" w:eastAsia="Arial" w:hAnsi="Arial"/>
                <w:sz w:val="14"/>
                <w:szCs w:val="14"/>
                <w:color w:val="auto"/>
              </w:rPr>
              <w:t>costs</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20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are imprecise. Subjective factors include, among other things, estimates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4"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-180340</wp:posOffset>
            </wp:positionV>
            <wp:extent cx="65373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1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8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-180340</wp:posOffset>
            </wp:positionV>
            <wp:extent cx="65373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2760" w:type="dxa"/>
            <w:vAlign w:val="bottom"/>
            <w:gridSpan w:val="4"/>
          </w:tcPr>
          <w:p>
            <w:pPr>
              <w:jc w:val="right"/>
              <w:ind w:right="729"/>
              <w:spacing w:after="0"/>
              <w:rPr>
                <w:sz w:val="20"/>
                <w:szCs w:val="20"/>
                <w:color w:val="auto"/>
              </w:rPr>
            </w:pPr>
            <w:r>
              <w:rPr>
                <w:rFonts w:ascii="Arial" w:cs="Arial" w:eastAsia="Arial" w:hAnsi="Arial"/>
                <w:sz w:val="14"/>
                <w:szCs w:val="14"/>
                <w:b w:val="1"/>
                <w:bCs w:val="1"/>
                <w:color w:val="auto"/>
              </w:rPr>
              <w:t>December 31, 2021</w:t>
            </w:r>
          </w:p>
        </w:tc>
      </w:tr>
      <w:tr>
        <w:trPr>
          <w:trHeight w:val="192"/>
        </w:trPr>
        <w:tc>
          <w:tcPr>
            <w:tcW w:w="5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193"/>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42,914</w:t>
            </w:r>
          </w:p>
        </w:tc>
      </w:tr>
      <w:tr>
        <w:trPr>
          <w:trHeight w:val="193"/>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20,867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20,867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136,824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136,824</w:t>
            </w:r>
          </w:p>
        </w:tc>
      </w:tr>
      <w:tr>
        <w:trPr>
          <w:trHeight w:val="204"/>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Marketable equity securities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245</w:t>
            </w:r>
          </w:p>
        </w:tc>
      </w:tr>
      <w:tr>
        <w:trPr>
          <w:trHeight w:val="193"/>
        </w:trPr>
        <w:tc>
          <w:tcPr>
            <w:tcW w:w="540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1,421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3,657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3,657</w:t>
            </w:r>
          </w:p>
        </w:tc>
      </w:tr>
      <w:tr>
        <w:trPr>
          <w:trHeight w:val="204"/>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9"/>
        </w:trPr>
        <w:tc>
          <w:tcPr>
            <w:tcW w:w="5400" w:type="dxa"/>
            <w:vAlign w:val="bottom"/>
          </w:tcPr>
          <w:p>
            <w:pPr>
              <w:ind w:left="180"/>
              <w:spacing w:after="0" w:line="199" w:lineRule="exact"/>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1,624,572</w:t>
            </w:r>
          </w:p>
        </w:tc>
        <w:tc>
          <w:tcPr>
            <w:tcW w:w="12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1,572,842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1,607,086</w:t>
            </w:r>
          </w:p>
        </w:tc>
        <w:tc>
          <w:tcPr>
            <w:tcW w:w="12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1,598,228</w:t>
            </w: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investments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r>
      <w:tr>
        <w:trPr>
          <w:trHeight w:val="212"/>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3"/>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806,033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806,033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787,650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787,650</w:t>
            </w:r>
          </w:p>
        </w:tc>
      </w:tr>
      <w:tr>
        <w:trPr>
          <w:trHeight w:val="193"/>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931,558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931,882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1,009,487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1,011,121</w:t>
            </w:r>
          </w:p>
        </w:tc>
      </w:tr>
      <w:tr>
        <w:trPr>
          <w:trHeight w:val="188"/>
        </w:trPr>
        <w:tc>
          <w:tcPr>
            <w:tcW w:w="5400" w:type="dxa"/>
            <w:vAlign w:val="bottom"/>
          </w:tcPr>
          <w:p>
            <w:pPr>
              <w:ind w:left="1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34,062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31,116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34,062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34,263</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20" w:hanging="214"/>
        <w:spacing w:after="0" w:line="193" w:lineRule="auto"/>
        <w:tabs>
          <w:tab w:leader="none" w:pos="22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Includes SBA-PPP loans and portfolio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14" w:right="359" w:bottom="1440" w:gutter="0" w:footer="0" w:header="0"/>
        </w:sectPr>
      </w:pPr>
    </w:p>
    <w:bookmarkStart w:id="38" w:name="page39"/>
    <w:bookmarkEnd w:id="38"/>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318"/>
        <w:spacing w:after="0" w:line="232" w:lineRule="auto"/>
        <w:rPr>
          <w:sz w:val="20"/>
          <w:szCs w:val="20"/>
          <w:color w:val="auto"/>
        </w:rPr>
      </w:pPr>
      <w:r>
        <w:rPr>
          <w:rFonts w:ascii="Arial" w:cs="Arial" w:eastAsia="Arial" w:hAnsi="Arial"/>
          <w:sz w:val="18"/>
          <w:szCs w:val="18"/>
          <w:color w:val="auto"/>
        </w:rPr>
        <w:t>The Company’s reportable segments represent business units with discrete financial information whose results are regularly reviewed by management. The four segments include Commercial Banking, Capital Bank Home Loans (the Company’s mortgage loan division),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September 30, 2022 and September 30, 2021.</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Segments</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September 30, 2022</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Commercial</w:t>
            </w: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CBHL</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8"/>
                <w:szCs w:val="18"/>
                <w:b w:val="1"/>
                <w:bCs w:val="1"/>
                <w:color w:val="auto"/>
                <w:vertAlign w:val="superscript"/>
              </w:rPr>
              <w:t>(2)</w:t>
            </w:r>
          </w:p>
        </w:tc>
        <w:tc>
          <w:tcPr>
            <w:tcW w:w="16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Bank</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20,382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17,103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18,933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17,103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Provision (release of provision) for loan losses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19,913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14,863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Noninterest income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5,524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12,101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Net income (loss) before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8,286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1,823,049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7,664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128,842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234,731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(184,928)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For the Three Months Ended September 30, 2021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975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14,660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Noninterest income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7,553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13,677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1,780</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8,536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1,956,340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135,612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209,070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(168,257)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15" w:lineRule="exact"/>
        <w:rPr>
          <w:sz w:val="20"/>
          <w:szCs w:val="20"/>
          <w:color w:val="auto"/>
        </w:rPr>
      </w:pPr>
    </w:p>
    <w:p>
      <w:pPr>
        <w:ind w:left="220" w:hanging="214"/>
        <w:spacing w:after="0"/>
        <w:tabs>
          <w:tab w:leader="none" w:pos="2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$6.6 million and $9.4 million in data processing expense in OpenSky’s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segment for the three months ended September 30, 2022 and 2021, respectively.</w:t>
      </w:r>
    </w:p>
    <w:p>
      <w:pPr>
        <w:ind w:left="200" w:hanging="194"/>
        <w:spacing w:after="0" w:line="192" w:lineRule="auto"/>
        <w:tabs>
          <w:tab w:leader="none" w:pos="20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The Corporate segment invests idle cash in revenue producing assets including interest-bearing cash accounts, loan participations and other appropriate investments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5" w:right="239" w:bottom="1440" w:gutter="0" w:footer="0" w:header="0"/>
        </w:sectPr>
      </w:pPr>
    </w:p>
    <w:bookmarkStart w:id="39" w:name="page40"/>
    <w:bookmarkEnd w:id="39"/>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-180340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shd w:val="clear" w:color="auto" w:fill="CCEEFF"/>
          </w:tcPr>
          <w:p>
            <w:pPr>
              <w:spacing w:after="0"/>
              <w:rPr>
                <w:sz w:val="15"/>
                <w:szCs w:val="15"/>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For the Nine Months Ended September 30, 2022</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0" w:type="dxa"/>
            <w:vAlign w:val="bottom"/>
            <w:tcBorders>
              <w:top w:val="single" w:sz="8" w:color="CCEEFF"/>
            </w:tcBorders>
          </w:tcPr>
          <w:p>
            <w:pPr>
              <w:spacing w:after="0"/>
              <w:rPr>
                <w:sz w:val="12"/>
                <w:szCs w:val="12"/>
                <w:color w:val="auto"/>
              </w:rPr>
            </w:pPr>
          </w:p>
        </w:tc>
        <w:tc>
          <w:tcPr>
            <w:tcW w:w="3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9"/>
              </w:rPr>
              <w:t>Commercial</w:t>
            </w:r>
          </w:p>
        </w:tc>
        <w:tc>
          <w:tcPr>
            <w:tcW w:w="26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CBHL</w:t>
            </w:r>
          </w:p>
        </w:tc>
        <w:tc>
          <w:tcPr>
            <w:tcW w:w="18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gridSpan w:val="2"/>
            <w:vMerge w:val="restart"/>
          </w:tcPr>
          <w:p>
            <w:pPr>
              <w:ind w:left="8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16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8"/>
                <w:szCs w:val="18"/>
                <w:b w:val="1"/>
                <w:bCs w:val="1"/>
                <w:color w:val="auto"/>
                <w:vertAlign w:val="superscript"/>
              </w:rPr>
              <w:t>(2)</w:t>
            </w:r>
          </w:p>
        </w:tc>
        <w:tc>
          <w:tcPr>
            <w:tcW w:w="160" w:type="dxa"/>
            <w:vAlign w:val="bottom"/>
            <w:tcBorders>
              <w:top w:val="single" w:sz="8" w:color="CCEEFF"/>
            </w:tcBorders>
          </w:tcPr>
          <w:p>
            <w:pPr>
              <w:spacing w:after="0"/>
              <w:rPr>
                <w:sz w:val="12"/>
                <w:szCs w:val="12"/>
                <w:color w:val="auto"/>
              </w:rPr>
            </w:pPr>
          </w:p>
        </w:tc>
        <w:tc>
          <w:tcPr>
            <w:tcW w:w="1280" w:type="dxa"/>
            <w:vAlign w:val="bottom"/>
            <w:tcBorders>
              <w:top w:val="single" w:sz="8" w:color="CCEEFF"/>
            </w:tcBorders>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vMerge w:val="restart"/>
          </w:tcPr>
          <w:p>
            <w:pPr>
              <w:jc w:val="right"/>
              <w:ind w:right="169"/>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1"/>
                <w:szCs w:val="11"/>
                <w:color w:val="auto"/>
              </w:rPr>
              <w:t>(in thousands)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Bank</w:t>
            </w: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57,794</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48,823</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109,298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3,255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3,890</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54,539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48,823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105,408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Provision (release of provision) for loan 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5,227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4,247</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55,519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43,596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101,161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Noninterest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1,571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4,580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17,658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23,811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38,741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36,923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82,379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Net income (loss) before taxes</w:t>
            </w: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18,349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24,331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1,823,049</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7,664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128,842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234,731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(184,928)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2,009,358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rPr>
              <w:t>For the Nine Months Ended September 30, 2021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51,969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89,455</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4,285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5,433</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47,684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84,022</w:t>
            </w: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1,756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47,251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33,188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Noninterest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1,212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21,208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39,992</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31,962</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39,379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16,501</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7,880</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15,017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40,183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1,956,340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135,612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209,070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(168,257)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2,169,556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________________________</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1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20" w:hanging="214"/>
        <w:spacing w:after="0"/>
        <w:tabs>
          <w:tab w:leader="none" w:pos="22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$20.9 million and $27.3 million in data processing expense in OpenSky’s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segment for the nine months ended September 30, 2022 and 2021, respectively.</w:t>
      </w:r>
    </w:p>
    <w:p>
      <w:pPr>
        <w:ind w:left="200" w:hanging="194"/>
        <w:spacing w:after="0" w:line="192" w:lineRule="auto"/>
        <w:tabs>
          <w:tab w:leader="none" w:pos="20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The Corporate segment invests idle cash in revenue producing assets including interest-bearing cash accounts, loan participations and other appropriate investments for the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40" w:name="page41"/>
    <w:bookmarkEnd w:id="40"/>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39" w:lineRule="exact"/>
        <w:rPr>
          <w:sz w:val="20"/>
          <w:szCs w:val="20"/>
          <w:color w:val="auto"/>
        </w:rPr>
      </w:pPr>
    </w:p>
    <w:p>
      <w:pPr>
        <w:jc w:val="both"/>
        <w:ind w:left="640" w:hanging="316"/>
        <w:spacing w:after="0" w:line="248"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geopolitical concerns, including the ongoing war in Ukraine; the magnitude and duration of the COVID-19 pandemic and related variants and mutations and their impact on the global economy and financial market conditions and on our business, results of operations, and financial condition;</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conditions (including the interest rate environment, government economic and monetary policies, the strength of global financial markets and inflation/deflation) that impact the financial services industry as a whole and/or our business;</w:t>
      </w:r>
    </w:p>
    <w:p>
      <w:pPr>
        <w:spacing w:after="0" w:line="150"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changes in interest rates, and the impact to our earnings from changes in interest rates;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Operations</w:t>
      </w:r>
    </w:p>
    <w:p>
      <w:pPr>
        <w:spacing w:after="0" w:line="239"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3" w:lineRule="exact"/>
        <w:rPr>
          <w:sz w:val="20"/>
          <w:szCs w:val="20"/>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164" w:lineRule="exact"/>
        <w:rPr>
          <w:rFonts w:ascii="Arial" w:cs="Arial" w:eastAsia="Arial" w:hAnsi="Arial"/>
          <w:sz w:val="18"/>
          <w:szCs w:val="18"/>
          <w:color w:val="auto"/>
        </w:rPr>
      </w:pPr>
    </w:p>
    <w:p>
      <w:pPr>
        <w:ind w:left="320" w:right="20" w:hanging="316"/>
        <w:spacing w:after="0" w:line="25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transition away from USD London Interbank Offering Rate (“LIBOR”) and related uncertainty and costs regarding migration to potential alternative reference rates, including the Secured Overnight Financing Rate (“SOFR”);</w:t>
      </w:r>
    </w:p>
    <w:p>
      <w:pPr>
        <w:spacing w:after="0" w:line="15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operations risks associated with our business;</w:t>
      </w:r>
    </w:p>
    <w:p>
      <w:pPr>
        <w:spacing w:after="0" w:line="164" w:lineRule="exact"/>
        <w:rPr>
          <w:rFonts w:ascii="Arial" w:cs="Arial" w:eastAsia="Arial" w:hAnsi="Arial"/>
          <w:sz w:val="18"/>
          <w:szCs w:val="18"/>
          <w:color w:val="auto"/>
        </w:rPr>
      </w:pPr>
    </w:p>
    <w:p>
      <w:pPr>
        <w:ind w:left="320" w:hanging="316"/>
        <w:spacing w:after="0" w:line="25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5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164" w:lineRule="exact"/>
        <w:rPr>
          <w:rFonts w:ascii="Arial" w:cs="Arial" w:eastAsia="Arial" w:hAnsi="Arial"/>
          <w:sz w:val="18"/>
          <w:szCs w:val="18"/>
          <w:color w:val="auto"/>
        </w:rPr>
      </w:pPr>
    </w:p>
    <w:p>
      <w:pPr>
        <w:ind w:left="320" w:hanging="316"/>
        <w:spacing w:after="0" w:line="25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5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153" w:lineRule="exact"/>
        <w:rPr>
          <w:rFonts w:ascii="Arial" w:cs="Arial" w:eastAsia="Arial" w:hAnsi="Arial"/>
          <w:sz w:val="18"/>
          <w:szCs w:val="18"/>
          <w:color w:val="auto"/>
        </w:rPr>
      </w:pPr>
    </w:p>
    <w:p>
      <w:pPr>
        <w:ind w:left="320" w:hanging="316"/>
        <w:spacing w:after="0" w:line="226"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division, including compliance with applicable consumer finance and fraud prevention regulations;</w:t>
      </w:r>
    </w:p>
    <w:p>
      <w:pPr>
        <w:spacing w:after="0" w:line="16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164" w:lineRule="exact"/>
        <w:rPr>
          <w:rFonts w:ascii="Arial" w:cs="Arial" w:eastAsia="Arial" w:hAnsi="Arial"/>
          <w:sz w:val="18"/>
          <w:szCs w:val="18"/>
          <w:color w:val="auto"/>
        </w:rPr>
      </w:pPr>
    </w:p>
    <w:p>
      <w:pPr>
        <w:ind w:left="320" w:hanging="316"/>
        <w:spacing w:after="0" w:line="25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50" w:lineRule="exact"/>
        <w:rPr>
          <w:rFonts w:ascii="Arial" w:cs="Arial" w:eastAsia="Arial" w:hAnsi="Arial"/>
          <w:sz w:val="18"/>
          <w:szCs w:val="18"/>
          <w:color w:val="auto"/>
        </w:rPr>
      </w:pPr>
    </w:p>
    <w:p>
      <w:pPr>
        <w:ind w:left="320" w:hanging="316"/>
        <w:spacing w:after="0" w:line="25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50"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64" w:lineRule="exact"/>
        <w:rPr>
          <w:rFonts w:ascii="Arial" w:cs="Arial" w:eastAsia="Arial" w:hAnsi="Arial"/>
          <w:sz w:val="18"/>
          <w:szCs w:val="18"/>
          <w:color w:val="auto"/>
        </w:rPr>
      </w:pPr>
    </w:p>
    <w:p>
      <w:pPr>
        <w:ind w:left="320" w:hanging="316"/>
        <w:spacing w:after="0" w:line="25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cybersecurity threats and the cost of defending against them, including the costs of compliance with potential legislation to combat cyber risks at a state, national, and global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42" w:name="page43"/>
    <w:bookmarkEnd w:id="42"/>
    <w:p>
      <w:pPr>
        <w:spacing w:after="0" w:line="183" w:lineRule="exact"/>
        <w:rPr>
          <w:sz w:val="20"/>
          <w:szCs w:val="20"/>
          <w:color w:val="auto"/>
        </w:rPr>
      </w:pPr>
    </w:p>
    <w:p>
      <w:pPr>
        <w:ind w:left="64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2021 and those referenced herein and in other reports on file with the SEC.</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accounting and reporting policies of the Company are in accordance with U.S.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Company’s accounting policies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Item 8 "Financial Statements and Supplementary Data" of the Company’s 2021 Form 10-K.</w:t>
      </w:r>
    </w:p>
    <w:p>
      <w:pPr>
        <w:spacing w:after="0" w:line="20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The critical accounting and reporting policies include the Company’s accounting for the allowance for loan losses. The Company provides additional information on its allowance for loan losses in Note 1 “Significant Accounting Policies” within Part I, Item 1 of this Quarterly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four commercial bank branches, four mortgage offices, two loan production offices, and three corporate and operations facilities located in key markets throughout our operating area. We serve businesses, not-for-profit associations and entrepreneurs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throughout the region by partnering with them to design tailored financial solutions supported by customized technology and “client first” advice.</w:t>
      </w:r>
    </w:p>
    <w:p>
      <w:pPr>
        <w:spacing w:after="0" w:line="2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endeavor to provide quality service, customized solutions and tailored advice to commercial clients in our operating markets.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93"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partially secured and unsecured credit cards on a nationwide basis to under-banked populations and those looking to rebuild their credit scores.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digital and mobile enabled platform with almost all marketing and application procedures conducted through website and mobile applications. For the secured credit card, a deposit equal to the full credit limit of the card is made into a noninterest 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also offers certain existing customers an unsecured line supplementary to their secured line of credit.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Capital</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September 30, 2022,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closely monitor our capital position and intend to take appropriate steps to ensure our level of capital remains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6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840" w:type="dxa"/>
            <w:vAlign w:val="bottom"/>
            <w:tcBorders>
              <w:bottom w:val="single" w:sz="8" w:color="auto"/>
            </w:tcBorders>
          </w:tcPr>
          <w:p>
            <w:pPr>
              <w:spacing w:after="0"/>
              <w:rPr>
                <w:sz w:val="16"/>
                <w:szCs w:val="16"/>
                <w:color w:val="auto"/>
              </w:rPr>
            </w:pPr>
          </w:p>
        </w:tc>
      </w:tr>
      <w:tr>
        <w:trPr>
          <w:trHeight w:val="191"/>
        </w:trPr>
        <w:tc>
          <w:tcPr>
            <w:tcW w:w="65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 Change</w:t>
            </w:r>
          </w:p>
        </w:tc>
      </w:tr>
      <w:tr>
        <w:trPr>
          <w:trHeight w:val="125"/>
        </w:trPr>
        <w:tc>
          <w:tcPr>
            <w:tcW w:w="6580" w:type="dxa"/>
            <w:vAlign w:val="bottom"/>
          </w:tcPr>
          <w:p>
            <w:pPr>
              <w:ind w:left="20"/>
              <w:spacing w:after="0" w:line="125" w:lineRule="exact"/>
              <w:rPr>
                <w:sz w:val="20"/>
                <w:szCs w:val="20"/>
                <w:color w:val="auto"/>
              </w:rPr>
            </w:pPr>
            <w:r>
              <w:rPr>
                <w:rFonts w:ascii="Arial" w:cs="Arial" w:eastAsia="Arial" w:hAnsi="Arial"/>
                <w:sz w:val="11"/>
                <w:szCs w:val="11"/>
                <w:color w:val="auto"/>
              </w:rPr>
              <w:t>(in thousands)</w:t>
            </w: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1"/>
        </w:trPr>
        <w:tc>
          <w:tcPr>
            <w:tcW w:w="6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38,340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1,663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13.2</w:t>
            </w:r>
          </w:p>
        </w:tc>
      </w:tr>
      <w:tr>
        <w:trPr>
          <w:trHeight w:val="205"/>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36,677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32,059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loan losses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1,260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29.2</w:t>
            </w:r>
          </w:p>
        </w:tc>
      </w:tr>
      <w:tr>
        <w:trPr>
          <w:trHeight w:val="205"/>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35,417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31,084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2"/>
        </w:trPr>
        <w:tc>
          <w:tcPr>
            <w:tcW w:w="658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9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7,108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12,597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28,094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28,627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5"/>
        </w:trPr>
        <w:tc>
          <w:tcPr>
            <w:tcW w:w="6580" w:type="dxa"/>
            <w:vAlign w:val="bottom"/>
          </w:tcPr>
          <w:p>
            <w:pPr>
              <w:ind w:left="220"/>
              <w:spacing w:after="0"/>
              <w:rPr>
                <w:sz w:val="20"/>
                <w:szCs w:val="20"/>
                <w:color w:val="auto"/>
              </w:rPr>
            </w:pPr>
            <w:r>
              <w:rPr>
                <w:rFonts w:ascii="Arial" w:cs="Arial" w:eastAsia="Arial" w:hAnsi="Arial"/>
                <w:sz w:val="16"/>
                <w:szCs w:val="16"/>
                <w:b w:val="1"/>
                <w:bCs w:val="1"/>
                <w:color w:val="auto"/>
              </w:rPr>
              <w:t>Net income before income taxes</w:t>
            </w:r>
          </w:p>
        </w:tc>
        <w:tc>
          <w:tcPr>
            <w:tcW w:w="9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w w:val="98"/>
              </w:rPr>
              <w:t>14,431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15,054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3,336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5"/>
        </w:trPr>
        <w:tc>
          <w:tcPr>
            <w:tcW w:w="6580" w:type="dxa"/>
            <w:vAlign w:val="bottom"/>
          </w:tcPr>
          <w:p>
            <w:pPr>
              <w:ind w:left="22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8"/>
              </w:rPr>
              <w:t>11,095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Net income for the three months ended September 30, 2022 was $11.1 million, compared to net income of $11.2 million for the same period in 2021. Net interest income increased $4.6 million, or 14.4 percent, to $36.7 million when comparing the three months ended September 30, 2022 to the three months ended September 30, 2021, primarily due to an increase in interest earned on portfolio loans. For the quarter ended September 30, 2022, noninterest income was $7.1 million, a decrease of $5.5 million, or 43.6 percent, from $12.6 million in the prior year quarter. The decrease was primarily the result of a reduction in mortgage banking revenue of $3.5 million due to the decline in home loan sales and home loan refinances brought on by the rising interest rate environment as well as a decline in credit card fees of $2.0 million associated with the decline in active customer accounts and interchange income. Noninterest expense was $28.1 million for the three months ended September 30, 2022, as compared to $28.6 million for the three months ended September 30, 2021, a decrease of $533 thousand, or 1.9 percent. The decrease was primarily driven by decreases in data processing expenses of $3.0 million due to successful contract negotiations in the first quarter of 2022 and were offset by increases in salaries and employee benefits of $785 thousand, or 7.9 percent; advertising expenses of $605 thousand, or 58.9 percent; and professional fees of $1.3 million, or 50.6 percent.</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Nine Months Ended September 30,</w:t>
            </w:r>
          </w:p>
        </w:tc>
        <w:tc>
          <w:tcPr>
            <w:tcW w:w="940" w:type="dxa"/>
            <w:vAlign w:val="bottom"/>
            <w:tcBorders>
              <w:bottom w:val="single" w:sz="8" w:color="auto"/>
            </w:tcBorders>
          </w:tcPr>
          <w:p>
            <w:pPr>
              <w:spacing w:after="0"/>
              <w:rPr>
                <w:sz w:val="16"/>
                <w:szCs w:val="16"/>
                <w:color w:val="auto"/>
              </w:rPr>
            </w:pPr>
          </w:p>
        </w:tc>
      </w:tr>
      <w:tr>
        <w:trPr>
          <w:trHeight w:val="191"/>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125"/>
        </w:trPr>
        <w:tc>
          <w:tcPr>
            <w:tcW w:w="6420" w:type="dxa"/>
            <w:vAlign w:val="bottom"/>
          </w:tcPr>
          <w:p>
            <w:pPr>
              <w:ind w:left="20"/>
              <w:spacing w:after="0" w:line="125" w:lineRule="exact"/>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1"/>
        </w:trPr>
        <w:tc>
          <w:tcPr>
            <w:tcW w:w="6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109,298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89,455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2"/>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5,433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(28.4</w:t>
            </w:r>
          </w:p>
        </w:tc>
      </w:tr>
      <w:tr>
        <w:trPr>
          <w:trHeight w:val="205"/>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interest income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105,408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2"/>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loan losses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88.0</w:t>
            </w:r>
          </w:p>
        </w:tc>
      </w:tr>
      <w:tr>
        <w:trPr>
          <w:trHeight w:val="205"/>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Net interest income after provision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101,161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81,763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3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23,811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39,992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82,379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81,572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5"/>
        </w:trPr>
        <w:tc>
          <w:tcPr>
            <w:tcW w:w="6420" w:type="dxa"/>
            <w:vAlign w:val="bottom"/>
          </w:tcPr>
          <w:p>
            <w:pPr>
              <w:ind w:left="240"/>
              <w:spacing w:after="0"/>
              <w:rPr>
                <w:sz w:val="20"/>
                <w:szCs w:val="20"/>
                <w:color w:val="auto"/>
              </w:rPr>
            </w:pPr>
            <w:r>
              <w:rPr>
                <w:rFonts w:ascii="Arial" w:cs="Arial" w:eastAsia="Arial" w:hAnsi="Arial"/>
                <w:sz w:val="16"/>
                <w:szCs w:val="16"/>
                <w:b w:val="1"/>
                <w:bCs w:val="1"/>
                <w:color w:val="auto"/>
              </w:rPr>
              <w:t>Net income before income taxes</w:t>
            </w: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42,593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40,183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5"/>
        </w:trPr>
        <w:tc>
          <w:tcPr>
            <w:tcW w:w="6420" w:type="dxa"/>
            <w:vAlign w:val="bottom"/>
          </w:tcPr>
          <w:p>
            <w:pPr>
              <w:ind w:left="2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32,814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right="120" w:firstLine="318"/>
        <w:spacing w:after="0" w:line="248" w:lineRule="auto"/>
        <w:rPr>
          <w:sz w:val="20"/>
          <w:szCs w:val="20"/>
          <w:color w:val="auto"/>
        </w:rPr>
      </w:pPr>
      <w:r>
        <w:rPr>
          <w:rFonts w:ascii="Arial" w:cs="Arial" w:eastAsia="Arial" w:hAnsi="Arial"/>
          <w:sz w:val="18"/>
          <w:szCs w:val="18"/>
          <w:color w:val="auto"/>
        </w:rPr>
        <w:t>Net income for the nine months ended September 30, 2022 was $32.8 million, an increase of approximately $3.0 million, or 10.1 percent, from net income for the nine months ended September 30, 2021 of $29.8 million. The increase was primarily due to increases in net interest income of $21.4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5" w:name="page46"/>
    <w:bookmarkEnd w:id="45"/>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or 25.5%, when compared to the prior year and primarily due to the $208.4 million increase in average balances in portfolio loans combined with the 79 basis point increase in yield for portfolio loans. Offsetting the net interest income increase was an increase in the provision for loan losses of $2.0 million related primarily to the credit card portfolio and a decrease in noninterest income of $16.2 million, primarily attributable to a reduction in mortgage banking revenues of $13.2 million. Noninterest expense was $82.4 million for the nine months ended September 30, 2022, compared to $81.6 million for the nine months ended September 30, 2021, an increase of $808 thousand, or 1.0 percent. The increase was primarily driven by a $3.8 million, or 14.1 percent, increase in salaries and benefits, an increase in professional fees of 54.9 percent, or $3.0 million, and a $2.3 million, or 74.3 percent, increase in advertising expense. The increase was partially offset by a $6.9 million, or 23.2 percent, decrease in data processing and $1.3 million, or 49.4 percent, decrease in loan processing. The decrease of $6.9 million in data processing expenses was primarily due to contract renegotiations entered into in the first quarter of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35" w:lineRule="exact"/>
        <w:rPr>
          <w:sz w:val="20"/>
          <w:szCs w:val="20"/>
          <w:color w:val="auto"/>
        </w:rPr>
      </w:pPr>
    </w:p>
    <w:p>
      <w:pPr>
        <w:jc w:val="both"/>
        <w:ind w:right="40" w:firstLine="318"/>
        <w:spacing w:after="0" w:line="251" w:lineRule="auto"/>
        <w:rPr>
          <w:sz w:val="20"/>
          <w:szCs w:val="20"/>
          <w:color w:val="auto"/>
        </w:rPr>
      </w:pPr>
      <w:r>
        <w:rPr>
          <w:rFonts w:ascii="Arial" w:cs="Arial" w:eastAsia="Arial" w:hAnsi="Arial"/>
          <w:sz w:val="18"/>
          <w:szCs w:val="18"/>
          <w:color w:val="auto"/>
        </w:rPr>
        <w:t>We analyze our ability to maximize income generated from interest earning assets and control the interest expenses of our liabilities, measured as net interest income, through our net interest margin and net interest spread.</w:t>
      </w:r>
    </w:p>
    <w:p>
      <w:pPr>
        <w:spacing w:after="0" w:line="203"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Net interest income is the difference between interest income on earning assets and the cost of funds supporting those assets. Earning assets are composed primarily of loans, loans held for sale, investment securities, and interest bearing deposits with banks. The cost of funds represents interest expense on deposits and borrowings, which consist of federal funds purchased, advances from the FHLB, and subordinated notes. Noninterest bearing deposits and capital also provide sources of funding.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 bearing liabilities.</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mix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net interest income and net interest margin.</w:t>
      </w:r>
    </w:p>
    <w:p>
      <w:pPr>
        <w:spacing w:after="0" w:line="21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table below presents the average balances and weighted average rates of the major categories of the Company’s assets, liabilities, and stockholders’ equity for the three and nine months ended September 30, 2022 and 2021.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 shown. The weighted average yields and rates include amortization of fees, costs, premiums and discounts, which are considered adjustments to yield/rates. Weighted average yields on tax-exempt securities are not calculated on a fully taxable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920" w:type="dxa"/>
            <w:vAlign w:val="bottom"/>
          </w:tcPr>
          <w:p>
            <w:pPr>
              <w:jc w:val="center"/>
              <w:ind w:right="109"/>
              <w:spacing w:after="0" w:line="145" w:lineRule="exact"/>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2"/>
                <w:szCs w:val="12"/>
                <w:color w:val="auto"/>
              </w:rPr>
            </w:pPr>
          </w:p>
        </w:tc>
        <w:tc>
          <w:tcPr>
            <w:tcW w:w="920" w:type="dxa"/>
            <w:vAlign w:val="bottom"/>
          </w:tcPr>
          <w:p>
            <w:pPr>
              <w:jc w:val="center"/>
              <w:ind w:right="149"/>
              <w:spacing w:after="0" w:line="146"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18"/>
        </w:trPr>
        <w:tc>
          <w:tcPr>
            <w:tcW w:w="3640" w:type="dxa"/>
            <w:vAlign w:val="bottom"/>
          </w:tcPr>
          <w:p>
            <w:pPr>
              <w:ind w:left="20"/>
              <w:spacing w:after="0" w:line="118" w:lineRule="exact"/>
              <w:rPr>
                <w:sz w:val="20"/>
                <w:szCs w:val="20"/>
                <w:color w:val="auto"/>
              </w:rPr>
            </w:pPr>
            <w:r>
              <w:rPr>
                <w:rFonts w:ascii="Arial" w:cs="Arial" w:eastAsia="Arial" w:hAnsi="Arial"/>
                <w:sz w:val="11"/>
                <w:szCs w:val="11"/>
                <w:color w:val="auto"/>
              </w:rPr>
              <w:t>($ in thousands)</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101,187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1.85 %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1,492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1.87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287,944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1,362</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4,116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4.72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7,879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5.15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5,906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17.66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162,217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line="204"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1,601,546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36,086</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8.94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1,404,006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jc w:val="right"/>
              <w:ind w:right="9"/>
              <w:spacing w:after="0"/>
              <w:rPr>
                <w:sz w:val="20"/>
                <w:szCs w:val="20"/>
                <w:color w:val="auto"/>
              </w:rPr>
            </w:pPr>
            <w:r>
              <w:rPr>
                <w:rFonts w:ascii="Arial" w:cs="Arial" w:eastAsia="Arial" w:hAnsi="Arial"/>
                <w:sz w:val="14"/>
                <w:szCs w:val="14"/>
                <w:b w:val="1"/>
                <w:bCs w:val="1"/>
                <w:color w:val="auto"/>
              </w:rPr>
              <w:t>2,010,070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38,340</w:t>
            </w:r>
          </w:p>
        </w:tc>
        <w:tc>
          <w:tcPr>
            <w:tcW w:w="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jc w:val="right"/>
              <w:ind w:right="129"/>
              <w:spacing w:after="0"/>
              <w:rPr>
                <w:sz w:val="20"/>
                <w:szCs w:val="20"/>
                <w:color w:val="auto"/>
              </w:rPr>
            </w:pPr>
            <w:r>
              <w:rPr>
                <w:rFonts w:ascii="Arial" w:cs="Arial" w:eastAsia="Arial" w:hAnsi="Arial"/>
                <w:sz w:val="14"/>
                <w:szCs w:val="14"/>
                <w:b w:val="1"/>
                <w:bCs w:val="1"/>
                <w:color w:val="auto"/>
              </w:rPr>
              <w:t>7.57</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2,025,261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33,528</w:t>
            </w:r>
          </w:p>
        </w:tc>
        <w:tc>
          <w:tcPr>
            <w:tcW w:w="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jc w:val="right"/>
              <w:ind w:right="109"/>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39,008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4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2,049,078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2,084,772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244,929</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0.06 %</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301,272</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9,216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555,634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815</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0.58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495,534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155,091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531</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40,700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36,384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1,005,570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1,663</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0.66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1,091,051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73"/>
        </w:trPr>
        <w:tc>
          <w:tcPr>
            <w:tcW w:w="364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24,440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802,458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786,784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216,610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4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2,049,078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2,084,772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6.91 %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6.04 %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36,677</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32,059</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line="185"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b w:val="1"/>
                <w:bCs w:val="1"/>
                <w:color w:val="auto"/>
              </w:rPr>
              <w:t>7.24 %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6.28 %</w:t>
            </w:r>
          </w:p>
        </w:tc>
        <w:tc>
          <w:tcPr>
            <w:tcW w:w="0" w:type="dxa"/>
            <w:vAlign w:val="bottom"/>
          </w:tcPr>
          <w:p>
            <w:pPr>
              <w:spacing w:after="0" w:line="20" w:lineRule="exact"/>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85" w:lineRule="auto"/>
        <w:tabs>
          <w:tab w:leader="none" w:pos="320"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320" w:hanging="314"/>
        <w:spacing w:after="0" w:line="190" w:lineRule="auto"/>
        <w:tabs>
          <w:tab w:leader="none" w:pos="320"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Includes nonaccrual loans.</w:t>
      </w:r>
    </w:p>
    <w:p>
      <w:pPr>
        <w:spacing w:after="0" w:line="5" w:lineRule="exact"/>
        <w:rPr>
          <w:rFonts w:ascii="Arial" w:cs="Arial" w:eastAsia="Arial" w:hAnsi="Arial"/>
          <w:sz w:val="14"/>
          <w:szCs w:val="14"/>
          <w:color w:val="auto"/>
          <w:vertAlign w:val="superscript"/>
        </w:rPr>
      </w:pPr>
    </w:p>
    <w:p>
      <w:pPr>
        <w:ind w:left="320" w:hanging="314"/>
        <w:spacing w:after="0" w:line="190" w:lineRule="auto"/>
        <w:tabs>
          <w:tab w:leader="none" w:pos="320"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For the three months ended September 30, 2022 and 2021, SBA-PPP loans and credit card loans collectively accounted for 308 and 276 basis points of the reported net interest margin, respectively.</w:t>
      </w: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net interest margin increased 96 basis points to 7.24% for the three months ended September 30, 2022 from the same period in 2021 due in large part to the growth in portfolio loan balances and an increase in loan yields on those loans. Net interest margin, excluding credit card and SBA-PPP loans, was 4.16% for the third quarter of 2022 compared to 3.52% for the same period in 2021. For the three months ended September 30, 2022, average interest earning assets decreased $15.2 million, or 0.8 percent, to $2.0 billion as compared to the same period in 2021, and the average yield on interest earning assets increased 100 basis points. Compared to the same period in the prior year, average interest-bearing liabilities decreased $85.5 million, or 7.8 percent, while the average cost of interest-bearing liabilities increased 13 basis points to 0.66% from 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rPr>
              <w:t>Outstanding</w:t>
            </w: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18"/>
        </w:trPr>
        <w:tc>
          <w:tcPr>
            <w:tcW w:w="3640" w:type="dxa"/>
            <w:vAlign w:val="bottom"/>
          </w:tcPr>
          <w:p>
            <w:pPr>
              <w:ind w:left="20"/>
              <w:spacing w:after="0" w:line="118" w:lineRule="exact"/>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172,033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0.78 %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0.12 %</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0.48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234,294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2,510</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3,913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4.54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39,063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3,449</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11.80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215,524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6,266</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line="204"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1,547,386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101,849</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8.80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1,339,010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80,240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4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2,010,200</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109,298</w:t>
            </w:r>
          </w:p>
        </w:tc>
        <w:tc>
          <w:tcPr>
            <w:tcW w:w="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jc w:val="right"/>
              <w:ind w:right="129"/>
              <w:spacing w:after="0"/>
              <w:rPr>
                <w:sz w:val="20"/>
                <w:szCs w:val="20"/>
                <w:color w:val="auto"/>
              </w:rPr>
            </w:pPr>
            <w:r>
              <w:rPr>
                <w:rFonts w:ascii="Arial" w:cs="Arial" w:eastAsia="Arial" w:hAnsi="Arial"/>
                <w:sz w:val="14"/>
                <w:szCs w:val="14"/>
                <w:b w:val="1"/>
                <w:bCs w:val="1"/>
                <w:color w:val="auto"/>
              </w:rPr>
              <w:t>7.27</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1,988,101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89,455</w:t>
            </w:r>
          </w:p>
        </w:tc>
        <w:tc>
          <w:tcPr>
            <w:tcW w:w="12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jc w:val="right"/>
              <w:ind w:right="109"/>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47,936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37,485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4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2,058,136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2,025,586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265,854</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0.06 %</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280,305</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0.08 %</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553,794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1,512</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0.37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475,875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161,982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1,604</w:t>
            </w:r>
          </w:p>
        </w:tc>
        <w:tc>
          <w:tcPr>
            <w:tcW w:w="12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Borrowed funds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36,299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656</w:t>
            </w:r>
          </w:p>
        </w:tc>
        <w:tc>
          <w:tcPr>
            <w:tcW w:w="12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34,265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97"/>
        </w:trPr>
        <w:tc>
          <w:tcPr>
            <w:tcW w:w="36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1,027,067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3,890</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0.51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1,092,585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5,433</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173"/>
        </w:trPr>
        <w:tc>
          <w:tcPr>
            <w:tcW w:w="364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797,660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735,509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209,661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174,165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4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2,058,136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2,025,586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6.76 %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5.36 %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105,408</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4"/>
                <w:szCs w:val="14"/>
                <w:color w:val="auto"/>
              </w:rPr>
              <w:t>84,022</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line="185"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b w:val="1"/>
                <w:bCs w:val="1"/>
                <w:color w:val="auto"/>
              </w:rPr>
              <w:t>7.01 %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5.65 %</w:t>
            </w:r>
          </w:p>
        </w:tc>
        <w:tc>
          <w:tcPr>
            <w:tcW w:w="0" w:type="dxa"/>
            <w:vAlign w:val="bottom"/>
          </w:tcPr>
          <w:p>
            <w:pPr>
              <w:spacing w:after="0" w:line="20" w:lineRule="exact"/>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85" w:lineRule="auto"/>
        <w:tabs>
          <w:tab w:leader="none" w:pos="3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320" w:hanging="314"/>
        <w:spacing w:after="0" w:line="190" w:lineRule="auto"/>
        <w:tabs>
          <w:tab w:leader="none" w:pos="3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Includes nonaccrual loans.</w:t>
      </w:r>
    </w:p>
    <w:p>
      <w:pPr>
        <w:spacing w:after="0" w:line="5" w:lineRule="exact"/>
        <w:rPr>
          <w:rFonts w:ascii="Arial" w:cs="Arial" w:eastAsia="Arial" w:hAnsi="Arial"/>
          <w:sz w:val="14"/>
          <w:szCs w:val="14"/>
          <w:color w:val="auto"/>
          <w:vertAlign w:val="superscript"/>
        </w:rPr>
      </w:pPr>
    </w:p>
    <w:p>
      <w:pPr>
        <w:ind w:left="320" w:hanging="314"/>
        <w:spacing w:after="0" w:line="190" w:lineRule="auto"/>
        <w:tabs>
          <w:tab w:leader="none" w:pos="3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For the nine months ended September 30, 2022 and 2021, SBA-PPP loans and credit card loans collectively accounted for 307 and 208 basis points of the reported net interest margin, respectively.</w:t>
      </w:r>
    </w:p>
    <w:p>
      <w:pPr>
        <w:spacing w:after="0" w:line="23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the nine months ended September 30, 2022, net interest margin increased 136 basis points to 7.01% from the same period in 2021 due in large part to the growth in portfolio loan balances and an increase in loan yields on the credit card loans. Net interest margin, excluding credit card and SBA-PPP loans, was 3.94% for the nine months ended September 30, 2022 compared to 3.57% for the same period in 2021. For the nine months ended September 30, 2022, average interest earning assets increased $22.1 million, or 1.1 percent, to $2.0 billion as compared to the same period in 2021, and the average yield on interest earning assets increased 125 basis points, from 6.02% for the nine months ended September 30, 2021 to 7.27% for the nine months ended September 30, 2022. Compared to the same period in the prior year, average interest-bearing liabilities decreased $65.5 million, or 6.0 percent, while the average cost of interest bearing liabilities decreased 15 basis points to 0.51% from 0.66%.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3"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rate/volume table below presents the composition of the change in net interest income for the periods indicated, as allocated between the change in net interest income due to changes in the volume of average earning assets and interest bearing liabilities, and the changes in net interest income due to changes in interest rates.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rPr>
              <w:t>Three Months Ended September 30, 2022</w:t>
            </w:r>
          </w:p>
        </w:tc>
        <w:tc>
          <w:tcPr>
            <w:tcW w:w="200" w:type="dxa"/>
            <w:vAlign w:val="bottom"/>
          </w:tcPr>
          <w:p>
            <w:pPr>
              <w:spacing w:after="0"/>
              <w:rPr>
                <w:sz w:val="16"/>
                <w:szCs w:val="16"/>
                <w:color w:val="auto"/>
              </w:rPr>
            </w:pPr>
          </w:p>
        </w:tc>
        <w:tc>
          <w:tcPr>
            <w:tcW w:w="3180" w:type="dxa"/>
            <w:vAlign w:val="bottom"/>
            <w:gridSpan w:val="7"/>
          </w:tcPr>
          <w:p>
            <w:pPr>
              <w:jc w:val="center"/>
              <w:spacing w:after="0"/>
              <w:rPr>
                <w:sz w:val="20"/>
                <w:szCs w:val="20"/>
                <w:color w:val="auto"/>
              </w:rPr>
            </w:pPr>
            <w:r>
              <w:rPr>
                <w:rFonts w:ascii="Arial" w:cs="Arial" w:eastAsia="Arial" w:hAnsi="Arial"/>
                <w:sz w:val="14"/>
                <w:szCs w:val="14"/>
                <w:b w:val="1"/>
                <w:bCs w:val="1"/>
                <w:color w:val="auto"/>
              </w:rPr>
              <w:t>Nine Months Ended September 30, 2022</w:t>
            </w:r>
          </w:p>
        </w:tc>
        <w:tc>
          <w:tcPr>
            <w:tcW w:w="0" w:type="dxa"/>
            <w:vAlign w:val="bottom"/>
          </w:tcPr>
          <w:p>
            <w:pPr>
              <w:spacing w:after="0"/>
              <w:rPr>
                <w:sz w:val="1"/>
                <w:szCs w:val="1"/>
                <w:color w:val="auto"/>
              </w:rPr>
            </w:pPr>
          </w:p>
        </w:tc>
      </w:tr>
      <w:tr>
        <w:trPr>
          <w:trHeight w:val="199"/>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Compared to</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Compared to</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6"/>
          </w:tcPr>
          <w:p>
            <w:pPr>
              <w:ind w:left="460"/>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6"/>
                <w:szCs w:val="16"/>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6"/>
                <w:szCs w:val="16"/>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6"/>
                <w:szCs w:val="16"/>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64"/>
        </w:trPr>
        <w:tc>
          <w:tcPr>
            <w:tcW w:w="39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9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9"/>
                <w:szCs w:val="19"/>
                <w:color w:val="auto"/>
              </w:rPr>
            </w:pPr>
          </w:p>
        </w:tc>
        <w:tc>
          <w:tcPr>
            <w:tcW w:w="900" w:type="dxa"/>
            <w:vAlign w:val="bottom"/>
          </w:tcPr>
          <w:p>
            <w:pPr>
              <w:jc w:val="right"/>
              <w:ind w:right="229"/>
              <w:spacing w:after="0"/>
              <w:rPr>
                <w:sz w:val="20"/>
                <w:szCs w:val="20"/>
                <w:color w:val="auto"/>
              </w:rPr>
            </w:pPr>
            <w:r>
              <w:rPr>
                <w:rFonts w:ascii="Arial" w:cs="Arial" w:eastAsia="Arial" w:hAnsi="Arial"/>
                <w:sz w:val="14"/>
                <w:szCs w:val="14"/>
                <w:b w:val="1"/>
                <w:bCs w:val="1"/>
                <w:color w:val="auto"/>
              </w:rPr>
              <w:t>Volume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Variance</w:t>
            </w:r>
          </w:p>
        </w:tc>
        <w:tc>
          <w:tcPr>
            <w:tcW w:w="200" w:type="dxa"/>
            <w:vAlign w:val="bottom"/>
          </w:tcPr>
          <w:p>
            <w:pPr>
              <w:spacing w:after="0"/>
              <w:rPr>
                <w:sz w:val="19"/>
                <w:szCs w:val="19"/>
                <w:color w:val="auto"/>
              </w:rPr>
            </w:pP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1"/>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3"/>
        </w:trPr>
        <w:tc>
          <w:tcPr>
            <w:tcW w:w="396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3"/>
        </w:trPr>
        <w:tc>
          <w:tcPr>
            <w:tcW w:w="396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3"/>
        </w:trPr>
        <w:tc>
          <w:tcPr>
            <w:tcW w:w="3960" w:type="dxa"/>
            <w:vAlign w:val="bottom"/>
          </w:tcPr>
          <w:p>
            <w:pPr>
              <w:ind w:left="180"/>
              <w:spacing w:after="0"/>
              <w:rPr>
                <w:sz w:val="20"/>
                <w:szCs w:val="20"/>
                <w:color w:val="auto"/>
              </w:rPr>
            </w:pPr>
            <w:r>
              <w:rPr>
                <w:rFonts w:ascii="Arial" w:cs="Arial" w:eastAsia="Arial" w:hAnsi="Arial"/>
                <w:sz w:val="14"/>
                <w:szCs w:val="14"/>
                <w:color w:val="auto"/>
              </w:rPr>
              <w:t>SBA-PPP loans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(6,959)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excluding credit card loans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3"/>
        </w:trPr>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Credit card loans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2"/>
        </w:trPr>
        <w:tc>
          <w:tcPr>
            <w:tcW w:w="3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income</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3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3"/>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expense</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Net interest income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(3,751)</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8,369</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4,618</w:t>
            </w:r>
          </w:p>
        </w:tc>
        <w:tc>
          <w:tcPr>
            <w:tcW w:w="12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21,344</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When comparing the three months ended September 30, 2022 to the same period in 2021, the greatest positive impact to total interest income was associated with growth in the loan portfolio, excluding credit cards, which contributed an additional $3.3 million in interest income. The credit card portfolio, on a stand alone basis, contributed an additional increase of $1.7 million when comparing the three months ended September 30, 2022 to the three months ended September 30, 2021 due to both volume increases and increases in late charges which impacted the rate calculation. When comparing the nine months ended September 30, 2022 to the same period in the prior year, credit card loans provided a $14.4 million increase in interest income, due to both growth and increases in late charges which impacted the rate component, while portfolio loans excluding credit card loans contributed a $7.2 million growth due mainly to growth in the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35"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provision for loan losses of $1.3 million for the three months ended September 30, 2022 was related to growth in certain segments of the credit card portfolio and the cycling of credit card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9" w:name="page50"/>
    <w:bookmarkEnd w:id="49"/>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was net of a $1 million provision release in the commercial banking segment. Net charge-offs for the third quarter of 2022 were $1.6 million, or 0.39% on an annualized basis of average portfolio loans, compared to $301 thousand, or 0.08% on an annualized basis of average loans for the third quarter of 2021. Although the majority of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cards are secured, losses may occur due to fraud, when the account exceeds its established limit or if a cardholder ceases to maintain the account in good standing. Identity fraud, payment fraud and funding fraud can result in losses. Customers exceeding established credit limits occurs due to certain VISA membership policies that allow cardholders to incur certain charges even if they exceed their card limits, which include, but are not limited to, rental car charges, gas stations and hotel deposits. Finally, losses to our credit card portfolio may arise if cardholders cease to maintain the account in good standing with timely payments. All of the $1.6 million in net charge-offs during the quarter of 2022 were related to the credit card portfolio with $1.5 million related to secured cards and $95 thousand related to unsecured cards.</w:t>
      </w:r>
    </w:p>
    <w:p>
      <w:pPr>
        <w:spacing w:after="0" w:line="21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nine months ended September 30, 2022, the provision for loan losses was $4.2 million, an increase of $2.0 million from the prior year to date period and was primarily related to the credit card portfolio. Net charge-offs for the nine months ended September 30, 2022 were $3.3 million, or 0.29% of average portfolio loans on an annualized basis, compared to $941 thousand, or 0.09% of average portfolio loans on an annualized basis, for the same period in 2021. The $3.3 million in net charge-offs during the nine months ended September 30, 2022 was comprised of credit card portfolio net charge-offs of $3.2 million related to secured cards and $116 thousand related to unsecured cards.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allowance for loan losses as a percent of portfolio loans was 1.58% at September 30, 2022 and 1.65% at December 31,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19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NONINTEREST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7"/>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080" w:type="dxa"/>
            <w:vAlign w:val="bottom"/>
            <w:gridSpan w:val="6"/>
          </w:tcPr>
          <w:p>
            <w:pPr>
              <w:jc w:val="right"/>
              <w:ind w:right="3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5"/>
        </w:trPr>
        <w:tc>
          <w:tcPr>
            <w:tcW w:w="4000" w:type="dxa"/>
            <w:vAlign w:val="bottom"/>
          </w:tcPr>
          <w:p>
            <w:pPr>
              <w:ind w:left="20"/>
              <w:spacing w:after="0" w:line="125" w:lineRule="exact"/>
              <w:rPr>
                <w:sz w:val="20"/>
                <w:szCs w:val="20"/>
                <w:color w:val="auto"/>
              </w:rPr>
            </w:pPr>
            <w:r>
              <w:rPr>
                <w:rFonts w:ascii="Arial" w:cs="Arial" w:eastAsia="Arial" w:hAnsi="Arial"/>
                <w:sz w:val="11"/>
                <w:szCs w:val="11"/>
                <w:color w:val="auto"/>
              </w:rPr>
              <w:t>(in thousands)</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tcPr>
          <w:p>
            <w:pPr>
              <w:ind w:left="180"/>
              <w:spacing w:after="0"/>
              <w:rPr>
                <w:sz w:val="20"/>
                <w:szCs w:val="20"/>
                <w:color w:val="auto"/>
              </w:rPr>
            </w:pPr>
            <w:r>
              <w:rPr>
                <w:rFonts w:ascii="Arial" w:cs="Arial" w:eastAsia="Arial" w:hAnsi="Arial"/>
                <w:sz w:val="16"/>
                <w:szCs w:val="16"/>
                <w:color w:val="auto"/>
              </w:rPr>
              <w:t>Service charges on deposit accounts</w:t>
            </w: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24.4 %</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 fees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2"/>
        </w:trPr>
        <w:tc>
          <w:tcPr>
            <w:tcW w:w="4000" w:type="dxa"/>
            <w:vAlign w:val="bottom"/>
          </w:tcPr>
          <w:p>
            <w:pPr>
              <w:ind w:left="180"/>
              <w:spacing w:after="0"/>
              <w:rPr>
                <w:sz w:val="20"/>
                <w:szCs w:val="20"/>
                <w:color w:val="auto"/>
              </w:rPr>
            </w:pPr>
            <w:r>
              <w:rPr>
                <w:rFonts w:ascii="Arial" w:cs="Arial" w:eastAsia="Arial" w:hAnsi="Arial"/>
                <w:sz w:val="16"/>
                <w:szCs w:val="16"/>
                <w:color w:val="auto"/>
              </w:rPr>
              <w:t>Mortgage banking revenue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4,465</w:t>
            </w:r>
          </w:p>
        </w:tc>
        <w:tc>
          <w:tcPr>
            <w:tcW w:w="100" w:type="dxa"/>
            <w:vAlign w:val="bottom"/>
          </w:tcPr>
          <w:p>
            <w:pPr>
              <w:spacing w:after="0"/>
              <w:rPr>
                <w:sz w:val="18"/>
                <w:szCs w:val="18"/>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(78.3)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17,478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Gain on sale of investment securities available for</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 net</w:t>
            </w: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2"/>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noninterest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12,597</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39,992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100" w:firstLine="318"/>
        <w:spacing w:after="0" w:line="239" w:lineRule="auto"/>
        <w:rPr>
          <w:sz w:val="20"/>
          <w:szCs w:val="20"/>
          <w:color w:val="auto"/>
        </w:rPr>
      </w:pPr>
      <w:r>
        <w:rPr>
          <w:rFonts w:ascii="Arial" w:cs="Arial" w:eastAsia="Arial" w:hAnsi="Arial"/>
          <w:sz w:val="18"/>
          <w:szCs w:val="18"/>
          <w:color w:val="auto"/>
        </w:rPr>
        <w:t>For the three months ended September 30, 2022, OpenSky's</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credit card accounts decreased by 40 thousand net compared to a 7 thousand net decrease for the same period in 2021. Elevated new account originations related to COVID-19 stimulus payments that were realized in 2021 did not recur in 2022. The decrease in active accounts led to a decrease in interchange, renewal and other fees during the three months ended September 30, 2022 when compared to the same period in 2021.</w:t>
      </w:r>
    </w:p>
    <w:p>
      <w:pPr>
        <w:spacing w:after="0" w:line="21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The continued steepening of the yield curve during 2022 slowed mortgage originations from the year earlier when low interest rates fueled refinance volumes. The Bank’s Capital Bank Home Loans division saw origination volumes decline 72.1 percent, to $60.5 million, in the third quarter of 2022, when compared to $217.2 million in the third quarter of 2021. Gain on sale margins are down from 2.67% for the three months ended September 30, 2021, to 2.05% for the three months ended September 30, 2022, as mortgage lenders continue to compete over a dwindling customer base. Historically-low housing inventory, shortages in new home building materials, and increasing interest rates are likely to continue suppressing origination volumes into 2023.</w:t>
      </w:r>
    </w:p>
    <w:p>
      <w:pPr>
        <w:spacing w:after="0" w:line="211"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was $1.2 million at September 30, 2022 and December 31, 2021. The Bank did not repurchase any loans during the three and nine months ended September 30, 2022 but did repurchase one loan during the three and nine months ended September 30, 2021 totaling $205 thousand.</w:t>
      </w:r>
    </w:p>
    <w:p>
      <w:pPr>
        <w:spacing w:after="0" w:line="207"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For the nine months ended September 30, 2022, noninterest income was $23.8 million, a decrease of $16.2 million, or 40.5 percent, from the same period in 2021, and was primarily driven by the reduction in mortgage banking revenues of $13.2 million. Gain on sale margins dropped to 2.38% for the nine months ended September 30, 2022, from 2.85%, when compared to the same period last year. The steepening yield curve in 2022 has slowed originations from the year earlier period when low interest rates fueled refinance volumes. Historically-low housing inventory, shortages in new home building materials, and rising interest rates are likely to continue suppressing origination volumes into 2023. Purchase volume as a percentage of loan originations was 79.2 percent for the nine months ended September 30, 2022, compared to 39.6 percent for the nine months ended September 30, 2021, reflecting the market shift away from refinancing due to rising interest rates. Credit card fees were down 16.7 percent, or $3.6 million when comparing the nine months ended September 30, 2022 to the same period in the prior year due to the decrease in the number of credit card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1" w:name="page52"/>
    <w:bookmarkEnd w:id="51"/>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Generally, noninterest expense is comprised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NONINTEREST EXPENSE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20" w:type="dxa"/>
            <w:vAlign w:val="bottom"/>
            <w:gridSpan w:val="7"/>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380" w:type="dxa"/>
            <w:vAlign w:val="bottom"/>
            <w:gridSpan w:val="6"/>
          </w:tcPr>
          <w:p>
            <w:pPr>
              <w:jc w:val="right"/>
              <w:ind w:right="489"/>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33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 Change</w:t>
            </w:r>
          </w:p>
        </w:tc>
      </w:tr>
      <w:tr>
        <w:trPr>
          <w:trHeight w:val="125"/>
        </w:trPr>
        <w:tc>
          <w:tcPr>
            <w:tcW w:w="3380" w:type="dxa"/>
            <w:vAlign w:val="bottom"/>
          </w:tcPr>
          <w:p>
            <w:pPr>
              <w:ind w:left="20"/>
              <w:spacing w:after="0" w:line="125" w:lineRule="exact"/>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31"/>
        </w:trPr>
        <w:tc>
          <w:tcPr>
            <w:tcW w:w="338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4"/>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2"/>
        </w:trPr>
        <w:tc>
          <w:tcPr>
            <w:tcW w:w="338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998</w:t>
            </w:r>
          </w:p>
        </w:tc>
        <w:tc>
          <w:tcPr>
            <w:tcW w:w="1380" w:type="dxa"/>
            <w:vAlign w:val="bottom"/>
            <w:gridSpan w:val="2"/>
          </w:tcPr>
          <w:p>
            <w:pPr>
              <w:jc w:val="right"/>
              <w:ind w:right="129"/>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2,555</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50.6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12"/>
        </w:trPr>
        <w:tc>
          <w:tcPr>
            <w:tcW w:w="338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10,161</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(29.4)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22,721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29,594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(23.2</w:t>
            </w: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1,027</w:t>
            </w:r>
          </w:p>
        </w:tc>
        <w:tc>
          <w:tcPr>
            <w:tcW w:w="13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58.9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12"/>
        </w:trPr>
        <w:tc>
          <w:tcPr>
            <w:tcW w:w="338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644</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(49.4</w:t>
            </w:r>
          </w:p>
        </w:tc>
      </w:tr>
      <w:tr>
        <w:trPr>
          <w:trHeight w:val="212"/>
        </w:trPr>
        <w:tc>
          <w:tcPr>
            <w:tcW w:w="3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operating</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3,280</w:t>
            </w:r>
          </w:p>
        </w:tc>
        <w:tc>
          <w:tcPr>
            <w:tcW w:w="13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5"/>
        </w:trPr>
        <w:tc>
          <w:tcPr>
            <w:tcW w:w="3380" w:type="dxa"/>
            <w:vAlign w:val="bottom"/>
          </w:tcPr>
          <w:p>
            <w:pPr>
              <w:ind w:left="340"/>
              <w:spacing w:after="0"/>
              <w:rPr>
                <w:sz w:val="20"/>
                <w:szCs w:val="20"/>
                <w:color w:val="auto"/>
              </w:rPr>
            </w:pPr>
            <w:r>
              <w:rPr>
                <w:rFonts w:ascii="Arial" w:cs="Arial" w:eastAsia="Arial" w:hAnsi="Arial"/>
                <w:sz w:val="16"/>
                <w:szCs w:val="16"/>
                <w:color w:val="auto"/>
              </w:rPr>
              <w:t>Total noninterest expense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28,094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28,627</w:t>
            </w:r>
          </w:p>
        </w:tc>
        <w:tc>
          <w:tcPr>
            <w:tcW w:w="1380" w:type="dxa"/>
            <w:vAlign w:val="bottom"/>
            <w:gridSpan w:val="2"/>
          </w:tcPr>
          <w:p>
            <w:pPr>
              <w:jc w:val="right"/>
              <w:ind w:right="89"/>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82,379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81,572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Noninterest expense was $28.1 million for the three months ended September 30, 2022, as compared to $28.6 million for the three months ended September 30, 2021, a decrease of $533 thousand, or 1.9 percent. The decrease was primarily driven by decreases in data processing expenses of $3.0 million due to successful contract negotiations in the first quarter of 2022 and were offset by increases in salaries and employee benefits of $785 thousand, or 7.9 percent; advertising expenses of $605 thousand, or 58.9 percent; and professional fees of $1.3 million, or 50.6 percent.</w:t>
      </w:r>
    </w:p>
    <w:p>
      <w:pPr>
        <w:spacing w:after="0" w:line="207"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Noninterest expense was $82.4 million for the nine months ended September 30, 2022, compared to $81.6 million for the nine months ended September 30, 2021, an increase of $808 thousand, or 1.0 percent. The increase was primarily driven by a $3.8 million, or 14.1 percent, increase in salaries and benefits, an increase in professional fees of 54.9 percent, or $3.0 million, and a $2.3 million, or 74.3 percent, increase in advertising expense. The increase was partially offset by a $6.9 million, or 23.2 percent, decrease in data processing and $1.3 million, or 49.4 percent, decrease in loan processing expense. The decrease of $6.9 million in data processing expenses was primarily due to a contract renegotiation entered into in the first quarter of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5" w:lineRule="exact"/>
        <w:rPr>
          <w:sz w:val="20"/>
          <w:szCs w:val="20"/>
          <w:color w:val="auto"/>
        </w:rPr>
      </w:pPr>
    </w:p>
    <w:p>
      <w:pPr>
        <w:jc w:val="both"/>
        <w:ind w:right="100" w:firstLine="318"/>
        <w:spacing w:after="0" w:line="270" w:lineRule="auto"/>
        <w:rPr>
          <w:sz w:val="20"/>
          <w:szCs w:val="20"/>
          <w:color w:val="auto"/>
        </w:rPr>
      </w:pPr>
      <w:r>
        <w:rPr>
          <w:rFonts w:ascii="Arial" w:cs="Arial" w:eastAsia="Arial" w:hAnsi="Arial"/>
          <w:sz w:val="17"/>
          <w:szCs w:val="17"/>
          <w:color w:val="auto"/>
        </w:rPr>
        <w:t>The amount of income tax expense we incur is influenced by our pre-tax income and our nondeductible expenses. Deferred tax assets and liabilities are reflected at current income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88"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Income tax expense was $3.3 million for the three months ended September 30, 2022 compared to $3.9 million for the same period of 2021. Our effective tax rates for those periods were 23.1% and 25.8%, respectively. For the nine months ended September 30, 2022, income tax expense was $9.8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2" w:name="page53"/>
    <w:bookmarkEnd w:id="52"/>
    <w:p>
      <w:pPr>
        <w:spacing w:after="0" w:line="18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compared to $10.4 million for the nine months ended September 30, 2021, with effective tax rates of 23.0% and 25.8% for 2022 and 2021,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financial condition at the dates indicated.</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Change expressed in:</w:t>
            </w:r>
          </w:p>
        </w:tc>
      </w:tr>
      <w:tr>
        <w:trPr>
          <w:trHeight w:val="192"/>
        </w:trPr>
        <w:tc>
          <w:tcPr>
            <w:tcW w:w="4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00" w:type="dxa"/>
            <w:vAlign w:val="bottom"/>
          </w:tcPr>
          <w:p>
            <w:pPr>
              <w:spacing w:after="0"/>
              <w:rPr>
                <w:sz w:val="16"/>
                <w:szCs w:val="16"/>
                <w:color w:val="auto"/>
              </w:rPr>
            </w:pPr>
          </w:p>
        </w:tc>
        <w:tc>
          <w:tcPr>
            <w:tcW w:w="1260" w:type="dxa"/>
            <w:vAlign w:val="bottom"/>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Dollars</w:t>
            </w:r>
          </w:p>
        </w:tc>
        <w:tc>
          <w:tcPr>
            <w:tcW w:w="1400" w:type="dxa"/>
            <w:vAlign w:val="bottom"/>
          </w:tcPr>
          <w:p>
            <w:pPr>
              <w:jc w:val="right"/>
              <w:ind w:right="261"/>
              <w:spacing w:after="0"/>
              <w:rPr>
                <w:sz w:val="20"/>
                <w:szCs w:val="20"/>
                <w:color w:val="auto"/>
              </w:rPr>
            </w:pPr>
            <w:r>
              <w:rPr>
                <w:rFonts w:ascii="Arial" w:cs="Arial" w:eastAsia="Arial" w:hAnsi="Arial"/>
                <w:sz w:val="14"/>
                <w:szCs w:val="14"/>
                <w:b w:val="1"/>
                <w:bCs w:val="1"/>
                <w:color w:val="auto"/>
              </w:rPr>
              <w:t>Percent</w:t>
            </w: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2,009,358</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2,169,556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(160,198)</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9"/>
        </w:trPr>
        <w:tc>
          <w:tcPr>
            <w:tcW w:w="4400" w:type="dxa"/>
            <w:vAlign w:val="bottom"/>
          </w:tcPr>
          <w:p>
            <w:pPr>
              <w:ind w:left="20"/>
              <w:spacing w:after="0"/>
              <w:rPr>
                <w:sz w:val="20"/>
                <w:szCs w:val="20"/>
                <w:color w:val="auto"/>
              </w:rPr>
            </w:pPr>
            <w:r>
              <w:rPr>
                <w:rFonts w:ascii="Arial" w:cs="Arial" w:eastAsia="Arial" w:hAnsi="Arial"/>
                <w:sz w:val="16"/>
                <w:szCs w:val="16"/>
                <w:color w:val="auto"/>
              </w:rPr>
              <w:t>AFS securities</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269,620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189,165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80,455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5"/>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Portfolio loans receivable, net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1,648,001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1,445,126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202,875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9"/>
        </w:trPr>
        <w:tc>
          <w:tcPr>
            <w:tcW w:w="4400" w:type="dxa"/>
            <w:vAlign w:val="bottom"/>
          </w:tcPr>
          <w:p>
            <w:pPr>
              <w:ind w:left="20"/>
              <w:spacing w:after="0"/>
              <w:rPr>
                <w:sz w:val="20"/>
                <w:szCs w:val="20"/>
                <w:color w:val="auto"/>
              </w:rPr>
            </w:pPr>
            <w:r>
              <w:rPr>
                <w:rFonts w:ascii="Arial" w:cs="Arial" w:eastAsia="Arial" w:hAnsi="Arial"/>
                <w:sz w:val="16"/>
                <w:szCs w:val="16"/>
                <w:color w:val="auto"/>
              </w:rPr>
              <w:t>Deposits</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1,737,591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1,921,238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(183,647)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4"/>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34,062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34,062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214,005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189,080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24,925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4"/>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to total assets at end of period</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9"/>
        </w:trPr>
        <w:tc>
          <w:tcPr>
            <w:tcW w:w="4400" w:type="dxa"/>
            <w:vAlign w:val="bottom"/>
          </w:tcPr>
          <w:p>
            <w:pPr>
              <w:ind w:left="20"/>
              <w:spacing w:after="0"/>
              <w:rPr>
                <w:sz w:val="20"/>
                <w:szCs w:val="20"/>
                <w:color w:val="auto"/>
              </w:rPr>
            </w:pPr>
            <w:r>
              <w:rPr>
                <w:rFonts w:ascii="Arial" w:cs="Arial" w:eastAsia="Arial" w:hAnsi="Arial"/>
                <w:sz w:val="16"/>
                <w:szCs w:val="16"/>
                <w:color w:val="auto"/>
              </w:rPr>
              <w:t>Average number of basic shares outstanding</w:t>
            </w: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14,009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13,772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diluted shares outstanding</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14,329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14,111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bl>
    <w:p>
      <w:pPr>
        <w:spacing w:after="0" w:line="304" w:lineRule="exact"/>
        <w:rPr>
          <w:sz w:val="20"/>
          <w:szCs w:val="20"/>
          <w:color w:val="auto"/>
        </w:rPr>
      </w:pPr>
    </w:p>
    <w:p>
      <w:pPr>
        <w:jc w:val="both"/>
        <w:ind w:right="140" w:firstLine="318"/>
        <w:spacing w:after="0" w:line="247" w:lineRule="auto"/>
        <w:rPr>
          <w:sz w:val="20"/>
          <w:szCs w:val="20"/>
          <w:color w:val="auto"/>
        </w:rPr>
      </w:pPr>
      <w:r>
        <w:rPr>
          <w:rFonts w:ascii="Arial" w:cs="Arial" w:eastAsia="Arial" w:hAnsi="Arial"/>
          <w:sz w:val="18"/>
          <w:szCs w:val="18"/>
          <w:color w:val="auto"/>
        </w:rPr>
        <w:t>Total assets at September 30, 2022 decreased $160.2 million in comparison to the balance at September 30, 2021. Increases in portfolio loans receivable were offset by decreases in the loans held for sale portfolio of $29.1 million as well as a reduction in SBA-PPP loans of $134.5 million when comparing the period end balances at September 30, 2022 to September 30, 2021. Reductions in higher priced time deposits of $66.2 million coupled with the $117.7 million decrease in interest bearing demand accounts was responsible for the large decrease in our cash liquidity position when comparing period end balances at September 30, 2022 to September 30,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35"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203"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20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To supplement interest income earned on our loan portfolio, the Company invests in U.S. Treasuries, high quality mortgage-backed securities, government agency bonds, asset-backed securities and high quality municipal and corporate bonds.</w:t>
      </w:r>
    </w:p>
    <w:p>
      <w:pPr>
        <w:spacing w:after="0" w:line="203"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following tables summarize the contractual maturities, without consideration of call features or pre-refunding dates, and weighted-average yields of investment securities at September 30, 2022 and the amortized cost and carrying value of those securities as of the indicated dates. The weighted average yields were calculated by multiplying the book value of each individual security by its yield, dividing that figure by the portfolio total, and then summing the value of these results to arrive at the weighted average yield. Yields on tax-exempt investments are not calculated on a fully tax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3" w:name="page54"/>
    <w:bookmarkEnd w:id="53"/>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ind w:left="160"/>
              <w:spacing w:after="0"/>
              <w:rPr>
                <w:sz w:val="20"/>
                <w:szCs w:val="20"/>
                <w:color w:val="auto"/>
              </w:rPr>
            </w:pPr>
            <w:r>
              <w:rPr>
                <w:rFonts w:ascii="Arial" w:cs="Arial" w:eastAsia="Arial" w:hAnsi="Arial"/>
                <w:sz w:val="12"/>
                <w:szCs w:val="12"/>
                <w:b w:val="1"/>
                <w:bCs w:val="1"/>
                <w:color w:val="auto"/>
              </w:rPr>
              <w:t>More Than One Year</w:t>
            </w:r>
          </w:p>
        </w:tc>
        <w:tc>
          <w:tcPr>
            <w:tcW w:w="80" w:type="dxa"/>
            <w:vAlign w:val="bottom"/>
          </w:tcPr>
          <w:p>
            <w:pPr>
              <w:spacing w:after="0"/>
              <w:rPr>
                <w:sz w:val="12"/>
                <w:szCs w:val="12"/>
                <w:color w:val="auto"/>
              </w:rPr>
            </w:pPr>
          </w:p>
        </w:tc>
        <w:tc>
          <w:tcPr>
            <w:tcW w:w="1680" w:type="dxa"/>
            <w:vAlign w:val="bottom"/>
            <w:gridSpan w:val="4"/>
          </w:tcPr>
          <w:p>
            <w:pPr>
              <w:ind w:left="120"/>
              <w:spacing w:after="0"/>
              <w:rPr>
                <w:sz w:val="20"/>
                <w:szCs w:val="20"/>
                <w:color w:val="auto"/>
              </w:rPr>
            </w:pPr>
            <w:r>
              <w:rPr>
                <w:rFonts w:ascii="Arial" w:cs="Arial" w:eastAsia="Arial" w:hAnsi="Arial"/>
                <w:sz w:val="12"/>
                <w:szCs w:val="12"/>
                <w:b w:val="1"/>
                <w:bCs w:val="1"/>
                <w:color w:val="auto"/>
              </w:rPr>
              <w:t>More Than Five Years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One Year or Less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Through Five Years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Through Ten Years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More Than Ten Years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Total</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Book Value</w:t>
            </w:r>
          </w:p>
        </w:tc>
        <w:tc>
          <w:tcPr>
            <w:tcW w:w="8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Weighted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Book Value</w:t>
            </w:r>
          </w:p>
        </w:tc>
        <w:tc>
          <w:tcPr>
            <w:tcW w:w="8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Book Value</w:t>
            </w:r>
          </w:p>
        </w:tc>
        <w:tc>
          <w:tcPr>
            <w:tcW w:w="8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Book Value</w:t>
            </w:r>
          </w:p>
        </w:tc>
        <w:tc>
          <w:tcPr>
            <w:tcW w:w="8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Book Value</w:t>
            </w:r>
          </w:p>
        </w:tc>
        <w:tc>
          <w:tcPr>
            <w:tcW w:w="10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Fair Value</w:t>
            </w:r>
          </w:p>
        </w:tc>
        <w:tc>
          <w:tcPr>
            <w:tcW w:w="840" w:type="dxa"/>
            <w:vAlign w:val="bottom"/>
          </w:tcPr>
          <w:p>
            <w:pPr>
              <w:ind w:left="180"/>
              <w:spacing w:after="0" w:line="106"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2"/>
        </w:trPr>
        <w:tc>
          <w:tcPr>
            <w:tcW w:w="1520" w:type="dxa"/>
            <w:vAlign w:val="bottom"/>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Average Yield</w:t>
            </w: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125"/>
        </w:trPr>
        <w:tc>
          <w:tcPr>
            <w:tcW w:w="1520" w:type="dxa"/>
            <w:vAlign w:val="bottom"/>
          </w:tcPr>
          <w:p>
            <w:pPr>
              <w:ind w:left="20"/>
              <w:spacing w:after="0" w:line="125" w:lineRule="exact"/>
              <w:rPr>
                <w:sz w:val="20"/>
                <w:szCs w:val="20"/>
                <w:color w:val="auto"/>
              </w:rPr>
            </w:pPr>
            <w:r>
              <w:rPr>
                <w:rFonts w:ascii="Arial" w:cs="Arial" w:eastAsia="Arial" w:hAnsi="Arial"/>
                <w:sz w:val="11"/>
                <w:szCs w:val="11"/>
                <w:color w:val="auto"/>
              </w:rPr>
              <w:t>(in thousands)</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52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Securities Available for</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20"/>
              <w:spacing w:after="0"/>
              <w:rPr>
                <w:sz w:val="20"/>
                <w:szCs w:val="20"/>
                <w:color w:val="auto"/>
              </w:rPr>
            </w:pPr>
            <w:r>
              <w:rPr>
                <w:rFonts w:ascii="Arial" w:cs="Arial" w:eastAsia="Arial" w:hAnsi="Arial"/>
                <w:sz w:val="12"/>
                <w:szCs w:val="12"/>
                <w:color w:val="auto"/>
              </w:rPr>
              <w:t>U.S. Treasuries</w:t>
            </w: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60,645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2.67 %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98,111</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1.36 %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73,650</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1.27 %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232,406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214,940</w:t>
            </w:r>
          </w:p>
        </w:tc>
        <w:tc>
          <w:tcPr>
            <w:tcW w:w="10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2"/>
                <w:szCs w:val="12"/>
                <w:color w:val="auto"/>
              </w:rPr>
              <w:t>1.67 %</w:t>
            </w:r>
          </w:p>
        </w:tc>
        <w:tc>
          <w:tcPr>
            <w:tcW w:w="0" w:type="dxa"/>
            <w:vAlign w:val="bottom"/>
          </w:tcPr>
          <w:p>
            <w:pPr>
              <w:spacing w:after="0"/>
              <w:rPr>
                <w:sz w:val="1"/>
                <w:szCs w:val="1"/>
                <w:color w:val="auto"/>
              </w:rPr>
            </w:pPr>
          </w:p>
        </w:tc>
      </w:tr>
      <w:tr>
        <w:trPr>
          <w:trHeight w:val="181"/>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10,817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r>
        <w:trPr>
          <w:trHeight w:val="164"/>
        </w:trPr>
        <w:tc>
          <w:tcPr>
            <w:tcW w:w="1520" w:type="dxa"/>
            <w:vAlign w:val="bottom"/>
          </w:tcPr>
          <w:p>
            <w:pPr>
              <w:ind w:left="20"/>
              <w:spacing w:after="0"/>
              <w:rPr>
                <w:sz w:val="20"/>
                <w:szCs w:val="20"/>
                <w:color w:val="auto"/>
              </w:rPr>
            </w:pPr>
            <w:r>
              <w:rPr>
                <w:rFonts w:ascii="Arial" w:cs="Arial" w:eastAsia="Arial" w:hAnsi="Arial"/>
                <w:sz w:val="12"/>
                <w:szCs w:val="12"/>
                <w:color w:val="auto"/>
              </w:rPr>
              <w:t>Corporate bonds</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80" w:type="dxa"/>
            <w:vAlign w:val="bottom"/>
          </w:tcPr>
          <w:p>
            <w:pPr>
              <w:spacing w:after="0"/>
              <w:rPr>
                <w:sz w:val="14"/>
                <w:szCs w:val="14"/>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4.31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4,648</w:t>
            </w:r>
          </w:p>
        </w:tc>
        <w:tc>
          <w:tcPr>
            <w:tcW w:w="10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2"/>
                <w:szCs w:val="12"/>
                <w:color w:val="auto"/>
              </w:rPr>
              <w:t>4.31</w:t>
            </w:r>
          </w:p>
        </w:tc>
        <w:tc>
          <w:tcPr>
            <w:tcW w:w="0" w:type="dxa"/>
            <w:vAlign w:val="bottom"/>
          </w:tcPr>
          <w:p>
            <w:pPr>
              <w:spacing w:after="0"/>
              <w:rPr>
                <w:sz w:val="1"/>
                <w:szCs w:val="1"/>
                <w:color w:val="auto"/>
              </w:rPr>
            </w:pPr>
          </w:p>
        </w:tc>
      </w:tr>
      <w:tr>
        <w:trPr>
          <w:trHeight w:val="181"/>
        </w:trPr>
        <w:tc>
          <w:tcPr>
            <w:tcW w:w="1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127"/>
        </w:trPr>
        <w:tc>
          <w:tcPr>
            <w:tcW w:w="1520" w:type="dxa"/>
            <w:vAlign w:val="bottom"/>
          </w:tcPr>
          <w:p>
            <w:pPr>
              <w:ind w:left="20"/>
              <w:spacing w:after="0" w:line="127" w:lineRule="exact"/>
              <w:rPr>
                <w:sz w:val="20"/>
                <w:szCs w:val="20"/>
                <w:color w:val="auto"/>
              </w:rPr>
            </w:pPr>
            <w:r>
              <w:rPr>
                <w:rFonts w:ascii="Arial" w:cs="Arial" w:eastAsia="Arial" w:hAnsi="Arial"/>
                <w:sz w:val="12"/>
                <w:szCs w:val="12"/>
                <w:color w:val="auto"/>
              </w:rPr>
              <w:t>Mortgage-backed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20" w:type="dxa"/>
            <w:vAlign w:val="bottom"/>
          </w:tcPr>
          <w:p>
            <w:pPr>
              <w:ind w:left="20"/>
              <w:spacing w:after="0"/>
              <w:rPr>
                <w:sz w:val="20"/>
                <w:szCs w:val="20"/>
                <w:color w:val="auto"/>
              </w:rPr>
            </w:pPr>
            <w:r>
              <w:rPr>
                <w:rFonts w:ascii="Arial" w:cs="Arial" w:eastAsia="Arial" w:hAnsi="Arial"/>
                <w:sz w:val="12"/>
                <w:szCs w:val="12"/>
                <w:color w:val="auto"/>
              </w:rPr>
              <w:t>securities</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10,056</w:t>
            </w:r>
          </w:p>
        </w:tc>
        <w:tc>
          <w:tcPr>
            <w:tcW w:w="80" w:type="dxa"/>
            <w:vAlign w:val="bottom"/>
          </w:tcPr>
          <w:p>
            <w:pPr>
              <w:spacing w:after="0"/>
              <w:rPr>
                <w:sz w:val="14"/>
                <w:szCs w:val="14"/>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5.18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13,100</w:t>
            </w:r>
          </w:p>
        </w:tc>
        <w:tc>
          <w:tcPr>
            <w:tcW w:w="80" w:type="dxa"/>
            <w:vAlign w:val="bottom"/>
          </w:tcPr>
          <w:p>
            <w:pPr>
              <w:spacing w:after="0"/>
              <w:rPr>
                <w:sz w:val="14"/>
                <w:szCs w:val="14"/>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2.94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13,448</w:t>
            </w:r>
          </w:p>
        </w:tc>
        <w:tc>
          <w:tcPr>
            <w:tcW w:w="100" w:type="dxa"/>
            <w:vAlign w:val="bottom"/>
          </w:tcPr>
          <w:p>
            <w:pPr>
              <w:spacing w:after="0"/>
              <w:rPr>
                <w:sz w:val="14"/>
                <w:szCs w:val="14"/>
                <w:color w:val="auto"/>
              </w:rPr>
            </w:pP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0.76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36,604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33,723</w:t>
            </w:r>
          </w:p>
        </w:tc>
        <w:tc>
          <w:tcPr>
            <w:tcW w:w="10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97"/>
        </w:trPr>
        <w:tc>
          <w:tcPr>
            <w:tcW w:w="1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108,167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91,750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32,588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293,150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269,620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1.87 %</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repayment of loans is a source of additional liquidity for us. The following table details contractual maturities of our portfolio loans, along with associated weighted average yields and an analysis of loans maturing after one year categorized by rate characteristic. Loans with adjustable interest rates are shown as maturing in the period during which the contract is due. The table does not reflect the effects of possible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7"/>
          </w:tcPr>
          <w:p>
            <w:pPr>
              <w:ind w:left="380"/>
              <w:spacing w:after="0"/>
              <w:rPr>
                <w:sz w:val="20"/>
                <w:szCs w:val="20"/>
                <w:color w:val="auto"/>
              </w:rPr>
            </w:pPr>
            <w:r>
              <w:rPr>
                <w:rFonts w:ascii="Arial" w:cs="Arial" w:eastAsia="Arial" w:hAnsi="Arial"/>
                <w:sz w:val="14"/>
                <w:szCs w:val="14"/>
                <w:b w:val="1"/>
                <w:bCs w:val="1"/>
                <w:color w:val="auto"/>
              </w:rPr>
              <w:t>As of September 30, 2022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left="389"/>
              <w:spacing w:after="0" w:line="139" w:lineRule="exact"/>
              <w:rPr>
                <w:sz w:val="20"/>
                <w:szCs w:val="20"/>
                <w:color w:val="auto"/>
              </w:rPr>
            </w:pPr>
            <w:r>
              <w:rPr>
                <w:rFonts w:ascii="Arial" w:cs="Arial" w:eastAsia="Arial" w:hAnsi="Arial"/>
                <w:sz w:val="14"/>
                <w:szCs w:val="14"/>
                <w:b w:val="1"/>
                <w:bCs w:val="1"/>
                <w:color w:val="auto"/>
              </w:rPr>
              <w:t>One Year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ind w:left="540"/>
              <w:spacing w:after="0" w:line="139" w:lineRule="exact"/>
              <w:rPr>
                <w:sz w:val="20"/>
                <w:szCs w:val="20"/>
                <w:color w:val="auto"/>
              </w:rPr>
            </w:pPr>
            <w:r>
              <w:rPr>
                <w:rFonts w:ascii="Arial" w:cs="Arial" w:eastAsia="Arial" w:hAnsi="Arial"/>
                <w:sz w:val="14"/>
                <w:szCs w:val="14"/>
                <w:b w:val="1"/>
                <w:bCs w:val="1"/>
                <w:color w:val="auto"/>
              </w:rPr>
              <w:t>One to</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620"/>
              <w:spacing w:after="0" w:line="139" w:lineRule="exact"/>
              <w:rPr>
                <w:sz w:val="20"/>
                <w:szCs w:val="20"/>
                <w:color w:val="auto"/>
              </w:rPr>
            </w:pPr>
            <w:r>
              <w:rPr>
                <w:rFonts w:ascii="Arial" w:cs="Arial" w:eastAsia="Arial" w:hAnsi="Arial"/>
                <w:sz w:val="14"/>
                <w:szCs w:val="14"/>
                <w:b w:val="1"/>
                <w:bCs w:val="1"/>
                <w:color w:val="auto"/>
              </w:rPr>
              <w:t>Over</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9"/>
              </w:rPr>
              <w:t>After Fifteen Years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left="429"/>
              <w:spacing w:after="0"/>
              <w:rPr>
                <w:sz w:val="20"/>
                <w:szCs w:val="20"/>
                <w:color w:val="auto"/>
              </w:rPr>
            </w:pPr>
            <w:r>
              <w:rPr>
                <w:rFonts w:ascii="Arial" w:cs="Arial" w:eastAsia="Arial" w:hAnsi="Arial"/>
                <w:sz w:val="14"/>
                <w:szCs w:val="14"/>
                <w:b w:val="1"/>
                <w:bCs w:val="1"/>
                <w:color w:val="auto"/>
              </w:rPr>
              <w:t>or Less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ind w:left="440"/>
              <w:spacing w:after="0"/>
              <w:rPr>
                <w:sz w:val="20"/>
                <w:szCs w:val="20"/>
                <w:color w:val="auto"/>
              </w:rPr>
            </w:pPr>
            <w:r>
              <w:rPr>
                <w:rFonts w:ascii="Arial" w:cs="Arial" w:eastAsia="Arial" w:hAnsi="Arial"/>
                <w:sz w:val="14"/>
                <w:szCs w:val="14"/>
                <w:b w:val="1"/>
                <w:bCs w:val="1"/>
                <w:color w:val="auto"/>
                <w:w w:val="97"/>
              </w:rPr>
              <w:t>Five Years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Five Years to Fifteen Years</w:t>
            </w:r>
          </w:p>
        </w:tc>
        <w:tc>
          <w:tcPr>
            <w:tcW w:w="12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89"/>
              </w:rPr>
              <w:t>Yield</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98,595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5.54 %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171,647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4.91 %</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103,995</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92,612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4.24 %</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466,8</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292,525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258,698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w:t>
            </w:r>
          </w:p>
        </w:tc>
        <w:tc>
          <w:tcPr>
            <w:tcW w:w="9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626,0</w:t>
            </w:r>
          </w:p>
        </w:tc>
        <w:tc>
          <w:tcPr>
            <w:tcW w:w="0" w:type="dxa"/>
            <w:vAlign w:val="bottom"/>
          </w:tcPr>
          <w:p>
            <w:pPr>
              <w:spacing w:after="0"/>
              <w:rPr>
                <w:sz w:val="1"/>
                <w:szCs w:val="1"/>
                <w:color w:val="auto"/>
              </w:rPr>
            </w:pPr>
          </w:p>
        </w:tc>
      </w:tr>
      <w:tr>
        <w:trPr>
          <w:trHeight w:val="193"/>
        </w:trPr>
        <w:tc>
          <w:tcPr>
            <w:tcW w:w="20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210,732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13,898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6.30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10,415</w:t>
            </w:r>
          </w:p>
        </w:tc>
        <w:tc>
          <w:tcPr>
            <w:tcW w:w="120" w:type="dxa"/>
            <w:vAlign w:val="bottom"/>
          </w:tcPr>
          <w:p>
            <w:pPr>
              <w:spacing w:after="0"/>
              <w:rPr>
                <w:sz w:val="16"/>
                <w:szCs w:val="16"/>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235,0</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48,099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66,752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7,659</w:t>
            </w:r>
          </w:p>
        </w:tc>
        <w:tc>
          <w:tcPr>
            <w:tcW w:w="9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93"/>
        </w:trPr>
        <w:tc>
          <w:tcPr>
            <w:tcW w:w="204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136,658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50.30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2040" w:type="dxa"/>
            <w:vAlign w:val="bottom"/>
          </w:tcPr>
          <w:p>
            <w:pPr>
              <w:ind w:left="180"/>
              <w:spacing w:after="0"/>
              <w:rPr>
                <w:sz w:val="20"/>
                <w:szCs w:val="20"/>
                <w:color w:val="auto"/>
              </w:rPr>
            </w:pPr>
            <w:r>
              <w:rPr>
                <w:rFonts w:ascii="Arial" w:cs="Arial" w:eastAsia="Arial" w:hAnsi="Arial"/>
                <w:sz w:val="14"/>
                <w:szCs w:val="14"/>
                <w:color w:val="auto"/>
              </w:rPr>
              <w:t>Total portfolio loans, gross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587,164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16.01 %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526,582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4.72 %</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440,258</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4.47 %</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103,840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4.30 %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1,657,8</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5380" w:type="dxa"/>
            <w:vAlign w:val="bottom"/>
            <w:gridSpan w:val="11"/>
          </w:tcPr>
          <w:p>
            <w:pPr>
              <w:ind w:left="20"/>
              <w:spacing w:after="0"/>
              <w:rPr>
                <w:sz w:val="20"/>
                <w:szCs w:val="20"/>
                <w:color w:val="auto"/>
              </w:rPr>
            </w:pPr>
            <w:r>
              <w:rPr>
                <w:rFonts w:ascii="Arial" w:cs="Arial" w:eastAsia="Arial" w:hAnsi="Arial"/>
                <w:sz w:val="14"/>
                <w:szCs w:val="14"/>
                <w:color w:val="auto"/>
              </w:rPr>
              <w:t>Loans above maturing after one year categorized by rate characteristic:</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4"/>
                <w:szCs w:val="14"/>
                <w:color w:val="auto"/>
              </w:rPr>
              <w:t>Predetermined Interest Rates</w:t>
            </w:r>
          </w:p>
        </w:tc>
        <w:tc>
          <w:tcPr>
            <w:tcW w:w="120" w:type="dxa"/>
            <w:vAlign w:val="bottom"/>
          </w:tcPr>
          <w:p>
            <w:pPr>
              <w:spacing w:after="0"/>
              <w:rPr>
                <w:sz w:val="16"/>
                <w:szCs w:val="16"/>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4"/>
                <w:szCs w:val="14"/>
                <w:color w:val="auto"/>
              </w:rPr>
              <w:t>Floating or Variable Rates</w:t>
            </w:r>
          </w:p>
        </w:tc>
        <w:tc>
          <w:tcPr>
            <w:tcW w:w="240" w:type="dxa"/>
            <w:vAlign w:val="bottom"/>
          </w:tcPr>
          <w:p>
            <w:pPr>
              <w:spacing w:after="0"/>
              <w:rPr>
                <w:sz w:val="16"/>
                <w:szCs w:val="16"/>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4"/>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182,260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900" w:type="dxa"/>
            <w:vAlign w:val="bottom"/>
            <w:gridSpan w:val="2"/>
          </w:tcPr>
          <w:p>
            <w:pPr>
              <w:jc w:val="right"/>
              <w:ind w:right="109"/>
              <w:spacing w:after="0"/>
              <w:rPr>
                <w:sz w:val="20"/>
                <w:szCs w:val="20"/>
                <w:color w:val="auto"/>
              </w:rPr>
            </w:pPr>
            <w:r>
              <w:rPr>
                <w:rFonts w:ascii="Arial" w:cs="Arial" w:eastAsia="Arial" w:hAnsi="Arial"/>
                <w:sz w:val="14"/>
                <w:szCs w:val="14"/>
                <w:color w:val="auto"/>
              </w:rPr>
              <w:t>185,994</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370,261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184,531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r>
        <w:trPr>
          <w:trHeight w:val="193"/>
        </w:trPr>
        <w:tc>
          <w:tcPr>
            <w:tcW w:w="20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11,530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gridSpan w:val="2"/>
          </w:tcPr>
          <w:p>
            <w:pPr>
              <w:jc w:val="right"/>
              <w:ind w:right="109"/>
              <w:spacing w:after="0"/>
              <w:rPr>
                <w:sz w:val="20"/>
                <w:szCs w:val="20"/>
                <w:color w:val="auto"/>
              </w:rPr>
            </w:pPr>
            <w:r>
              <w:rPr>
                <w:rFonts w:ascii="Arial" w:cs="Arial" w:eastAsia="Arial" w:hAnsi="Arial"/>
                <w:sz w:val="14"/>
                <w:szCs w:val="14"/>
                <w:color w:val="auto"/>
              </w:rPr>
              <w:t>12,782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0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74,426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48,085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9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consumer</w:t>
            </w: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799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portfolio loans, gross</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639,276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431,404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In addition to the portfolio loans shown above, gross SBA-PPP loans receivable, which totaled $2.7 million at September 30, 2022, mature in the 1-5 year time-frame and carry a fixed rate of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35"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cash payments are received in excess of principal due. Loans are returned to accrual status when all the principal and interest amounts contractually due are brought current and future payments are, in management’s opinion, reasonably assured. Any loan which the Bank deems to be uncollectible, in whole or in part, is charged off to the extent of the anticipated loss. Consumer credit card balances are moved into the charge off queue after they become more than 90 days past due and are charged off not later than 120 days after they become past due. Loans that are past due for 180 days or more are charged off unless the loan is well secured and in the process of collection.</w:t>
      </w:r>
    </w:p>
    <w:p>
      <w:pPr>
        <w:spacing w:after="0" w:line="210"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 believes its disciplined lending approach and focused management of nonperforming assets has resulted in sound asset quality and timely resolution of problem assets. There are several procedures in place to assist the Company in maintaining the overall quality of our loan portfolio. The Company has established underwriting guidelines to be followed by our bankers, and monitor our delinquency levels for any negative or adverse trends. There can be no assurance, however, that our loan portfolio will not become subject to increasing pressures from deteriorating borrower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5" w:name="page56"/>
    <w:bookmarkEnd w:id="55"/>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From a credit risk standpoint, we grade watchlist and problem loans into one of five categories: pass/watch, special mention, substandard, doubtful or loss. The classifications of loans reflect a judgment about the risks of default and loss associated with each loan. Credits ratings are reviewed regularly. Ratings are adjusted regularly to reflect the degree of risk and loss that our management believes to be appropriate for each credit. Our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 Our lending policy requires the routine monitoring of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 this loan population, which consists of loans that, although considered satisfactory and performing to terms, may exhibit special risk features that warrant management’s attention.</w:t>
      </w:r>
    </w:p>
    <w:p>
      <w:pPr>
        <w:spacing w:after="0" w:line="21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Bank uses the following definitions for watch list risk ratings:</w:t>
      </w:r>
    </w:p>
    <w:p>
      <w:pPr>
        <w:spacing w:after="0" w:line="199" w:lineRule="exact"/>
        <w:rPr>
          <w:sz w:val="20"/>
          <w:szCs w:val="20"/>
          <w:color w:val="auto"/>
        </w:rPr>
      </w:pPr>
    </w:p>
    <w:p>
      <w:pPr>
        <w:ind w:firstLine="324"/>
        <w:spacing w:after="0" w:line="272" w:lineRule="auto"/>
        <w:tabs>
          <w:tab w:leader="none" w:pos="46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Pass/Watch. </w:t>
      </w:r>
      <w:r>
        <w:rPr>
          <w:rFonts w:ascii="Arial" w:cs="Arial" w:eastAsia="Arial" w:hAnsi="Arial"/>
          <w:sz w:val="18"/>
          <w:szCs w:val="18"/>
          <w:color w:val="auto"/>
        </w:rPr>
        <w:t>Borrowers who are considered satisfactory and performing to terms, however exhibiting special risk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declining earnings, strained cash flow, increasing leverage, and/or weakening fundamentals that indicate above average risk.</w:t>
      </w:r>
    </w:p>
    <w:p>
      <w:pPr>
        <w:spacing w:after="0" w:line="166" w:lineRule="exact"/>
        <w:rPr>
          <w:rFonts w:ascii="Arial" w:cs="Arial" w:eastAsia="Arial" w:hAnsi="Arial"/>
          <w:sz w:val="18"/>
          <w:szCs w:val="18"/>
          <w:color w:val="auto"/>
        </w:rPr>
      </w:pPr>
    </w:p>
    <w:p>
      <w:pPr>
        <w:ind w:firstLine="324"/>
        <w:spacing w:after="0" w:line="272" w:lineRule="auto"/>
        <w:tabs>
          <w:tab w:leader="none" w:pos="48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A special mention loan has potential weaknesses deserving of management’s attention. If uncorrected, such</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may result in deterioration of the repayment prospects for the asset or in our credit position at some future date.</w:t>
      </w:r>
    </w:p>
    <w:p>
      <w:pPr>
        <w:spacing w:after="0" w:line="166" w:lineRule="exact"/>
        <w:rPr>
          <w:rFonts w:ascii="Arial" w:cs="Arial" w:eastAsia="Arial" w:hAnsi="Arial"/>
          <w:sz w:val="18"/>
          <w:szCs w:val="18"/>
          <w:color w:val="auto"/>
        </w:rPr>
      </w:pPr>
    </w:p>
    <w:p>
      <w:pPr>
        <w:jc w:val="both"/>
        <w:ind w:firstLine="324"/>
        <w:spacing w:after="0" w:line="254" w:lineRule="auto"/>
        <w:tabs>
          <w:tab w:leader="none" w:pos="429"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A substandard loan is inadequately protected by the current financial condition and paying capacity of the obligor 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pledged, if any. Assets so classified have a well-defined weakness or weaknesses that jeopardize the liquidation of the debt. They are characterized by the distinct possibility that we will sustain some loss if deficiencies are not corrected. Loss potential, while existing in the aggregate amount of substandard assets, does not have to exist in individual assets that are classified as substandard.</w:t>
      </w:r>
    </w:p>
    <w:p>
      <w:pPr>
        <w:spacing w:after="0" w:line="183" w:lineRule="exact"/>
        <w:rPr>
          <w:rFonts w:ascii="Arial" w:cs="Arial" w:eastAsia="Arial" w:hAnsi="Arial"/>
          <w:sz w:val="18"/>
          <w:szCs w:val="18"/>
          <w:color w:val="auto"/>
        </w:rPr>
      </w:pPr>
    </w:p>
    <w:p>
      <w:pPr>
        <w:jc w:val="both"/>
        <w:ind w:firstLine="324"/>
        <w:spacing w:after="0" w:line="251" w:lineRule="auto"/>
        <w:tabs>
          <w:tab w:leader="none" w:pos="442"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A doubtful loan has all weaknesses inherent in one classified as substandard, with the added characteristic that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make collection or liquidation in full, on the basis of existing facts, conditions, and values, highly questionable and improbable. The probability of loss is extremely high, but certain important and reasonably specific factors that may work to the advantage and strengthening of the asset exist. Therefore, its classification as an estimated loss is deferred until a more precise status may be determined by management. Pending factors include proposed merger, acquisition or liquidation procedures, capital injection, perfecting liens on additional collateral and refinancing plans.</w:t>
      </w:r>
    </w:p>
    <w:p>
      <w:pPr>
        <w:spacing w:after="0" w:line="185" w:lineRule="exact"/>
        <w:rPr>
          <w:rFonts w:ascii="Arial" w:cs="Arial" w:eastAsia="Arial" w:hAnsi="Arial"/>
          <w:sz w:val="18"/>
          <w:szCs w:val="18"/>
          <w:i w:val="1"/>
          <w:iCs w:val="1"/>
          <w:color w:val="auto"/>
        </w:rPr>
      </w:pPr>
    </w:p>
    <w:p>
      <w:pPr>
        <w:ind w:left="320" w:firstLine="4"/>
        <w:spacing w:after="0" w:line="562" w:lineRule="auto"/>
        <w:tabs>
          <w:tab w:leader="none" w:pos="431"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Loss. </w:t>
      </w:r>
      <w:r>
        <w:rPr>
          <w:rFonts w:ascii="Arial" w:cs="Arial" w:eastAsia="Arial" w:hAnsi="Arial"/>
          <w:sz w:val="17"/>
          <w:szCs w:val="17"/>
          <w:color w:val="auto"/>
        </w:rPr>
        <w:t>Credits rated as loss are charged-off. We have no expectation of the recovery of any payments in respect of credits rated as loss.</w:t>
      </w:r>
      <w:r>
        <w:rPr>
          <w:rFonts w:ascii="Arial" w:cs="Arial" w:eastAsia="Arial" w:hAnsi="Arial"/>
          <w:sz w:val="17"/>
          <w:szCs w:val="17"/>
          <w:i w:val="1"/>
          <w:iCs w:val="1"/>
          <w:color w:val="auto"/>
        </w:rPr>
        <w:t xml:space="preserve"> </w:t>
      </w:r>
      <w:r>
        <w:rPr>
          <w:rFonts w:ascii="Arial" w:cs="Arial" w:eastAsia="Arial" w:hAnsi="Arial"/>
          <w:sz w:val="17"/>
          <w:szCs w:val="17"/>
          <w:color w:val="auto"/>
        </w:rPr>
        <w:t>Loans not meeting the criteria above are considered to be pass-rated loans. No assets were classified as loss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At September 30, 2022, the recorded investment in impaired loans was $8.4 million, $268 thousand of which required a specific reserve of $159 thousand compared to a recorded investment in impaired loans of $11.3 million including $336 thousand requiring a specific reserve of $218 thousand at December 31, 2021. Of the $8.4 million of impaired loans, $1.4 million was related to one construction loan relationship believed to be well-collateralized and $2.0 million was related to one home equity line of credit loan relationship believed to be well-collateralized.</w:t>
      </w:r>
    </w:p>
    <w:p>
      <w:pPr>
        <w:spacing w:after="0" w:line="2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Impaired loans also include certain loans that have been modified as troubled debt restructurings (“TDRs”). At September 30, 2022, the Company had five loans amounting to $507 thousand that were considered to be TDRs, compared to five loans amounting to $533 thousand at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maintain an allowance for loan losses that represents management’s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key ratios for the allowance for loan losses and nonaccrual loans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920" w:type="dxa"/>
            <w:vAlign w:val="bottom"/>
            <w:gridSpan w:val="4"/>
          </w:tcPr>
          <w:p>
            <w:pPr>
              <w:ind w:left="80"/>
              <w:spacing w:after="0"/>
              <w:rPr>
                <w:sz w:val="20"/>
                <w:szCs w:val="20"/>
                <w:color w:val="auto"/>
              </w:rPr>
            </w:pPr>
            <w:r>
              <w:rPr>
                <w:rFonts w:ascii="Arial" w:cs="Arial" w:eastAsia="Arial" w:hAnsi="Arial"/>
                <w:sz w:val="14"/>
                <w:szCs w:val="14"/>
                <w:b w:val="1"/>
                <w:bCs w:val="1"/>
                <w:color w:val="auto"/>
              </w:rPr>
              <w:t>Allowance for loan losses to period end</w:t>
            </w:r>
          </w:p>
        </w:tc>
        <w:tc>
          <w:tcPr>
            <w:tcW w:w="28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Nonaccrual loans to total portfolio loans</w:t>
            </w:r>
          </w:p>
        </w:tc>
        <w:tc>
          <w:tcPr>
            <w:tcW w:w="80" w:type="dxa"/>
            <w:vAlign w:val="bottom"/>
            <w:vMerge w:val="restart"/>
          </w:tcPr>
          <w:p>
            <w:pPr>
              <w:spacing w:after="0"/>
              <w:rPr>
                <w:sz w:val="14"/>
                <w:szCs w:val="14"/>
                <w:color w:val="auto"/>
              </w:rPr>
            </w:pPr>
          </w:p>
        </w:tc>
        <w:tc>
          <w:tcPr>
            <w:tcW w:w="286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Allowance for loan losses to nonaccrual</w:t>
            </w: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2820" w:type="dxa"/>
            <w:vAlign w:val="bottom"/>
            <w:tcBorders>
              <w:bottom w:val="single" w:sz="8" w:color="auto"/>
            </w:tcBorders>
            <w:gridSpan w:val="3"/>
          </w:tcPr>
          <w:p>
            <w:pPr>
              <w:ind w:left="840"/>
              <w:spacing w:after="0" w:line="199" w:lineRule="exact"/>
              <w:rPr>
                <w:sz w:val="20"/>
                <w:szCs w:val="20"/>
                <w:color w:val="auto"/>
              </w:rPr>
            </w:pPr>
            <w:r>
              <w:rPr>
                <w:rFonts w:ascii="Arial" w:cs="Arial" w:eastAsia="Arial" w:hAnsi="Arial"/>
                <w:sz w:val="14"/>
                <w:szCs w:val="14"/>
                <w:b w:val="1"/>
                <w:bCs w:val="1"/>
                <w:color w:val="auto"/>
              </w:rPr>
              <w:t xml:space="preserve">portfolio loans </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2820" w:type="dxa"/>
            <w:vAlign w:val="bottom"/>
            <w:tcBorders>
              <w:bottom w:val="single" w:sz="8" w:color="auto"/>
            </w:tcBorders>
            <w:gridSpan w:val="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860" w:type="dxa"/>
            <w:vAlign w:val="bottom"/>
            <w:tcBorders>
              <w:bottom w:val="single" w:sz="8" w:color="auto"/>
            </w:tcBorders>
            <w:gridSpan w:val="3"/>
          </w:tcPr>
          <w:p>
            <w:pPr>
              <w:jc w:val="right"/>
              <w:ind w:right="1109"/>
              <w:spacing w:after="0" w:line="199" w:lineRule="exact"/>
              <w:rPr>
                <w:sz w:val="20"/>
                <w:szCs w:val="20"/>
                <w:color w:val="auto"/>
              </w:rPr>
            </w:pPr>
            <w:r>
              <w:rPr>
                <w:rFonts w:ascii="Arial" w:cs="Arial" w:eastAsia="Arial" w:hAnsi="Arial"/>
                <w:sz w:val="14"/>
                <w:szCs w:val="14"/>
                <w:b w:val="1"/>
                <w:bCs w:val="1"/>
                <w:color w:val="auto"/>
              </w:rPr>
              <w:t xml:space="preserve">loans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134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September 30,</w:t>
            </w: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September 30,</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December 31, 2021</w:t>
            </w:r>
          </w:p>
        </w:tc>
        <w:tc>
          <w:tcPr>
            <w:tcW w:w="136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September 30,</w:t>
            </w:r>
          </w:p>
        </w:tc>
        <w:tc>
          <w:tcPr>
            <w:tcW w:w="15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40" w:type="dxa"/>
            <w:vAlign w:val="bottom"/>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60" w:type="dxa"/>
            <w:vAlign w:val="bottom"/>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Real estate:</w:t>
            </w: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540" w:type="dxa"/>
            <w:vAlign w:val="bottom"/>
          </w:tcPr>
          <w:p>
            <w:pPr>
              <w:ind w:left="200"/>
              <w:spacing w:after="0"/>
              <w:rPr>
                <w:sz w:val="20"/>
                <w:szCs w:val="20"/>
                <w:color w:val="auto"/>
              </w:rPr>
            </w:pPr>
            <w:r>
              <w:rPr>
                <w:rFonts w:ascii="Arial" w:cs="Arial" w:eastAsia="Arial" w:hAnsi="Arial"/>
                <w:sz w:val="14"/>
                <w:szCs w:val="14"/>
                <w:color w:val="auto"/>
              </w:rPr>
              <w:t>Residential</w:t>
            </w:r>
          </w:p>
        </w:tc>
        <w:tc>
          <w:tcPr>
            <w:tcW w:w="1240" w:type="dxa"/>
            <w:vAlign w:val="bottom"/>
          </w:tcPr>
          <w:p>
            <w:pPr>
              <w:ind w:left="780"/>
              <w:spacing w:after="0"/>
              <w:rPr>
                <w:sz w:val="20"/>
                <w:szCs w:val="20"/>
                <w:color w:val="auto"/>
              </w:rPr>
            </w:pPr>
            <w:r>
              <w:rPr>
                <w:rFonts w:ascii="Arial" w:cs="Arial" w:eastAsia="Arial" w:hAnsi="Arial"/>
                <w:sz w:val="14"/>
                <w:szCs w:val="14"/>
                <w:color w:val="auto"/>
              </w:rPr>
              <w:t>1.28 %</w:t>
            </w:r>
          </w:p>
        </w:tc>
        <w:tc>
          <w:tcPr>
            <w:tcW w:w="100" w:type="dxa"/>
            <w:vAlign w:val="bottom"/>
          </w:tcPr>
          <w:p>
            <w:pPr>
              <w:spacing w:after="0"/>
              <w:rPr>
                <w:sz w:val="16"/>
                <w:szCs w:val="16"/>
                <w:color w:val="auto"/>
              </w:rPr>
            </w:pPr>
          </w:p>
        </w:tc>
        <w:tc>
          <w:tcPr>
            <w:tcW w:w="1480" w:type="dxa"/>
            <w:vAlign w:val="bottom"/>
          </w:tcPr>
          <w:p>
            <w:pPr>
              <w:ind w:left="1020"/>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0.68 %</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0.71 %</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189 %</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198 %</w:t>
            </w:r>
          </w:p>
        </w:tc>
        <w:tc>
          <w:tcPr>
            <w:tcW w:w="0" w:type="dxa"/>
            <w:vAlign w:val="bottom"/>
          </w:tcPr>
          <w:p>
            <w:pPr>
              <w:spacing w:after="0"/>
              <w:rPr>
                <w:sz w:val="1"/>
                <w:szCs w:val="1"/>
                <w:color w:val="auto"/>
              </w:rPr>
            </w:pPr>
          </w:p>
        </w:tc>
      </w:tr>
      <w:tr>
        <w:trPr>
          <w:trHeight w:val="204"/>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w:t>
            </w:r>
          </w:p>
        </w:tc>
        <w:tc>
          <w:tcPr>
            <w:tcW w:w="12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0.25</w:t>
            </w: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34,606</w:t>
            </w:r>
          </w:p>
        </w:tc>
        <w:tc>
          <w:tcPr>
            <w:tcW w:w="0" w:type="dxa"/>
            <w:vAlign w:val="bottom"/>
          </w:tcPr>
          <w:p>
            <w:pPr>
              <w:spacing w:after="0"/>
              <w:rPr>
                <w:sz w:val="1"/>
                <w:szCs w:val="1"/>
                <w:color w:val="auto"/>
              </w:rPr>
            </w:pPr>
          </w:p>
        </w:tc>
      </w:tr>
      <w:tr>
        <w:trPr>
          <w:trHeight w:val="193"/>
        </w:trPr>
        <w:tc>
          <w:tcPr>
            <w:tcW w:w="2540" w:type="dxa"/>
            <w:vAlign w:val="bottom"/>
          </w:tcPr>
          <w:p>
            <w:pPr>
              <w:ind w:left="200"/>
              <w:spacing w:after="0"/>
              <w:rPr>
                <w:sz w:val="20"/>
                <w:szCs w:val="20"/>
                <w:color w:val="auto"/>
              </w:rPr>
            </w:pPr>
            <w:r>
              <w:rPr>
                <w:rFonts w:ascii="Arial" w:cs="Arial" w:eastAsia="Arial" w:hAnsi="Arial"/>
                <w:sz w:val="14"/>
                <w:szCs w:val="14"/>
                <w:color w:val="auto"/>
              </w:rPr>
              <w:t>Construction</w:t>
            </w:r>
          </w:p>
        </w:tc>
        <w:tc>
          <w:tcPr>
            <w:tcW w:w="1240" w:type="dxa"/>
            <w:vAlign w:val="bottom"/>
          </w:tcPr>
          <w:p>
            <w:pPr>
              <w:ind w:left="780"/>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480" w:type="dxa"/>
            <w:vAlign w:val="bottom"/>
          </w:tcPr>
          <w:p>
            <w:pPr>
              <w:ind w:left="102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6"/>
                <w:szCs w:val="16"/>
                <w:color w:val="auto"/>
              </w:rPr>
            </w:pPr>
          </w:p>
        </w:tc>
        <w:tc>
          <w:tcPr>
            <w:tcW w:w="1500" w:type="dxa"/>
            <w:vAlign w:val="bottom"/>
          </w:tcPr>
          <w:p>
            <w:pPr>
              <w:jc w:val="right"/>
              <w:ind w:right="129"/>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1500" w:type="dxa"/>
            <w:vAlign w:val="bottom"/>
          </w:tcPr>
          <w:p>
            <w:pPr>
              <w:jc w:val="right"/>
              <w:ind w:right="10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2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0.44</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0.38</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3"/>
        </w:trPr>
        <w:tc>
          <w:tcPr>
            <w:tcW w:w="2540" w:type="dxa"/>
            <w:vAlign w:val="bottom"/>
          </w:tcPr>
          <w:p>
            <w:pPr>
              <w:ind w:left="40"/>
              <w:spacing w:after="0"/>
              <w:rPr>
                <w:sz w:val="20"/>
                <w:szCs w:val="20"/>
                <w:color w:val="auto"/>
              </w:rPr>
            </w:pPr>
            <w:r>
              <w:rPr>
                <w:rFonts w:ascii="Arial" w:cs="Arial" w:eastAsia="Arial" w:hAnsi="Arial"/>
                <w:sz w:val="14"/>
                <w:szCs w:val="14"/>
                <w:color w:val="auto"/>
              </w:rPr>
              <w:t>Credit card</w:t>
            </w:r>
          </w:p>
        </w:tc>
        <w:tc>
          <w:tcPr>
            <w:tcW w:w="1240" w:type="dxa"/>
            <w:vAlign w:val="bottom"/>
          </w:tcPr>
          <w:p>
            <w:pPr>
              <w:ind w:left="780"/>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6"/>
                <w:szCs w:val="16"/>
                <w:color w:val="auto"/>
              </w:rPr>
            </w:pPr>
          </w:p>
        </w:tc>
        <w:tc>
          <w:tcPr>
            <w:tcW w:w="1480" w:type="dxa"/>
            <w:vAlign w:val="bottom"/>
          </w:tcPr>
          <w:p>
            <w:pPr>
              <w:ind w:left="102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consumer</w:t>
            </w:r>
          </w:p>
        </w:tc>
        <w:tc>
          <w:tcPr>
            <w:tcW w:w="1240" w:type="dxa"/>
            <w:vAlign w:val="bottom"/>
            <w:shd w:val="clear" w:color="auto" w:fill="CCEEFF"/>
          </w:tcPr>
          <w:p>
            <w:pPr>
              <w:ind w:left="780"/>
              <w:spacing w:after="0"/>
              <w:rPr>
                <w:sz w:val="20"/>
                <w:szCs w:val="20"/>
                <w:color w:val="auto"/>
              </w:rPr>
            </w:pPr>
            <w:r>
              <w:rPr>
                <w:rFonts w:ascii="Arial" w:cs="Arial" w:eastAsia="Arial" w:hAnsi="Arial"/>
                <w:sz w:val="14"/>
                <w:szCs w:val="14"/>
                <w:color w:val="auto"/>
              </w:rPr>
              <w:t>0.93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540" w:type="dxa"/>
            <w:vAlign w:val="bottom"/>
          </w:tcPr>
          <w:p>
            <w:pPr>
              <w:ind w:left="240"/>
              <w:spacing w:after="0"/>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0.51 %</w:t>
            </w: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0.75 %</w:t>
            </w: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310 %</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46"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9"/>
          <w:szCs w:val="9"/>
          <w:color w:val="auto"/>
        </w:rPr>
      </w:pPr>
      <w:r>
        <w:rPr>
          <w:rFonts w:ascii="Arial" w:cs="Arial" w:eastAsia="Arial" w:hAnsi="Arial"/>
          <w:sz w:val="11"/>
          <w:szCs w:val="11"/>
          <w:color w:val="auto"/>
        </w:rPr>
        <w:t>Allowance calculation excludes SBA-PPP loans.</w:t>
      </w:r>
    </w:p>
    <w:p>
      <w:pPr>
        <w:spacing w:after="0" w:line="215"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In determining the allowance for loan loss on the credit card portfolio, management uses the historical loss experience of the credit card portfolio as a major consideration and applies that factor to both secured and unsecured credit card loan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present a summary of the net charge-off (recovery) of loans as a percentage of average loans for the periods indicated:</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7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Charge-offs</w:t>
            </w:r>
          </w:p>
        </w:tc>
        <w:tc>
          <w:tcPr>
            <w:tcW w:w="8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Loans</w:t>
            </w:r>
          </w:p>
        </w:tc>
        <w:tc>
          <w:tcPr>
            <w:tcW w:w="1400" w:type="dxa"/>
            <w:vAlign w:val="bottom"/>
          </w:tcPr>
          <w:p>
            <w:pPr>
              <w:jc w:val="center"/>
              <w:ind w:right="9"/>
              <w:spacing w:after="0" w:line="145" w:lineRule="exact"/>
              <w:rPr>
                <w:sz w:val="20"/>
                <w:szCs w:val="20"/>
                <w:color w:val="auto"/>
              </w:rPr>
            </w:pPr>
            <w:r>
              <w:rPr>
                <w:rFonts w:ascii="Arial" w:cs="Arial" w:eastAsia="Arial" w:hAnsi="Arial"/>
                <w:sz w:val="14"/>
                <w:szCs w:val="14"/>
                <w:b w:val="1"/>
                <w:bCs w:val="1"/>
                <w:color w:val="auto"/>
              </w:rPr>
              <w:t>Percent of average</w:t>
            </w:r>
          </w:p>
        </w:tc>
        <w:tc>
          <w:tcPr>
            <w:tcW w:w="180" w:type="dxa"/>
            <w:vAlign w:val="bottom"/>
          </w:tcPr>
          <w:p>
            <w:pPr>
              <w:spacing w:after="0"/>
              <w:rPr>
                <w:sz w:val="12"/>
                <w:szCs w:val="12"/>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Charge-offs</w:t>
            </w:r>
          </w:p>
        </w:tc>
        <w:tc>
          <w:tcPr>
            <w:tcW w:w="1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Loans</w:t>
            </w:r>
          </w:p>
        </w:tc>
        <w:tc>
          <w:tcPr>
            <w:tcW w:w="12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Percent of averag</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3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portfolio loans</w:t>
            </w:r>
          </w:p>
        </w:tc>
        <w:tc>
          <w:tcPr>
            <w:tcW w:w="1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portfolio loans</w:t>
            </w:r>
          </w:p>
        </w:tc>
        <w:tc>
          <w:tcPr>
            <w:tcW w:w="0" w:type="dxa"/>
            <w:vAlign w:val="bottom"/>
          </w:tcPr>
          <w:p>
            <w:pPr>
              <w:spacing w:after="0"/>
              <w:rPr>
                <w:sz w:val="1"/>
                <w:szCs w:val="1"/>
                <w:color w:val="auto"/>
              </w:rPr>
            </w:pPr>
          </w:p>
        </w:tc>
      </w:tr>
      <w:tr>
        <w:trPr>
          <w:trHeight w:val="173"/>
        </w:trPr>
        <w:tc>
          <w:tcPr>
            <w:tcW w:w="2700" w:type="dxa"/>
            <w:vAlign w:val="bottom"/>
          </w:tcPr>
          <w:p>
            <w:pPr>
              <w:ind w:left="80"/>
              <w:spacing w:after="0"/>
              <w:rPr>
                <w:sz w:val="20"/>
                <w:szCs w:val="20"/>
                <w:color w:val="auto"/>
              </w:rPr>
            </w:pPr>
            <w:r>
              <w:rPr>
                <w:rFonts w:ascii="Arial" w:cs="Arial" w:eastAsia="Arial" w:hAnsi="Arial"/>
                <w:sz w:val="14"/>
                <w:szCs w:val="14"/>
                <w:color w:val="auto"/>
              </w:rPr>
              <w:t>Real estate:</w:t>
            </w: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439,603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70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4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605,433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480,680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7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4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182,113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143,566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93"/>
        </w:trPr>
        <w:tc>
          <w:tcPr>
            <w:tcW w:w="270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4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1,601,546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1,404,006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Charge-offs</w:t>
            </w:r>
          </w:p>
        </w:tc>
        <w:tc>
          <w:tcPr>
            <w:tcW w:w="8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Loans</w:t>
            </w:r>
          </w:p>
        </w:tc>
        <w:tc>
          <w:tcPr>
            <w:tcW w:w="1400" w:type="dxa"/>
            <w:vAlign w:val="bottom"/>
          </w:tcPr>
          <w:p>
            <w:pPr>
              <w:jc w:val="center"/>
              <w:ind w:right="9"/>
              <w:spacing w:after="0" w:line="145" w:lineRule="exact"/>
              <w:rPr>
                <w:sz w:val="20"/>
                <w:szCs w:val="20"/>
                <w:color w:val="auto"/>
              </w:rPr>
            </w:pPr>
            <w:r>
              <w:rPr>
                <w:rFonts w:ascii="Arial" w:cs="Arial" w:eastAsia="Arial" w:hAnsi="Arial"/>
                <w:sz w:val="14"/>
                <w:szCs w:val="14"/>
                <w:b w:val="1"/>
                <w:bCs w:val="1"/>
                <w:color w:val="auto"/>
              </w:rPr>
              <w:t>Percent of average</w:t>
            </w:r>
          </w:p>
        </w:tc>
        <w:tc>
          <w:tcPr>
            <w:tcW w:w="180" w:type="dxa"/>
            <w:vAlign w:val="bottom"/>
          </w:tcPr>
          <w:p>
            <w:pPr>
              <w:spacing w:after="0"/>
              <w:rPr>
                <w:sz w:val="12"/>
                <w:szCs w:val="12"/>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 Charge-offs</w:t>
            </w:r>
          </w:p>
        </w:tc>
        <w:tc>
          <w:tcPr>
            <w:tcW w:w="1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Loans</w:t>
            </w:r>
          </w:p>
        </w:tc>
        <w:tc>
          <w:tcPr>
            <w:tcW w:w="12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Percent of averag</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3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portfolio loans</w:t>
            </w:r>
          </w:p>
        </w:tc>
        <w:tc>
          <w:tcPr>
            <w:tcW w:w="13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portfolio loans</w:t>
            </w:r>
          </w:p>
        </w:tc>
        <w:tc>
          <w:tcPr>
            <w:tcW w:w="0" w:type="dxa"/>
            <w:vAlign w:val="bottom"/>
          </w:tcPr>
          <w:p>
            <w:pPr>
              <w:spacing w:after="0"/>
              <w:rPr>
                <w:sz w:val="1"/>
                <w:szCs w:val="1"/>
                <w:color w:val="auto"/>
              </w:rPr>
            </w:pPr>
          </w:p>
        </w:tc>
      </w:tr>
      <w:tr>
        <w:trPr>
          <w:trHeight w:val="173"/>
        </w:trPr>
        <w:tc>
          <w:tcPr>
            <w:tcW w:w="2700" w:type="dxa"/>
            <w:vAlign w:val="bottom"/>
          </w:tcPr>
          <w:p>
            <w:pPr>
              <w:ind w:left="80"/>
              <w:spacing w:after="0"/>
              <w:rPr>
                <w:sz w:val="20"/>
                <w:szCs w:val="20"/>
                <w:color w:val="auto"/>
              </w:rPr>
            </w:pPr>
            <w:r>
              <w:rPr>
                <w:rFonts w:ascii="Arial" w:cs="Arial" w:eastAsia="Arial" w:hAnsi="Arial"/>
                <w:sz w:val="14"/>
                <w:szCs w:val="14"/>
                <w:color w:val="auto"/>
              </w:rPr>
              <w:t>Real estate:</w:t>
            </w: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70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4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577,347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437,079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7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4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174,505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141,679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93"/>
        </w:trPr>
        <w:tc>
          <w:tcPr>
            <w:tcW w:w="270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4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1,547,386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0.22 %</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1,339,010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Total charge-offs for the quarter and year to date periods ended September 30, 2022 were due to credit card charge-offs. Noted deterioration in macro economic conditions caused management to tighten credit policies surrounding the credit card portfolio, and we are beginning to see delinquencies flatten.</w:t>
      </w:r>
    </w:p>
    <w:p>
      <w:pPr>
        <w:spacing w:after="0" w:line="20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As the loan portfolio and allowance for loan losses review processes continue to evolve, there may be changes to elements of the allowance and this may have an effect on the overall level of the allowance maintained. Historically, the Bank has enjoyed a high quality loan portfolio with relatively low levels of net charge-offs and low delinquency rates. The maintenance of a high quality portfolio will continue to be a high priority.</w:t>
      </w:r>
    </w:p>
    <w:p>
      <w:pPr>
        <w:spacing w:after="0" w:line="208"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207"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Although we believe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8" w:name="page59"/>
    <w:bookmarkEnd w:id="58"/>
    <w:p>
      <w:pPr>
        <w:spacing w:after="0" w:line="183"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The following table shows the allocation of the allowance for loan losses among loan categories as of the dates indicated. The total allowance is available to absorb losses from any loan category.</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6"/>
                <w:szCs w:val="16"/>
                <w:color w:val="auto"/>
              </w:rPr>
            </w:pPr>
          </w:p>
        </w:tc>
        <w:tc>
          <w:tcPr>
            <w:tcW w:w="246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December 31, 2021</w:t>
            </w:r>
          </w:p>
        </w:tc>
      </w:tr>
      <w:tr>
        <w:trPr>
          <w:trHeight w:val="198"/>
        </w:trPr>
        <w:tc>
          <w:tcPr>
            <w:tcW w:w="57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98"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98"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r>
      <w:tr>
        <w:trPr>
          <w:trHeight w:val="118"/>
        </w:trPr>
        <w:tc>
          <w:tcPr>
            <w:tcW w:w="576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31"/>
        </w:trPr>
        <w:tc>
          <w:tcPr>
            <w:tcW w:w="57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4"/>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5,969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2"/>
        </w:trPr>
        <w:tc>
          <w:tcPr>
            <w:tcW w:w="5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8,368</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8,566</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34</w:t>
            </w:r>
          </w:p>
        </w:tc>
      </w:tr>
      <w:tr>
        <w:trPr>
          <w:trHeight w:val="212"/>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4,699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2,195</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2,637</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10</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3,655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230"/>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allowance for loan losses</w:t>
            </w: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26,091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25,181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20" w:hanging="296"/>
        <w:spacing w:after="0" w:line="193" w:lineRule="auto"/>
        <w:tabs>
          <w:tab w:leader="none" w:pos="620" w:val="left"/>
        </w:tabs>
        <w:numPr>
          <w:ilvl w:val="0"/>
          <w:numId w:val="17"/>
        </w:numPr>
        <w:rPr>
          <w:rFonts w:ascii="Arial" w:cs="Arial" w:eastAsia="Arial" w:hAnsi="Arial"/>
          <w:sz w:val="18"/>
          <w:szCs w:val="18"/>
          <w:color w:val="auto"/>
          <w:vertAlign w:val="superscript"/>
        </w:rPr>
      </w:pPr>
      <w:r>
        <w:rPr>
          <w:rFonts w:ascii="Arial" w:cs="Arial" w:eastAsia="Arial" w:hAnsi="Arial"/>
          <w:sz w:val="11"/>
          <w:szCs w:val="11"/>
          <w:color w:val="auto"/>
        </w:rPr>
        <w:t>Loan category as a percentage of total portfolio loans which excludes SBA-PPP loans.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Liabilities</w:t>
      </w:r>
    </w:p>
    <w:p>
      <w:pPr>
        <w:spacing w:after="0" w:line="235"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Total liabilities at September 30, 2022 decreased $62.0 from December 31, 2021 due primarily to the decrease in our deposit portfolio as noted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35" w:lineRule="exact"/>
        <w:rPr>
          <w:sz w:val="20"/>
          <w:szCs w:val="20"/>
          <w:color w:val="auto"/>
        </w:rPr>
      </w:pPr>
    </w:p>
    <w:p>
      <w:pPr>
        <w:jc w:val="both"/>
        <w:ind w:right="140" w:firstLine="318"/>
        <w:spacing w:after="0" w:line="247"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low cost deposits. As of September 30, 2022 and December 31, 2021, our credit card customers accounted for $201.3 million and $220.4 million, or 25.0% and 29.1%, respectively, of our total noninterest bearing deposit balances.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AVERAGE DEPOSITS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3480" w:type="dxa"/>
            <w:vAlign w:val="bottom"/>
            <w:gridSpan w:val="4"/>
          </w:tcPr>
          <w:p>
            <w:pPr>
              <w:ind w:left="80"/>
              <w:spacing w:after="0"/>
              <w:rPr>
                <w:sz w:val="20"/>
                <w:szCs w:val="20"/>
                <w:color w:val="auto"/>
              </w:rPr>
            </w:pPr>
            <w:r>
              <w:rPr>
                <w:rFonts w:ascii="Arial" w:cs="Arial" w:eastAsia="Arial" w:hAnsi="Arial"/>
                <w:sz w:val="14"/>
                <w:szCs w:val="14"/>
                <w:b w:val="1"/>
                <w:bCs w:val="1"/>
                <w:color w:val="auto"/>
              </w:rPr>
              <w:t>For the Nine Months Ended September 30, 2022</w:t>
            </w:r>
          </w:p>
        </w:tc>
        <w:tc>
          <w:tcPr>
            <w:tcW w:w="280" w:type="dxa"/>
            <w:vAlign w:val="bottom"/>
          </w:tcPr>
          <w:p>
            <w:pPr>
              <w:spacing w:after="0"/>
              <w:rPr>
                <w:sz w:val="16"/>
                <w:szCs w:val="16"/>
                <w:color w:val="auto"/>
              </w:rPr>
            </w:pPr>
          </w:p>
        </w:tc>
        <w:tc>
          <w:tcPr>
            <w:tcW w:w="2940" w:type="dxa"/>
            <w:vAlign w:val="bottom"/>
            <w:gridSpan w:val="2"/>
          </w:tcPr>
          <w:p>
            <w:pPr>
              <w:jc w:val="right"/>
              <w:ind w:right="183"/>
              <w:spacing w:after="0"/>
              <w:rPr>
                <w:sz w:val="20"/>
                <w:szCs w:val="20"/>
                <w:color w:val="auto"/>
              </w:rPr>
            </w:pPr>
            <w:r>
              <w:rPr>
                <w:rFonts w:ascii="Arial" w:cs="Arial" w:eastAsia="Arial" w:hAnsi="Arial"/>
                <w:sz w:val="14"/>
                <w:szCs w:val="14"/>
                <w:color w:val="auto"/>
              </w:rPr>
              <w:t>For the Year Ended December 31, 2021</w:t>
            </w:r>
          </w:p>
        </w:tc>
      </w:tr>
      <w:tr>
        <w:trPr>
          <w:trHeight w:val="145"/>
        </w:trPr>
        <w:tc>
          <w:tcPr>
            <w:tcW w:w="4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442"/>
              <w:spacing w:after="0" w:line="145" w:lineRule="exact"/>
              <w:rPr>
                <w:sz w:val="20"/>
                <w:szCs w:val="20"/>
                <w:color w:val="auto"/>
              </w:rPr>
            </w:pPr>
            <w:r>
              <w:rPr>
                <w:rFonts w:ascii="Arial" w:cs="Arial" w:eastAsia="Arial" w:hAnsi="Arial"/>
                <w:sz w:val="14"/>
                <w:szCs w:val="14"/>
                <w:b w:val="1"/>
                <w:bCs w:val="1"/>
                <w:color w:val="auto"/>
              </w:rPr>
              <w:t>Average</w:t>
            </w:r>
          </w:p>
        </w:tc>
        <w:tc>
          <w:tcPr>
            <w:tcW w:w="1800" w:type="dxa"/>
            <w:vAlign w:val="bottom"/>
            <w:tcBorders>
              <w:top w:val="single" w:sz="8" w:color="auto"/>
            </w:tcBorders>
          </w:tcPr>
          <w:p>
            <w:pPr>
              <w:ind w:left="680"/>
              <w:spacing w:after="0" w:line="145"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463"/>
              <w:spacing w:after="0" w:line="145" w:lineRule="exact"/>
              <w:rPr>
                <w:sz w:val="20"/>
                <w:szCs w:val="20"/>
                <w:color w:val="auto"/>
              </w:rPr>
            </w:pPr>
            <w:r>
              <w:rPr>
                <w:rFonts w:ascii="Arial" w:cs="Arial" w:eastAsia="Arial" w:hAnsi="Arial"/>
                <w:sz w:val="14"/>
                <w:szCs w:val="14"/>
                <w:color w:val="auto"/>
              </w:rPr>
              <w:t>Average</w:t>
            </w:r>
          </w:p>
        </w:tc>
        <w:tc>
          <w:tcPr>
            <w:tcW w:w="1640" w:type="dxa"/>
            <w:vAlign w:val="bottom"/>
            <w:tcBorders>
              <w:top w:val="single" w:sz="8" w:color="auto"/>
            </w:tcBorders>
          </w:tcPr>
          <w:p>
            <w:pPr>
              <w:jc w:val="right"/>
              <w:ind w:right="343"/>
              <w:spacing w:after="0" w:line="145" w:lineRule="exact"/>
              <w:rPr>
                <w:sz w:val="20"/>
                <w:szCs w:val="20"/>
                <w:color w:val="auto"/>
              </w:rPr>
            </w:pPr>
            <w:r>
              <w:rPr>
                <w:rFonts w:ascii="Arial" w:cs="Arial" w:eastAsia="Arial" w:hAnsi="Arial"/>
                <w:sz w:val="14"/>
                <w:szCs w:val="14"/>
                <w:color w:val="auto"/>
              </w:rPr>
              <w:t>Average</w:t>
            </w:r>
          </w:p>
        </w:tc>
      </w:tr>
      <w:tr>
        <w:trPr>
          <w:trHeight w:val="185"/>
        </w:trPr>
        <w:tc>
          <w:tcPr>
            <w:tcW w:w="4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Balance</w:t>
            </w:r>
          </w:p>
        </w:tc>
        <w:tc>
          <w:tcPr>
            <w:tcW w:w="19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Balance</w:t>
            </w:r>
          </w:p>
        </w:tc>
        <w:tc>
          <w:tcPr>
            <w:tcW w:w="16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Rate</w:t>
            </w:r>
          </w:p>
        </w:tc>
      </w:tr>
      <w:tr>
        <w:trPr>
          <w:trHeight w:val="118"/>
        </w:trPr>
        <w:tc>
          <w:tcPr>
            <w:tcW w:w="432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21"/>
        </w:trPr>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demand accounts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265,854</w:t>
            </w:r>
          </w:p>
        </w:tc>
        <w:tc>
          <w:tcPr>
            <w:tcW w:w="180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w w:val="96"/>
              </w:rPr>
              <w:t>0.06 %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289,285</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12"/>
        </w:trPr>
        <w:tc>
          <w:tcPr>
            <w:tcW w:w="432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553,794</w:t>
            </w:r>
          </w:p>
        </w:tc>
        <w:tc>
          <w:tcPr>
            <w:tcW w:w="1800" w:type="dxa"/>
            <w:vAlign w:val="bottom"/>
          </w:tcPr>
          <w:p>
            <w:pPr>
              <w:ind w:left="1300"/>
              <w:spacing w:after="0"/>
              <w:rPr>
                <w:sz w:val="20"/>
                <w:szCs w:val="20"/>
                <w:color w:val="auto"/>
              </w:rPr>
            </w:pPr>
            <w:r>
              <w:rPr>
                <w:rFonts w:ascii="Arial" w:cs="Arial" w:eastAsia="Arial" w:hAnsi="Arial"/>
                <w:sz w:val="16"/>
                <w:szCs w:val="16"/>
                <w:b w:val="1"/>
                <w:bCs w:val="1"/>
                <w:color w:val="auto"/>
              </w:rPr>
              <w:t>0.37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482,225</w:t>
            </w:r>
          </w:p>
        </w:tc>
        <w:tc>
          <w:tcPr>
            <w:tcW w:w="164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9,138</w:t>
            </w:r>
          </w:p>
        </w:tc>
        <w:tc>
          <w:tcPr>
            <w:tcW w:w="180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0.06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2"/>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161,982</w:t>
            </w:r>
          </w:p>
        </w:tc>
        <w:tc>
          <w:tcPr>
            <w:tcW w:w="1800" w:type="dxa"/>
            <w:vAlign w:val="bottom"/>
            <w:tcBorders>
              <w:bottom w:val="single" w:sz="8" w:color="CCEEFF"/>
            </w:tcBorders>
          </w:tcPr>
          <w:p>
            <w:pPr>
              <w:ind w:left="1300"/>
              <w:spacing w:after="0"/>
              <w:rPr>
                <w:sz w:val="20"/>
                <w:szCs w:val="20"/>
                <w:color w:val="auto"/>
              </w:rPr>
            </w:pPr>
            <w:r>
              <w:rPr>
                <w:rFonts w:ascii="Arial" w:cs="Arial" w:eastAsia="Arial" w:hAnsi="Arial"/>
                <w:sz w:val="16"/>
                <w:szCs w:val="16"/>
                <w:b w:val="1"/>
                <w:bCs w:val="1"/>
                <w:color w:val="auto"/>
              </w:rPr>
              <w:t>1.32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269,262</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1.53</w:t>
            </w:r>
          </w:p>
        </w:tc>
      </w:tr>
      <w:tr>
        <w:trPr>
          <w:trHeight w:val="205"/>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interest-bearing deposits</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990,768</w:t>
            </w:r>
          </w:p>
        </w:tc>
        <w:tc>
          <w:tcPr>
            <w:tcW w:w="180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0.44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1,047,242</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r>
      <w:tr>
        <w:trPr>
          <w:trHeight w:val="20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Noninterest-bearing demand accounts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797,660</w:t>
            </w:r>
          </w:p>
        </w:tc>
        <w:tc>
          <w:tcPr>
            <w:tcW w:w="1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750,760</w:t>
            </w:r>
          </w:p>
        </w:tc>
        <w:tc>
          <w:tcPr>
            <w:tcW w:w="1640" w:type="dxa"/>
            <w:vAlign w:val="bottom"/>
            <w:tcBorders>
              <w:bottom w:val="single" w:sz="8" w:color="CCEEFF"/>
            </w:tcBorders>
          </w:tcPr>
          <w:p>
            <w:pPr>
              <w:spacing w:after="0"/>
              <w:rPr>
                <w:sz w:val="17"/>
                <w:szCs w:val="17"/>
                <w:color w:val="auto"/>
              </w:rPr>
            </w:pPr>
          </w:p>
        </w:tc>
      </w:tr>
      <w:tr>
        <w:trPr>
          <w:trHeight w:val="23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deposits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1,788,428</w:t>
            </w:r>
          </w:p>
        </w:tc>
        <w:tc>
          <w:tcPr>
            <w:tcW w:w="18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b w:val="1"/>
                <w:bCs w:val="1"/>
                <w:color w:val="auto"/>
              </w:rPr>
              <w:t>0.24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1,798,002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9" w:name="page60"/>
    <w:bookmarkEnd w:id="59"/>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September 30, 2022.</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Over Six</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Over</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1"/>
                <w:szCs w:val="11"/>
                <w:color w:val="auto"/>
              </w:rPr>
            </w:pPr>
          </w:p>
        </w:tc>
        <w:tc>
          <w:tcPr>
            <w:tcW w:w="12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Months or</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2"/>
                <w:szCs w:val="12"/>
                <w:color w:val="auto"/>
              </w:rPr>
            </w:pPr>
          </w:p>
        </w:tc>
        <w:tc>
          <w:tcPr>
            <w:tcW w:w="120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8"/>
              </w:rPr>
              <w:t>Twelve</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8"/>
              </w:rPr>
              <w:t>Twelve</w:t>
            </w:r>
          </w:p>
        </w:tc>
        <w:tc>
          <w:tcPr>
            <w:tcW w:w="300" w:type="dxa"/>
            <w:vAlign w:val="bottom"/>
          </w:tcPr>
          <w:p>
            <w:pPr>
              <w:spacing w:after="0"/>
              <w:rPr>
                <w:sz w:val="12"/>
                <w:szCs w:val="12"/>
                <w:color w:val="auto"/>
              </w:rPr>
            </w:pPr>
          </w:p>
        </w:tc>
        <w:tc>
          <w:tcPr>
            <w:tcW w:w="86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Less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14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$250,000 or more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8,791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101,37</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$250,000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13,793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233"/>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101,693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22,584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of September 30, 2022 and December 31, 2021, based on the methodologies and assumptions used for the Bank’s regulatory reporting requirements, approximately $960.2 million or 55.3% and $972.4 million or 54.1%, respectively, of our deposit portfolio was uninsured. Uninsured deposits are comprised of the portion of account balances that are in excess of FDIC insurance limits.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3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We utilize short-term and long-term borrowings to supplement deposits to fund our lending and investment activities, each of which is discussed below.</w:t>
      </w:r>
    </w:p>
    <w:p>
      <w:pPr>
        <w:spacing w:after="0" w:line="18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September 30, 2022, approximately $492.8 million in real estate loans were pledged as collateral for our FHLB borrowings. Of the $492.8 million in loans pledged to the FHLB, our total borrowing capacity at September 30, 2022 was $317.2 million. None of our investment securities were pledged with the FHLB as of September 30, 2022. We utilize these borrowings to meet liquidity needs and to fund certain fixed rate loans in our portfolio. As of September 30, 2022, we had $22.0 million in outstanding advances and $295.2 million in available borrowing capacity from the FHLB.</w:t>
      </w:r>
    </w:p>
    <w:p>
      <w:pPr>
        <w:spacing w:after="0" w:line="185" w:lineRule="exact"/>
        <w:rPr>
          <w:sz w:val="20"/>
          <w:szCs w:val="20"/>
          <w:color w:val="auto"/>
        </w:rPr>
      </w:pPr>
    </w:p>
    <w:p>
      <w:pPr>
        <w:jc w:val="both"/>
        <w:ind w:right="100" w:firstLine="318"/>
        <w:spacing w:after="0" w:line="272" w:lineRule="auto"/>
        <w:rPr>
          <w:sz w:val="20"/>
          <w:szCs w:val="20"/>
          <w:color w:val="auto"/>
        </w:rPr>
      </w:pPr>
      <w:r>
        <w:rPr>
          <w:rFonts w:ascii="Arial" w:cs="Arial" w:eastAsia="Arial" w:hAnsi="Arial"/>
          <w:sz w:val="18"/>
          <w:szCs w:val="18"/>
          <w:i w:val="1"/>
          <w:iCs w:val="1"/>
          <w:color w:val="auto"/>
        </w:rPr>
        <w:t xml:space="preserve">Other Borrowed Funds. </w:t>
      </w:r>
      <w:r>
        <w:rPr>
          <w:rFonts w:ascii="Arial" w:cs="Arial" w:eastAsia="Arial" w:hAnsi="Arial"/>
          <w:sz w:val="18"/>
          <w:szCs w:val="18"/>
          <w:color w:val="auto"/>
        </w:rPr>
        <w:t>The Company has also issued junior subordinated debentures and other subordinated notes.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these other borrowings amounted to $12.1 million.</w:t>
      </w:r>
    </w:p>
    <w:p>
      <w:pPr>
        <w:spacing w:after="0" w:line="185"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At September 30, 2022,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20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On November 30, 2020, the Company issued $10.0 million in subordinated notes due in 2030 to repay the higher yielding subordinated notes amounting to $13.5 million. The notes have a ten year term and have a fixed rate of 5.00% for the first five years; thereafter, the rate resets quarterly to a benchmark rate plus 490 basis points. The notes may be redeemed in part or in whole, upon the occurrence of certain events.</w:t>
      </w:r>
    </w:p>
    <w:p>
      <w:pPr>
        <w:spacing w:after="0" w:line="208"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Federal Reserve Bank of Richmond has an available borrower in custody arrangement which allows us to borrow on a collateralized basis. The Company’s borrowing capacity under the Federal Reserve’s discount window program was $26.7 million as of September 30, 2022. Certain commercial loans are pledged under this arrangement. We maintain this borrowing arrangement to meet liquidity needs pursuant to our contingency funding plan. No advances were outstanding under this facility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0" w:name="page61"/>
    <w:bookmarkEnd w:id="60"/>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also has available lines of credit of $76.0 million with other correspondent banks at September 30, 2022, as well as access to certificate of deposit funding through a financial network and wholesale brokers. Our funding policy limits use of this funding source to 30% of the Bank’s deposits. These lines were not utilized at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addresses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situations of stress;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September 30, 2022, we had $295.2 million of available borrowing capacity from the FHLB, $26.7 million of available borrowing capacity from the Federal Reserve Bank of Richmond and available lines of credit of $76.0 million with other correspondent banks. Cash and cash equivalents were $37.1 million at September 30, 2022. We believe our liquidity resources are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Stockholders’ equity increased $16.1 million for the period ended September 30, 2022 compared to December 31, 2021 largely due to year to date net income of $32.8 million for 2022 that was offset by a $16.5 million unrealized loss, net of tax, in available for sale securities.</w:t>
      </w:r>
    </w:p>
    <w:p>
      <w:pPr>
        <w:spacing w:after="0" w:line="20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The Company uses several indicators of capital strength. The most commonly used measure is average common equity to average assets (computed as average equity divided by average total assets), which was 10.19% at September 30, 2022 and 8.82% at December 31, 2021.</w:t>
      </w:r>
    </w:p>
    <w:p>
      <w:pPr>
        <w:spacing w:after="0" w:line="18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Quantitative measures established by regulation to ensure capital adequacy require the Bank to maintain minimum ratios of common equity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Tier 1, Tier 1, and total capital as a percentage of assets and off-balance sheet exposures, adjusted for risk weights ranging from 0% to 1250%.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Bank is also required to maintain capital at a minimum level based on quarterly average assets, which is known as the leverage ratio.</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ability of the Company to continue to grow is dependent on its earnings and those of the Bank, the ability to obtain additional funds for contribution to the Bank’s capital, through additional borrowings, through the sale of additional common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 in the Annual Report on Form 10-K for the year ended December 31, 2021.</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September 30, 2022,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regulatory capital ratios for the Company and the Bank as of the dates indicated.</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640"/>
              <w:spacing w:after="0"/>
              <w:rPr>
                <w:sz w:val="20"/>
                <w:szCs w:val="20"/>
                <w:color w:val="auto"/>
              </w:rPr>
            </w:pPr>
            <w:r>
              <w:rPr>
                <w:rFonts w:ascii="Arial" w:cs="Arial" w:eastAsia="Arial" w:hAnsi="Arial"/>
                <w:sz w:val="13"/>
                <w:szCs w:val="13"/>
                <w:b w:val="1"/>
                <w:bCs w:val="1"/>
                <w:color w:val="auto"/>
              </w:rPr>
              <w:t>Actual</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Minimum Capital</w:t>
            </w:r>
          </w:p>
        </w:tc>
        <w:tc>
          <w:tcPr>
            <w:tcW w:w="140" w:type="dxa"/>
            <w:vAlign w:val="bottom"/>
          </w:tcPr>
          <w:p>
            <w:pPr>
              <w:spacing w:after="0"/>
              <w:rPr>
                <w:sz w:val="13"/>
                <w:szCs w:val="13"/>
                <w:color w:val="auto"/>
              </w:rPr>
            </w:pPr>
          </w:p>
        </w:tc>
        <w:tc>
          <w:tcPr>
            <w:tcW w:w="166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rPr>
              <w:t>To Be Well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rPr>
              <w:t>Adequacy</w:t>
            </w:r>
          </w:p>
        </w:tc>
        <w:tc>
          <w:tcPr>
            <w:tcW w:w="140" w:type="dxa"/>
            <w:vAlign w:val="bottom"/>
          </w:tcPr>
          <w:p>
            <w:pPr>
              <w:spacing w:after="0"/>
              <w:rPr>
                <w:sz w:val="15"/>
                <w:szCs w:val="15"/>
                <w:color w:val="auto"/>
              </w:rPr>
            </w:pPr>
          </w:p>
        </w:tc>
        <w:tc>
          <w:tcPr>
            <w:tcW w:w="1660" w:type="dxa"/>
            <w:vAlign w:val="bottom"/>
            <w:gridSpan w:val="3"/>
          </w:tcPr>
          <w:p>
            <w:pPr>
              <w:jc w:val="right"/>
              <w:ind w:right="373"/>
              <w:spacing w:after="0"/>
              <w:rPr>
                <w:sz w:val="20"/>
                <w:szCs w:val="20"/>
                <w:color w:val="auto"/>
              </w:rPr>
            </w:pPr>
            <w:r>
              <w:rPr>
                <w:rFonts w:ascii="Arial" w:cs="Arial" w:eastAsia="Arial" w:hAnsi="Arial"/>
                <w:sz w:val="13"/>
                <w:szCs w:val="13"/>
                <w:b w:val="1"/>
                <w:bCs w:val="1"/>
                <w:color w:val="auto"/>
              </w:rPr>
              <w:t>Capitalized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September 30, 2022</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40"/>
              <w:spacing w:after="0" w:line="159" w:lineRule="exact"/>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tcPr>
          <w:p>
            <w:pPr>
              <w:jc w:val="right"/>
              <w:ind w:right="233"/>
              <w:spacing w:after="0" w:line="159" w:lineRule="exact"/>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ind w:left="40"/>
              <w:spacing w:after="0" w:line="159" w:lineRule="exact"/>
              <w:rPr>
                <w:sz w:val="20"/>
                <w:szCs w:val="20"/>
                <w:color w:val="auto"/>
              </w:rPr>
            </w:pPr>
            <w:r>
              <w:rPr>
                <w:rFonts w:ascii="Arial" w:cs="Arial" w:eastAsia="Arial" w:hAnsi="Arial"/>
                <w:sz w:val="14"/>
                <w:szCs w:val="14"/>
                <w:b w:val="1"/>
                <w:bCs w:val="1"/>
                <w:color w:val="auto"/>
              </w:rPr>
              <w:t>Amount</w:t>
            </w:r>
          </w:p>
        </w:tc>
        <w:tc>
          <w:tcPr>
            <w:tcW w:w="940" w:type="dxa"/>
            <w:vAlign w:val="bottom"/>
            <w:tcBorders>
              <w:top w:val="single" w:sz="8" w:color="auto"/>
            </w:tcBorders>
          </w:tcPr>
          <w:p>
            <w:pPr>
              <w:ind w:left="300"/>
              <w:spacing w:after="0" w:line="159" w:lineRule="exact"/>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ind w:left="20"/>
              <w:spacing w:after="0" w:line="159"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53"/>
              <w:spacing w:after="0" w:line="159"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14"/>
              <w:spacing w:after="0"/>
              <w:rPr>
                <w:sz w:val="20"/>
                <w:szCs w:val="20"/>
                <w:color w:val="auto"/>
              </w:rPr>
            </w:pPr>
            <w:r>
              <w:rPr>
                <w:rFonts w:ascii="Arial" w:cs="Arial" w:eastAsia="Arial" w:hAnsi="Arial"/>
                <w:sz w:val="13"/>
                <w:szCs w:val="13"/>
                <w:b w:val="1"/>
                <w:bCs w:val="1"/>
                <w:color w:val="auto"/>
              </w:rPr>
              <w:t>233,651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11.31 %</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82,656</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b w:val="1"/>
                <w:bCs w:val="1"/>
                <w:color w:val="auto"/>
              </w:rPr>
              <w:t>4.00 %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N/A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233,651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15.49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90,482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6.00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N/A</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b w:val="1"/>
                <w:bCs w:val="1"/>
                <w:color w:val="auto"/>
              </w:rPr>
              <w:t>231,589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15.36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67,862</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b w:val="1"/>
                <w:bCs w:val="1"/>
                <w:color w:val="auto"/>
              </w:rPr>
              <w:t>4.50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N/A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262,611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17.41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120,643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8.00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N/A</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14"/>
              <w:spacing w:after="0"/>
              <w:rPr>
                <w:sz w:val="20"/>
                <w:szCs w:val="20"/>
                <w:color w:val="auto"/>
              </w:rPr>
            </w:pPr>
            <w:r>
              <w:rPr>
                <w:rFonts w:ascii="Arial" w:cs="Arial" w:eastAsia="Arial" w:hAnsi="Arial"/>
                <w:sz w:val="13"/>
                <w:szCs w:val="13"/>
                <w:b w:val="1"/>
                <w:bCs w:val="1"/>
                <w:color w:val="auto"/>
              </w:rPr>
              <w:t>193,899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9.60 %</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80,786</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b w:val="1"/>
                <w:bCs w:val="1"/>
                <w:color w:val="auto"/>
              </w:rPr>
              <w:t>4.00 %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100,982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5.0</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193,899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13.39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86,871</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6.00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115,828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b w:val="1"/>
                <w:bCs w:val="1"/>
                <w:color w:val="auto"/>
              </w:rPr>
              <w:t>193,899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13.39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65,153</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b w:val="1"/>
                <w:bCs w:val="1"/>
                <w:color w:val="auto"/>
              </w:rPr>
              <w:t>4.50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94,110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6.5</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212,110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14.65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115,828</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b w:val="1"/>
                <w:bCs w:val="1"/>
                <w:color w:val="auto"/>
              </w:rPr>
              <w:t>8.00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144,785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December 31, 2021</w:t>
            </w:r>
          </w:p>
        </w:tc>
        <w:tc>
          <w:tcPr>
            <w:tcW w:w="392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201,040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82,683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4.00 %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N/A</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201,040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83,596</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N/A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198,978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14.28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62,697</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N/A</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228,574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16.41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111,462</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480"/>
              <w:spacing w:after="0"/>
              <w:rPr>
                <w:sz w:val="20"/>
                <w:szCs w:val="20"/>
                <w:color w:val="auto"/>
              </w:rPr>
            </w:pPr>
            <w:r>
              <w:rPr>
                <w:rFonts w:ascii="Arial" w:cs="Arial" w:eastAsia="Arial" w:hAnsi="Arial"/>
                <w:sz w:val="13"/>
                <w:szCs w:val="13"/>
                <w:color w:val="auto"/>
              </w:rPr>
              <w:t>N/A</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169,384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81,070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4.00 %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101,338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169,384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81,097</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108,130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169,384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60,823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4.50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87,856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186,397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13.79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108,130</w:t>
            </w:r>
          </w:p>
        </w:tc>
        <w:tc>
          <w:tcPr>
            <w:tcW w:w="120" w:type="dxa"/>
            <w:vAlign w:val="bottom"/>
          </w:tcPr>
          <w:p>
            <w:pPr>
              <w:spacing w:after="0"/>
              <w:rPr>
                <w:sz w:val="15"/>
                <w:szCs w:val="15"/>
                <w:color w:val="auto"/>
              </w:rPr>
            </w:pPr>
          </w:p>
        </w:tc>
        <w:tc>
          <w:tcPr>
            <w:tcW w:w="940" w:type="dxa"/>
            <w:vAlign w:val="bottom"/>
          </w:tcPr>
          <w:p>
            <w:pPr>
              <w:ind w:left="500"/>
              <w:spacing w:after="0"/>
              <w:rPr>
                <w:sz w:val="20"/>
                <w:szCs w:val="20"/>
                <w:color w:val="auto"/>
              </w:rPr>
            </w:pPr>
            <w:r>
              <w:rPr>
                <w:rFonts w:ascii="Arial" w:cs="Arial" w:eastAsia="Arial" w:hAnsi="Arial"/>
                <w:sz w:val="13"/>
                <w:szCs w:val="13"/>
                <w:color w:val="auto"/>
              </w:rPr>
              <w:t>8.00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135,162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9"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We have contractual obligations to make future payments on debt agreements. Our liquidity monitoring and management consider both present and future demands for and sources of liquidity.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35"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3" w:name="page64"/>
    <w:bookmarkEnd w:id="63"/>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EXTENSION COMMITMENTS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 September 30, 2022</w:t>
            </w: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25"/>
        </w:trPr>
        <w:tc>
          <w:tcPr>
            <w:tcW w:w="5820" w:type="dxa"/>
            <w:vAlign w:val="bottom"/>
          </w:tcPr>
          <w:p>
            <w:pPr>
              <w:ind w:left="20"/>
              <w:spacing w:after="0" w:line="125" w:lineRule="exact"/>
              <w:rPr>
                <w:sz w:val="20"/>
                <w:szCs w:val="20"/>
                <w:color w:val="auto"/>
              </w:rPr>
            </w:pPr>
            <w:r>
              <w:rPr>
                <w:rFonts w:ascii="Arial" w:cs="Arial" w:eastAsia="Arial" w:hAnsi="Arial"/>
                <w:sz w:val="11"/>
                <w:szCs w:val="11"/>
                <w:color w:val="auto"/>
              </w:rPr>
              <w:t>(in thousands)</w:t>
            </w: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23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342,507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6"/>
                <w:szCs w:val="16"/>
                <w:color w:val="auto"/>
              </w:rPr>
              <w:t>Unfunded lines of credit</w:t>
            </w:r>
          </w:p>
        </w:tc>
        <w:tc>
          <w:tcPr>
            <w:tcW w:w="280" w:type="dxa"/>
            <w:vAlign w:val="bottom"/>
            <w:vMerge w:val="continue"/>
          </w:tcPr>
          <w:p>
            <w:pPr>
              <w:spacing w:after="0"/>
              <w:rPr>
                <w:sz w:val="20"/>
                <w:szCs w:val="20"/>
                <w:color w:val="auto"/>
              </w:rPr>
            </w:pPr>
          </w:p>
        </w:tc>
        <w:tc>
          <w:tcPr>
            <w:tcW w:w="2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376,3</w:t>
            </w: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to originate residential loans held for sale</w:t>
            </w:r>
          </w:p>
        </w:tc>
        <w:tc>
          <w:tcPr>
            <w:tcW w:w="2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2"/>
        </w:trPr>
        <w:tc>
          <w:tcPr>
            <w:tcW w:w="5820" w:type="dxa"/>
            <w:vAlign w:val="bottom"/>
          </w:tcPr>
          <w:p>
            <w:pPr>
              <w:ind w:left="20"/>
              <w:spacing w:after="0"/>
              <w:rPr>
                <w:sz w:val="20"/>
                <w:szCs w:val="20"/>
                <w:color w:val="auto"/>
              </w:rPr>
            </w:pPr>
            <w:r>
              <w:rPr>
                <w:rFonts w:ascii="Arial" w:cs="Arial" w:eastAsia="Arial" w:hAnsi="Arial"/>
                <w:sz w:val="16"/>
                <w:szCs w:val="16"/>
                <w:color w:val="auto"/>
              </w:rPr>
              <w:t>Letters of credit</w:t>
            </w:r>
          </w:p>
        </w:tc>
        <w:tc>
          <w:tcPr>
            <w:tcW w:w="280" w:type="dxa"/>
            <w:vAlign w:val="bottom"/>
          </w:tcPr>
          <w:p>
            <w:pPr>
              <w:spacing w:after="0"/>
              <w:rPr>
                <w:sz w:val="18"/>
                <w:szCs w:val="18"/>
                <w:color w:val="auto"/>
              </w:rPr>
            </w:pPr>
          </w:p>
        </w:tc>
        <w:tc>
          <w:tcPr>
            <w:tcW w:w="2380" w:type="dxa"/>
            <w:vAlign w:val="bottom"/>
          </w:tcPr>
          <w:p>
            <w:pPr>
              <w:jc w:val="right"/>
              <w:ind w:right="2"/>
              <w:spacing w:after="0"/>
              <w:rPr>
                <w:sz w:val="20"/>
                <w:szCs w:val="20"/>
                <w:color w:val="auto"/>
              </w:rPr>
            </w:pPr>
            <w:r>
              <w:rPr>
                <w:rFonts w:ascii="Arial" w:cs="Arial" w:eastAsia="Arial" w:hAnsi="Arial"/>
                <w:sz w:val="16"/>
                <w:szCs w:val="16"/>
                <w:b w:val="1"/>
                <w:bCs w:val="1"/>
                <w:color w:val="auto"/>
              </w:rPr>
              <w:t>5,085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 to fund other investments</w:t>
            </w:r>
          </w:p>
        </w:tc>
        <w:tc>
          <w:tcPr>
            <w:tcW w:w="28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5"/>
        </w:trPr>
        <w:tc>
          <w:tcPr>
            <w:tcW w:w="5820" w:type="dxa"/>
            <w:vAlign w:val="bottom"/>
          </w:tcPr>
          <w:p>
            <w:pPr>
              <w:ind w:left="140"/>
              <w:spacing w:after="0"/>
              <w:rPr>
                <w:sz w:val="20"/>
                <w:szCs w:val="20"/>
                <w:color w:val="auto"/>
              </w:rPr>
            </w:pPr>
            <w:r>
              <w:rPr>
                <w:rFonts w:ascii="Arial" w:cs="Arial" w:eastAsia="Arial" w:hAnsi="Arial"/>
                <w:sz w:val="16"/>
                <w:szCs w:val="16"/>
                <w:color w:val="auto"/>
              </w:rPr>
              <w:t>Total credit extension commitments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2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352,313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w:t>
      </w:r>
    </w:p>
    <w:p>
      <w:pPr>
        <w:spacing w:after="0" w:line="211"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208"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93"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commitment to fund other investments reflects an obligation to make an investment in a Small Business Investment Company.</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Impact of Inflation</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Unlike many industrial companies, substantially all of our assets and liabilities are monetary in nature. As a result, interest rates have a more significant impact on our performance than the effects of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4" w:name="page65"/>
    <w:bookmarkEnd w:id="64"/>
    <w:p>
      <w:pPr>
        <w:spacing w:after="0" w:line="1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levels of inflation. Interest rates may not necessarily move in the same direction or in the same magnitude as do the prices of goods and services. However, other operating expenses do reflect general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endeavor to manage our sensitivity position within our established guidelines.</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0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19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After Three</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Greater Than One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9"/>
              </w:rPr>
              <w:t>Through Three</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8"/>
              </w:rPr>
              <w:t>Through Twelve</w:t>
            </w:r>
          </w:p>
        </w:tc>
        <w:tc>
          <w:tcPr>
            <w:tcW w:w="12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Within One Year</w:t>
            </w: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9"/>
              </w:rPr>
              <w:t>Year or Non-</w:t>
            </w:r>
          </w:p>
        </w:tc>
        <w:tc>
          <w:tcPr>
            <w:tcW w:w="280" w:type="dxa"/>
            <w:vAlign w:val="bottom"/>
          </w:tcPr>
          <w:p>
            <w:pPr>
              <w:spacing w:after="0"/>
              <w:rPr>
                <w:sz w:val="12"/>
                <w:szCs w:val="12"/>
                <w:color w:val="auto"/>
              </w:rPr>
            </w:pPr>
          </w:p>
        </w:tc>
        <w:tc>
          <w:tcPr>
            <w:tcW w:w="98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600" w:type="dxa"/>
            <w:vAlign w:val="bottom"/>
            <w:vMerge w:val="continue"/>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Sensitive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0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140"/>
              <w:spacing w:after="0" w:line="204"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373,790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184,139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327,429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885,358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746,089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1,631,447</w:t>
            </w:r>
          </w:p>
        </w:tc>
        <w:tc>
          <w:tcPr>
            <w:tcW w:w="0" w:type="dxa"/>
            <w:vAlign w:val="bottom"/>
          </w:tcPr>
          <w:p>
            <w:pPr>
              <w:spacing w:after="0"/>
              <w:rPr>
                <w:sz w:val="1"/>
                <w:szCs w:val="1"/>
                <w:color w:val="auto"/>
              </w:rPr>
            </w:pPr>
          </w:p>
        </w:tc>
      </w:tr>
      <w:tr>
        <w:trPr>
          <w:trHeight w:val="193"/>
        </w:trPr>
        <w:tc>
          <w:tcPr>
            <w:tcW w:w="260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19,355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17,894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47,745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84,994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188,485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273,479</w:t>
            </w: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bearing deposits at other</w:t>
            </w: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20,867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20,867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14,774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35,641</w:t>
            </w:r>
          </w:p>
        </w:tc>
        <w:tc>
          <w:tcPr>
            <w:tcW w:w="0" w:type="dxa"/>
            <w:vAlign w:val="bottom"/>
          </w:tcPr>
          <w:p>
            <w:pPr>
              <w:spacing w:after="0"/>
              <w:rPr>
                <w:sz w:val="1"/>
                <w:szCs w:val="1"/>
                <w:color w:val="auto"/>
              </w:rPr>
            </w:pPr>
          </w:p>
        </w:tc>
      </w:tr>
      <w:tr>
        <w:trPr>
          <w:trHeight w:val="168"/>
        </w:trPr>
        <w:tc>
          <w:tcPr>
            <w:tcW w:w="2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financial institutions</w:t>
            </w:r>
          </w:p>
        </w:tc>
        <w:tc>
          <w:tcPr>
            <w:tcW w:w="3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3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earning assets</w:t>
            </w: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415,433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202,033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375,174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992,640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949,348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1,941,988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4"/>
                <w:szCs w:val="14"/>
                <w:color w:val="auto"/>
              </w:rPr>
              <w:t>Interest bearing liabilities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bearing deposits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11,266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22,534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101,401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135,201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643,979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779,180</w:t>
            </w:r>
          </w:p>
        </w:tc>
        <w:tc>
          <w:tcPr>
            <w:tcW w:w="0" w:type="dxa"/>
            <w:vAlign w:val="bottom"/>
          </w:tcPr>
          <w:p>
            <w:pPr>
              <w:spacing w:after="0"/>
              <w:rPr>
                <w:sz w:val="1"/>
                <w:szCs w:val="1"/>
                <w:color w:val="auto"/>
              </w:rPr>
            </w:pPr>
          </w:p>
        </w:tc>
      </w:tr>
      <w:tr>
        <w:trPr>
          <w:trHeight w:val="193"/>
        </w:trPr>
        <w:tc>
          <w:tcPr>
            <w:tcW w:w="2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Time deposits</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82,207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19,486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38,284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139,977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12,401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152,378</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interest bearing deposits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93,473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42,020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139,685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275,178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656,380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931,558</w:t>
            </w:r>
          </w:p>
        </w:tc>
        <w:tc>
          <w:tcPr>
            <w:tcW w:w="0" w:type="dxa"/>
            <w:vAlign w:val="bottom"/>
          </w:tcPr>
          <w:p>
            <w:pPr>
              <w:spacing w:after="0"/>
              <w:rPr>
                <w:sz w:val="1"/>
                <w:szCs w:val="1"/>
                <w:color w:val="auto"/>
              </w:rPr>
            </w:pPr>
          </w:p>
        </w:tc>
      </w:tr>
      <w:tr>
        <w:trPr>
          <w:trHeight w:val="193"/>
        </w:trPr>
        <w:tc>
          <w:tcPr>
            <w:tcW w:w="260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9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borrowed funds</w:t>
            </w: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98"/>
        </w:trPr>
        <w:tc>
          <w:tcPr>
            <w:tcW w:w="2600" w:type="dxa"/>
            <w:vAlign w:val="bottom"/>
          </w:tcPr>
          <w:p>
            <w:pPr>
              <w:ind w:left="340"/>
              <w:spacing w:after="0"/>
              <w:rPr>
                <w:sz w:val="20"/>
                <w:szCs w:val="20"/>
                <w:color w:val="auto"/>
              </w:rPr>
            </w:pPr>
            <w:r>
              <w:rPr>
                <w:rFonts w:ascii="Arial" w:cs="Arial" w:eastAsia="Arial" w:hAnsi="Arial"/>
                <w:sz w:val="14"/>
                <w:szCs w:val="14"/>
                <w:color w:val="auto"/>
              </w:rPr>
              <w:t>Total interest bearing liabilities</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93,473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42,020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139,685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275,178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690,442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965,620</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4"/>
                <w:szCs w:val="14"/>
                <w:color w:val="auto"/>
              </w:rPr>
              <w:t>Period gap</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321,960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160,013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235,489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717,462</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258,906</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976,368</w:t>
            </w: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gap</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321,960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481,973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717,462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717,462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976,368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20"/>
              <w:spacing w:after="0"/>
              <w:rPr>
                <w:sz w:val="20"/>
                <w:szCs w:val="20"/>
                <w:color w:val="auto"/>
              </w:rPr>
            </w:pPr>
            <w:r>
              <w:rPr>
                <w:rFonts w:ascii="Arial" w:cs="Arial" w:eastAsia="Arial" w:hAnsi="Arial"/>
                <w:sz w:val="14"/>
                <w:szCs w:val="14"/>
                <w:color w:val="auto"/>
              </w:rPr>
              <w:t>Ratio of cumulative gap to total earning</w:t>
            </w:r>
          </w:p>
        </w:tc>
        <w:tc>
          <w:tcPr>
            <w:tcW w:w="3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16.58 %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24.82 %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36.94 %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36.94 %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50.28 %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600" w:type="dxa"/>
            <w:vAlign w:val="bottom"/>
          </w:tcPr>
          <w:p>
            <w:pPr>
              <w:ind w:left="18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8" w:lineRule="auto"/>
        <w:tabs>
          <w:tab w:leader="none" w:pos="32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Includes loans held for sale and loans made under the SBA-PPP loan program.</w:t>
      </w:r>
    </w:p>
    <w:p>
      <w:pPr>
        <w:spacing w:after="0" w:line="200" w:lineRule="exact"/>
        <w:rPr>
          <w:sz w:val="20"/>
          <w:szCs w:val="20"/>
          <w:color w:val="auto"/>
        </w:rPr>
      </w:pPr>
    </w:p>
    <w:p>
      <w:pPr>
        <w:spacing w:after="0" w:line="24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3"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211"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September 30, 2022:</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 at Risk</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-300 bps</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-200 bps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Flat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+200 bps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+300 bps</w:t>
            </w:r>
          </w:p>
        </w:tc>
      </w:tr>
      <w:tr>
        <w:trPr>
          <w:trHeight w:val="186"/>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September 30, 2022</w:t>
            </w: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6.7 %</w:t>
            </w:r>
          </w:p>
        </w:tc>
      </w:tr>
    </w:tbl>
    <w:p>
      <w:pPr>
        <w:spacing w:after="0" w:line="31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September 30, 2022.</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Economic Value of Equity</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-300 bps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-200 bps</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Flat</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+200 bps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+300 bps</w:t>
            </w:r>
          </w:p>
        </w:tc>
      </w:tr>
      <w:tr>
        <w:trPr>
          <w:trHeight w:val="187"/>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September 30, 2022</w:t>
            </w:r>
          </w:p>
        </w:tc>
        <w:tc>
          <w:tcPr>
            <w:tcW w:w="112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8" w:name="page69"/>
    <w:bookmarkEnd w:id="68"/>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There are no material changes to the risk factors as previously disclosed under Item 1A in our Annual Report for the year ended December 31, 2021 and those referenced in other reports on file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unregistered sales of the Company’s stock during the year to date period ended September 30, 2022.</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July 25, 2022, the Company announced a new stock repurchase program. Under the new program, the Company is authorized to repurchase up to $10.0 million of its outstanding common stock, par value $0.01 per share (“Common Stock”). The program will expire on December 31, 2023. For the quarter ended September 30, 2022, no activity had occurred.</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newly approved stock repurchase program follows the Company’s prior stock repurchase program which was announced in April 2019, modified in December 2020, and concluded in the third quarter of 2021. Under the expired program, the Company purchased an aggregate of 332,594 shares of its Common Stock for aggregate cash consideration of $3.7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jc w:val="right"/>
              <w:ind w:right="509"/>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5"/>
                <w:szCs w:val="15"/>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199"/>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7"/>
                <w:szCs w:val="17"/>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170"/>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31.1</w:t>
            </w:r>
          </w:p>
        </w:tc>
        <w:tc>
          <w:tcPr>
            <w:tcW w:w="20" w:type="dxa"/>
            <w:vAlign w:val="bottom"/>
          </w:tcPr>
          <w:p>
            <w:pPr>
              <w:spacing w:after="0"/>
              <w:rPr>
                <w:sz w:val="14"/>
                <w:szCs w:val="14"/>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0000FF"/>
              </w:rPr>
              <w:t>Rule 13a-14(a) Certification of the Principal Executive Officer</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179"/>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5"/>
                <w:szCs w:val="15"/>
                <w:color w:val="auto"/>
              </w:rPr>
            </w:pPr>
          </w:p>
        </w:tc>
        <w:tc>
          <w:tcPr>
            <w:tcW w:w="38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Rule 13a-14(a) Certification of the Principal Financial Officer</w:t>
            </w:r>
            <w:r>
              <w:rPr>
                <w:rFonts w:ascii="Arial" w:cs="Arial" w:eastAsia="Arial" w:hAnsi="Arial"/>
                <w:sz w:val="14"/>
                <w:szCs w:val="14"/>
                <w:color w:val="000000"/>
              </w:rPr>
              <w:t>.</w:t>
            </w:r>
          </w:p>
        </w:tc>
        <w:tc>
          <w:tcPr>
            <w:tcW w:w="5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640" w:hanging="558"/>
        <w:spacing w:after="0"/>
        <w:tabs>
          <w:tab w:leader="none" w:pos="1640"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0000FF"/>
        </w:rPr>
        <w:t>Section 1350 Certification of Chief Executive Officer and Chief Financial Officer</w:t>
      </w:r>
      <w:r>
        <w:rPr>
          <w:rFonts w:ascii="Arial" w:cs="Arial" w:eastAsia="Arial" w:hAnsi="Arial"/>
          <w:sz w:val="14"/>
          <w:szCs w:val="14"/>
          <w:color w:val="000000"/>
        </w:rPr>
        <w:t>.</w:t>
      </w:r>
    </w:p>
    <w:p>
      <w:pPr>
        <w:spacing w:after="0" w:line="38" w:lineRule="exact"/>
        <w:rPr>
          <w:sz w:val="20"/>
          <w:szCs w:val="20"/>
          <w:color w:val="auto"/>
        </w:rPr>
      </w:pPr>
    </w:p>
    <w:p>
      <w:pPr>
        <w:ind w:left="1640" w:hanging="637"/>
        <w:spacing w:after="0" w:line="221" w:lineRule="auto"/>
        <w:tabs>
          <w:tab w:leader="none" w:pos="1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September 30, 2022,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30" w:lineRule="exact"/>
        <w:rPr>
          <w:sz w:val="20"/>
          <w:szCs w:val="20"/>
          <w:color w:val="auto"/>
        </w:rPr>
      </w:pPr>
    </w:p>
    <w:p>
      <w:pPr>
        <w:ind w:left="1000"/>
        <w:spacing w:after="0"/>
        <w:tabs>
          <w:tab w:leader="none" w:pos="16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1" w:name="page72"/>
    <w:bookmarkEnd w:id="71"/>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CAPITAL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-20955</wp:posOffset>
            </wp:positionV>
            <wp:extent cx="1441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Registrant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color w:val="auto"/>
              </w:rPr>
              <w:t>Date: November 9, 2022</w:t>
            </w: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/s/ Ed Barry</w:t>
            </w:r>
          </w:p>
        </w:tc>
      </w:tr>
      <w:tr>
        <w:trPr>
          <w:trHeight w:val="231"/>
        </w:trPr>
        <w:tc>
          <w:tcPr>
            <w:tcW w:w="2300" w:type="dxa"/>
            <w:vAlign w:val="bottom"/>
          </w:tcPr>
          <w:p>
            <w:pPr>
              <w:ind w:left="980"/>
              <w:spacing w:after="0"/>
              <w:rPr>
                <w:sz w:val="20"/>
                <w:szCs w:val="20"/>
                <w:color w:val="auto"/>
              </w:rPr>
            </w:pPr>
            <w:r>
              <w:rPr>
                <w:rFonts w:ascii="Arial" w:cs="Arial" w:eastAsia="Arial" w:hAnsi="Arial"/>
                <w:sz w:val="18"/>
                <w:szCs w:val="18"/>
                <w:color w:val="auto"/>
              </w:rPr>
              <w:t>Ed Barry</w:t>
            </w:r>
          </w:p>
        </w:tc>
        <w:tc>
          <w:tcPr>
            <w:tcW w:w="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rPr>
              <w:t>Chief Executive Officer</w:t>
            </w: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rPr>
              <w:t>(Principal Executive Officer)</w:t>
            </w:r>
          </w:p>
        </w:tc>
      </w:tr>
      <w:tr>
        <w:trPr>
          <w:trHeight w:val="385"/>
        </w:trPr>
        <w:tc>
          <w:tcPr>
            <w:tcW w:w="2300" w:type="dxa"/>
            <w:vAlign w:val="bottom"/>
          </w:tcPr>
          <w:p>
            <w:pPr>
              <w:spacing w:after="0"/>
              <w:rPr>
                <w:sz w:val="20"/>
                <w:szCs w:val="20"/>
                <w:color w:val="auto"/>
              </w:rPr>
            </w:pPr>
            <w:r>
              <w:rPr>
                <w:rFonts w:ascii="Arial" w:cs="Arial" w:eastAsia="Arial" w:hAnsi="Arial"/>
                <w:sz w:val="18"/>
                <w:szCs w:val="18"/>
                <w:color w:val="auto"/>
              </w:rPr>
              <w:t>Date: November 9, 2022</w:t>
            </w: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/s/ Alan W. Jackson</w:t>
            </w:r>
          </w:p>
        </w:tc>
      </w:tr>
      <w:tr>
        <w:trPr>
          <w:trHeight w:val="231"/>
        </w:trPr>
        <w:tc>
          <w:tcPr>
            <w:tcW w:w="2300" w:type="dxa"/>
            <w:vAlign w:val="bottom"/>
          </w:tcPr>
          <w:p>
            <w:pPr>
              <w:ind w:left="980"/>
              <w:spacing w:after="0"/>
              <w:rPr>
                <w:sz w:val="20"/>
                <w:szCs w:val="20"/>
                <w:color w:val="auto"/>
              </w:rPr>
            </w:pPr>
            <w:r>
              <w:rPr>
                <w:rFonts w:ascii="Arial" w:cs="Arial" w:eastAsia="Arial" w:hAnsi="Arial"/>
                <w:sz w:val="18"/>
                <w:szCs w:val="18"/>
                <w:color w:val="auto"/>
                <w:w w:val="96"/>
              </w:rPr>
              <w:t>Alan W. Jackson</w:t>
            </w:r>
          </w:p>
        </w:tc>
        <w:tc>
          <w:tcPr>
            <w:tcW w:w="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00" w:type="dxa"/>
            <w:vAlign w:val="bottom"/>
          </w:tcPr>
          <w:p>
            <w:pPr>
              <w:spacing w:after="0"/>
              <w:rPr>
                <w:sz w:val="20"/>
                <w:szCs w:val="20"/>
                <w:color w:val="auto"/>
              </w:rPr>
            </w:pP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rPr>
              <w:t>Chief Financial Officer</w:t>
            </w: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w w:val="97"/>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7" w:lineRule="exact"/>
        <w:rPr>
          <w:sz w:val="20"/>
          <w:szCs w:val="20"/>
          <w:color w:val="auto"/>
        </w:rPr>
      </w:pPr>
    </w:p>
    <w:p>
      <w:pPr>
        <w:ind w:left="200" w:hanging="194"/>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00" w:val="left"/>
          <w:tab w:leader="none" w:pos="264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-20955</wp:posOffset>
            </wp:positionV>
            <wp:extent cx="8350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17" w:lineRule="exact"/>
        <w:rPr>
          <w:sz w:val="20"/>
          <w:szCs w:val="20"/>
          <w:color w:val="auto"/>
        </w:rPr>
      </w:pPr>
    </w:p>
    <w:p>
      <w:pPr>
        <w:ind w:left="200" w:hanging="194"/>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7"/>
          <w:szCs w:val="17"/>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-20955</wp:posOffset>
            </wp:positionV>
            <wp:extent cx="11029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2" w:right="339" w:bottom="1440" w:gutter="0" w:footer="0" w:header="0"/>
        </w:sectPr>
      </w:pPr>
    </w:p>
    <w:bookmarkStart w:id="74" w:name="page75"/>
    <w:bookmarkEnd w:id="74"/>
    <w:p>
      <w:pPr>
        <w:ind w:right="120"/>
        <w:spacing w:after="0" w:line="276"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8"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September 30, 2022,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87"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640" w:hanging="316"/>
        <w:spacing w:after="0" w:line="25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00" w:val="left"/>
          <w:tab w:leader="none" w:pos="264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-20955</wp:posOffset>
            </wp:positionV>
            <wp:extent cx="8350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-20955</wp:posOffset>
            </wp:positionV>
            <wp:extent cx="11029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0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2022-11-10T09:39:48Z</dcterms:created>
  <dcterms:modified xsi:type="dcterms:W3CDTF">2022-11-10T09:39:48Z</dcterms:modified>
</cp:coreProperties>
</file>