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t>UNITED STATES</w:t>
      </w:r>
    </w:p>
    <w:p>
      <w:pPr>
        <w:spacing w:after="0" w:line="1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5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FORM 8-K</w:t>
      </w:r>
    </w:p>
    <w:p>
      <w:pPr>
        <w:spacing w:after="0" w:line="16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EXCHANGE ACT OF 1934</w:t>
      </w:r>
    </w:p>
    <w:p>
      <w:pPr>
        <w:spacing w:after="0" w:line="154" w:lineRule="exact"/>
        <w:rPr>
          <w:sz w:val="24"/>
          <w:szCs w:val="24"/>
          <w:color w:val="auto"/>
        </w:rPr>
      </w:pPr>
    </w:p>
    <w:p>
      <w:pPr>
        <w:jc w:val="center"/>
        <w:ind w:right="-7"/>
        <w:spacing w:after="0"/>
        <w:rPr>
          <w:sz w:val="20"/>
          <w:szCs w:val="20"/>
          <w:color w:val="auto"/>
        </w:rPr>
      </w:pPr>
      <w:r>
        <w:rPr>
          <w:rFonts w:ascii="Arial" w:cs="Arial" w:eastAsia="Arial" w:hAnsi="Arial"/>
          <w:sz w:val="13"/>
          <w:szCs w:val="13"/>
          <w:color w:val="auto"/>
        </w:rPr>
        <w:t>Date of Report (Date of earliest event reported): October 26, 2026</w:t>
      </w:r>
    </w:p>
    <w:p>
      <w:pPr>
        <w:spacing w:after="0" w:line="180"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u w:val="single" w:color="auto"/>
          <w:color w:val="auto"/>
        </w:rPr>
        <w:t>CAPITAL BANCORP, INC.</w:t>
      </w:r>
    </w:p>
    <w:p>
      <w:pPr>
        <w:spacing w:after="0" w:line="17" w:lineRule="exact"/>
        <w:rPr>
          <w:sz w:val="24"/>
          <w:szCs w:val="24"/>
          <w:color w:val="auto"/>
        </w:rPr>
      </w:pPr>
    </w:p>
    <w:p>
      <w:pPr>
        <w:jc w:val="center"/>
        <w:ind w:right="-7"/>
        <w:spacing w:after="0"/>
        <w:rPr>
          <w:sz w:val="20"/>
          <w:szCs w:val="20"/>
          <w:color w:val="auto"/>
        </w:rPr>
      </w:pPr>
      <w:r>
        <w:rPr>
          <w:rFonts w:ascii="Arial" w:cs="Arial" w:eastAsia="Arial" w:hAnsi="Arial"/>
          <w:sz w:val="7"/>
          <w:szCs w:val="7"/>
          <w:color w:val="auto"/>
        </w:rPr>
        <w:t>(Exact name of registrant as specified in its charter)</w:t>
      </w:r>
    </w:p>
    <w:p>
      <w:pPr>
        <w:spacing w:after="0" w:line="243" w:lineRule="exact"/>
        <w:rPr>
          <w:sz w:val="24"/>
          <w:szCs w:val="24"/>
          <w:color w:val="auto"/>
        </w:rPr>
      </w:pPr>
    </w:p>
    <w:tbl>
      <w:tblPr>
        <w:tblLayout w:type="fixed"/>
        <w:tblInd w:w="1108" w:type="dxa"/>
        <w:tblCellMar>
          <w:top w:w="0" w:type="dxa"/>
          <w:left w:w="0" w:type="dxa"/>
          <w:bottom w:w="0" w:type="dxa"/>
          <w:right w:w="0" w:type="dxa"/>
        </w:tblCellMar>
      </w:tblPr>
      <w:tr>
        <w:trPr>
          <w:trHeight w:val="138"/>
        </w:trPr>
        <w:tc>
          <w:tcPr>
            <w:tcW w:w="68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auto"/>
              </w:rPr>
              <w:t>Maryland</w:t>
            </w:r>
          </w:p>
        </w:tc>
        <w:tc>
          <w:tcPr>
            <w:tcW w:w="1640" w:type="dxa"/>
            <w:vAlign w:val="bottom"/>
          </w:tcPr>
          <w:p>
            <w:pPr>
              <w:spacing w:after="0"/>
              <w:rPr>
                <w:sz w:val="12"/>
                <w:szCs w:val="12"/>
                <w:color w:val="auto"/>
              </w:rPr>
            </w:pPr>
          </w:p>
        </w:tc>
        <w:tc>
          <w:tcPr>
            <w:tcW w:w="3440" w:type="dxa"/>
            <w:vAlign w:val="bottom"/>
            <w:gridSpan w:val="5"/>
          </w:tcPr>
          <w:p>
            <w:pPr>
              <w:jc w:val="right"/>
              <w:ind w:right="1220"/>
              <w:spacing w:after="0"/>
              <w:rPr>
                <w:sz w:val="20"/>
                <w:szCs w:val="20"/>
                <w:color w:val="auto"/>
              </w:rPr>
            </w:pPr>
            <w:r>
              <w:rPr>
                <w:rFonts w:ascii="Arial" w:cs="Arial" w:eastAsia="Arial" w:hAnsi="Arial"/>
                <w:sz w:val="12"/>
                <w:szCs w:val="12"/>
                <w:color w:val="auto"/>
              </w:rPr>
              <w:t>001-38671</w:t>
            </w:r>
          </w:p>
        </w:tc>
        <w:tc>
          <w:tcPr>
            <w:tcW w:w="800" w:type="dxa"/>
            <w:vAlign w:val="bottom"/>
          </w:tcPr>
          <w:p>
            <w:pPr>
              <w:spacing w:after="0"/>
              <w:rPr>
                <w:sz w:val="12"/>
                <w:szCs w:val="12"/>
                <w:color w:val="auto"/>
              </w:rPr>
            </w:pPr>
          </w:p>
        </w:tc>
        <w:tc>
          <w:tcPr>
            <w:tcW w:w="1840" w:type="dxa"/>
            <w:vAlign w:val="bottom"/>
            <w:gridSpan w:val="3"/>
          </w:tcPr>
          <w:p>
            <w:pPr>
              <w:jc w:val="right"/>
              <w:ind w:right="200"/>
              <w:spacing w:after="0"/>
              <w:rPr>
                <w:sz w:val="20"/>
                <w:szCs w:val="20"/>
                <w:color w:val="auto"/>
              </w:rPr>
            </w:pPr>
            <w:r>
              <w:rPr>
                <w:rFonts w:ascii="Arial" w:cs="Arial" w:eastAsia="Arial" w:hAnsi="Arial"/>
                <w:sz w:val="12"/>
                <w:szCs w:val="12"/>
                <w:color w:val="auto"/>
              </w:rPr>
              <w:t>52-2083046</w:t>
            </w:r>
          </w:p>
        </w:tc>
      </w:tr>
      <w:tr>
        <w:trPr>
          <w:trHeight w:val="20"/>
        </w:trPr>
        <w:tc>
          <w:tcPr>
            <w:tcW w:w="6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1"/>
        </w:trPr>
        <w:tc>
          <w:tcPr>
            <w:tcW w:w="2820" w:type="dxa"/>
            <w:vAlign w:val="bottom"/>
            <w:gridSpan w:val="3"/>
          </w:tcPr>
          <w:p>
            <w:pPr>
              <w:jc w:val="center"/>
              <w:ind w:right="960"/>
              <w:spacing w:after="0"/>
              <w:rPr>
                <w:sz w:val="20"/>
                <w:szCs w:val="20"/>
                <w:color w:val="auto"/>
              </w:rPr>
            </w:pPr>
            <w:r>
              <w:rPr>
                <w:rFonts w:ascii="Arial" w:cs="Arial" w:eastAsia="Arial" w:hAnsi="Arial"/>
                <w:sz w:val="7"/>
                <w:szCs w:val="7"/>
                <w:color w:val="auto"/>
              </w:rPr>
              <w:t>(State or other jurisdiction of incorporation or organization)</w:t>
            </w:r>
          </w:p>
        </w:tc>
        <w:tc>
          <w:tcPr>
            <w:tcW w:w="1340" w:type="dxa"/>
            <w:vAlign w:val="bottom"/>
          </w:tcPr>
          <w:p>
            <w:pPr>
              <w:spacing w:after="0"/>
              <w:rPr>
                <w:sz w:val="8"/>
                <w:szCs w:val="8"/>
                <w:color w:val="auto"/>
              </w:rPr>
            </w:pPr>
          </w:p>
        </w:tc>
        <w:tc>
          <w:tcPr>
            <w:tcW w:w="2900" w:type="dxa"/>
            <w:vAlign w:val="bottom"/>
            <w:gridSpan w:val="5"/>
          </w:tcPr>
          <w:p>
            <w:pPr>
              <w:jc w:val="center"/>
              <w:ind w:right="1680"/>
              <w:spacing w:after="0"/>
              <w:rPr>
                <w:sz w:val="20"/>
                <w:szCs w:val="20"/>
                <w:color w:val="auto"/>
              </w:rPr>
            </w:pPr>
            <w:r>
              <w:rPr>
                <w:rFonts w:ascii="Arial" w:cs="Arial" w:eastAsia="Arial" w:hAnsi="Arial"/>
                <w:sz w:val="7"/>
                <w:szCs w:val="7"/>
                <w:color w:val="auto"/>
              </w:rPr>
              <w:t>(Commission file number)</w:t>
            </w:r>
          </w:p>
        </w:tc>
        <w:tc>
          <w:tcPr>
            <w:tcW w:w="1840" w:type="dxa"/>
            <w:vAlign w:val="bottom"/>
            <w:gridSpan w:val="3"/>
          </w:tcPr>
          <w:p>
            <w:pPr>
              <w:jc w:val="center"/>
              <w:ind w:left="752"/>
              <w:spacing w:after="0"/>
              <w:rPr>
                <w:sz w:val="20"/>
                <w:szCs w:val="20"/>
                <w:color w:val="auto"/>
              </w:rPr>
            </w:pPr>
            <w:r>
              <w:rPr>
                <w:rFonts w:ascii="Arial" w:cs="Arial" w:eastAsia="Arial" w:hAnsi="Arial"/>
                <w:sz w:val="7"/>
                <w:szCs w:val="7"/>
                <w:color w:val="auto"/>
              </w:rPr>
              <w:t>(IRS Employer Identification No.)</w:t>
            </w:r>
          </w:p>
        </w:tc>
      </w:tr>
      <w:tr>
        <w:trPr>
          <w:trHeight w:val="257"/>
        </w:trPr>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240" w:type="dxa"/>
            <w:vAlign w:val="bottom"/>
            <w:gridSpan w:val="6"/>
          </w:tcPr>
          <w:p>
            <w:pPr>
              <w:jc w:val="center"/>
              <w:ind w:right="800"/>
              <w:spacing w:after="0"/>
              <w:rPr>
                <w:sz w:val="20"/>
                <w:szCs w:val="20"/>
                <w:color w:val="auto"/>
              </w:rPr>
            </w:pPr>
            <w:r>
              <w:rPr>
                <w:rFonts w:ascii="Arial" w:cs="Arial" w:eastAsia="Arial" w:hAnsi="Arial"/>
                <w:sz w:val="12"/>
                <w:szCs w:val="12"/>
                <w:color w:val="auto"/>
              </w:rPr>
              <w:t>2275 Research Boulevard, Suite 600, Rockville, Maryland 20850</w:t>
            </w: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92"/>
        </w:trPr>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440" w:type="dxa"/>
            <w:vAlign w:val="bottom"/>
            <w:tcBorders>
              <w:top w:val="single" w:sz="8" w:color="auto"/>
            </w:tcBorders>
            <w:gridSpan w:val="5"/>
          </w:tcPr>
          <w:p>
            <w:pPr>
              <w:jc w:val="center"/>
              <w:spacing w:after="0"/>
              <w:rPr>
                <w:sz w:val="20"/>
                <w:szCs w:val="20"/>
                <w:color w:val="auto"/>
              </w:rPr>
            </w:pPr>
            <w:r>
              <w:rPr>
                <w:rFonts w:ascii="Arial" w:cs="Arial" w:eastAsia="Arial" w:hAnsi="Arial"/>
                <w:sz w:val="7"/>
                <w:szCs w:val="7"/>
                <w:color w:val="auto"/>
              </w:rPr>
              <w:t>(Address of principal executive offices) (Zip Code)</w:t>
            </w: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176"/>
        </w:trPr>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40" w:type="dxa"/>
            <w:vAlign w:val="bottom"/>
            <w:gridSpan w:val="3"/>
          </w:tcPr>
          <w:p>
            <w:pPr>
              <w:jc w:val="center"/>
              <w:ind w:left="1272"/>
              <w:spacing w:after="0"/>
              <w:rPr>
                <w:sz w:val="20"/>
                <w:szCs w:val="20"/>
                <w:color w:val="auto"/>
              </w:rPr>
            </w:pPr>
            <w:r>
              <w:rPr>
                <w:rFonts w:ascii="Arial" w:cs="Arial" w:eastAsia="Arial" w:hAnsi="Arial"/>
                <w:sz w:val="12"/>
                <w:szCs w:val="12"/>
                <w:color w:val="auto"/>
                <w:w w:val="99"/>
              </w:rPr>
              <w:t>(301) 468-8848</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46"/>
        </w:trPr>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240" w:type="dxa"/>
            <w:vAlign w:val="bottom"/>
            <w:gridSpan w:val="6"/>
          </w:tcPr>
          <w:p>
            <w:pPr>
              <w:jc w:val="center"/>
              <w:ind w:right="800"/>
              <w:spacing w:after="0"/>
              <w:rPr>
                <w:sz w:val="20"/>
                <w:szCs w:val="20"/>
                <w:color w:val="auto"/>
              </w:rPr>
            </w:pPr>
            <w:r>
              <w:rPr>
                <w:rFonts w:ascii="Arial" w:cs="Arial" w:eastAsia="Arial" w:hAnsi="Arial"/>
                <w:sz w:val="7"/>
                <w:szCs w:val="7"/>
                <w:color w:val="auto"/>
              </w:rPr>
              <w:t>Registrant’s telephone number, including area code</w:t>
            </w: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84"/>
        </w:trPr>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2"/>
                <w:szCs w:val="12"/>
                <w:color w:val="auto"/>
              </w:rPr>
              <w:t>Not Applicable</w:t>
            </w:r>
          </w:p>
        </w:tc>
        <w:tc>
          <w:tcPr>
            <w:tcW w:w="2100" w:type="dxa"/>
            <w:vAlign w:val="bottom"/>
            <w:gridSpan w:val="3"/>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92"/>
        </w:trPr>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240" w:type="dxa"/>
            <w:vAlign w:val="bottom"/>
            <w:gridSpan w:val="6"/>
          </w:tcPr>
          <w:p>
            <w:pPr>
              <w:jc w:val="center"/>
              <w:ind w:right="780"/>
              <w:spacing w:after="0"/>
              <w:rPr>
                <w:sz w:val="20"/>
                <w:szCs w:val="20"/>
                <w:color w:val="auto"/>
              </w:rPr>
            </w:pPr>
            <w:r>
              <w:rPr>
                <w:rFonts w:ascii="Arial" w:cs="Arial" w:eastAsia="Arial" w:hAnsi="Arial"/>
                <w:sz w:val="7"/>
                <w:szCs w:val="7"/>
                <w:color w:val="auto"/>
              </w:rPr>
              <w:t>(Former Name or Former Address, if Changed Since Last Report)</w:t>
            </w: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54"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obligations of the registrant under any of the following provisions:</w:t>
      </w:r>
    </w:p>
    <w:p>
      <w:pPr>
        <w:spacing w:after="0" w:line="168" w:lineRule="exact"/>
        <w:rPr>
          <w:sz w:val="24"/>
          <w:szCs w:val="24"/>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312" w:lineRule="exact"/>
        <w:rPr>
          <w:rFonts w:ascii="MS PGothic" w:cs="MS PGothic" w:eastAsia="MS PGothic" w:hAnsi="MS PGothic"/>
          <w:sz w:val="12"/>
          <w:szCs w:val="12"/>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312" w:lineRule="exact"/>
        <w:rPr>
          <w:rFonts w:ascii="MS PGothic" w:cs="MS PGothic" w:eastAsia="MS PGothic" w:hAnsi="MS PGothic"/>
          <w:sz w:val="12"/>
          <w:szCs w:val="12"/>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312" w:lineRule="exact"/>
        <w:rPr>
          <w:rFonts w:ascii="MS PGothic" w:cs="MS PGothic" w:eastAsia="MS PGothic" w:hAnsi="MS PGothic"/>
          <w:sz w:val="12"/>
          <w:szCs w:val="12"/>
          <w:color w:val="auto"/>
        </w:rPr>
      </w:pPr>
    </w:p>
    <w:p>
      <w:pPr>
        <w:ind w:left="8" w:right="5120" w:hanging="8"/>
        <w:spacing w:after="0" w:line="504" w:lineRule="auto"/>
        <w:tabs>
          <w:tab w:leader="none" w:pos="249"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198" w:type="dxa"/>
        <w:tblCellMar>
          <w:top w:w="0" w:type="dxa"/>
          <w:left w:w="0" w:type="dxa"/>
          <w:bottom w:w="0" w:type="dxa"/>
          <w:right w:w="0" w:type="dxa"/>
        </w:tblCellMar>
      </w:tblPr>
      <w:tr>
        <w:trPr>
          <w:trHeight w:val="142"/>
        </w:trPr>
        <w:tc>
          <w:tcPr>
            <w:tcW w:w="436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Title of Each Class</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9"/>
              </w:rPr>
              <w:t>Trading Symbol</w:t>
            </w:r>
          </w:p>
        </w:tc>
        <w:tc>
          <w:tcPr>
            <w:tcW w:w="47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Name of Each Exchange on Which Registered</w:t>
            </w:r>
          </w:p>
        </w:tc>
      </w:tr>
      <w:tr>
        <w:trPr>
          <w:trHeight w:val="142"/>
        </w:trPr>
        <w:tc>
          <w:tcPr>
            <w:tcW w:w="43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Common Stock, par value $0.01 per share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CBNK</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NASDAQ Stock Market</w:t>
            </w:r>
          </w:p>
        </w:tc>
      </w:tr>
    </w:tbl>
    <w:p>
      <w:pPr>
        <w:spacing w:after="0" w:line="266" w:lineRule="exact"/>
        <w:rPr>
          <w:sz w:val="24"/>
          <w:szCs w:val="24"/>
          <w:color w:val="auto"/>
        </w:rPr>
      </w:pPr>
    </w:p>
    <w:p>
      <w:pPr>
        <w:ind w:left="8" w:right="420"/>
        <w:spacing w:after="0" w:line="28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8"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50" w:lineRule="exact"/>
        <w:rPr>
          <w:sz w:val="24"/>
          <w:szCs w:val="24"/>
          <w:color w:val="auto"/>
        </w:rPr>
      </w:pPr>
    </w:p>
    <w:p>
      <w:pPr>
        <w:ind w:left="8"/>
        <w:spacing w:after="0" w:line="160"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438785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036" w:right="31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Disclosure</w:t>
      </w:r>
    </w:p>
    <w:p>
      <w:pPr>
        <w:spacing w:after="0" w:line="6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On October 26, 2026, Capital Bancorp, Inc. (the “Company”) issued a press release announcing the Company’s unaudited financial results for the three and nine months ended September 30, 2026. A copy of the press release is furnished as Exhibit 99.1 to this Current Report on Form 8-K and hereby incorporated by reference. A presentation regarding the Company's financial results for the three and nine months ended September 30, 2026 is furnished as Exhibit 99.2 and incorporated herein by reference.</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The information furnished under Item 2.02 and Item 9.01 of this Current Report on Form 8-K, including Exhibit 99.1 and Exhibit 99.2 to this Current Report on Form 8-K, shall not be deemed “filed” for purposes of Section 18 of the Securities Exchange Act of 1934, as amended, or otherwise subject to liabilities under that Section, nor shall it be deemed incorporated by reference in any registration statement or other filings of the Company under the Securities Act of 1933, as amended, except as shall be set forth by specific reference in such filing.</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8.01. Other Events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On October 23, 2026, the Company's Board of Directors declared a $0.14 per share dividend. The dividend is payable on November 25, 2026 to stockholders of record on November 9, 2026.</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 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80" w:type="dxa"/>
            <w:vAlign w:val="bottom"/>
          </w:tcPr>
          <w:p>
            <w:pPr>
              <w:ind w:left="20"/>
              <w:spacing w:after="0"/>
              <w:rPr>
                <w:sz w:val="20"/>
                <w:szCs w:val="20"/>
                <w:color w:val="auto"/>
              </w:rPr>
            </w:pPr>
            <w:r>
              <w:rPr>
                <w:rFonts w:ascii="Arial" w:cs="Arial" w:eastAsia="Arial" w:hAnsi="Arial"/>
                <w:sz w:val="12"/>
                <w:szCs w:val="12"/>
                <w:color w:val="auto"/>
              </w:rPr>
              <w:t>99.1</w:t>
            </w:r>
          </w:p>
        </w:tc>
        <w:tc>
          <w:tcPr>
            <w:tcW w:w="10520" w:type="dxa"/>
            <w:vAlign w:val="bottom"/>
            <w:gridSpan w:val="3"/>
          </w:tcPr>
          <w:p>
            <w:pPr>
              <w:spacing w:after="0"/>
              <w:rPr>
                <w:sz w:val="20"/>
                <w:szCs w:val="20"/>
                <w:color w:val="auto"/>
              </w:rPr>
            </w:pPr>
            <w:r>
              <w:rPr>
                <w:rFonts w:ascii="Arial" w:cs="Arial" w:eastAsia="Arial" w:hAnsi="Arial"/>
                <w:sz w:val="12"/>
                <w:szCs w:val="12"/>
                <w:color w:val="0000FF"/>
              </w:rPr>
              <w:t>Press Release, dated October 26, 2026.</w:t>
            </w:r>
          </w:p>
        </w:tc>
      </w:tr>
      <w:tr>
        <w:trPr>
          <w:trHeight w:val="313"/>
        </w:trPr>
        <w:tc>
          <w:tcPr>
            <w:tcW w:w="780" w:type="dxa"/>
            <w:vAlign w:val="bottom"/>
          </w:tcPr>
          <w:p>
            <w:pPr>
              <w:ind w:left="20"/>
              <w:spacing w:after="0"/>
              <w:rPr>
                <w:sz w:val="20"/>
                <w:szCs w:val="20"/>
                <w:color w:val="auto"/>
              </w:rPr>
            </w:pPr>
            <w:r>
              <w:rPr>
                <w:rFonts w:ascii="Arial" w:cs="Arial" w:eastAsia="Arial" w:hAnsi="Arial"/>
                <w:sz w:val="12"/>
                <w:szCs w:val="12"/>
                <w:color w:val="auto"/>
              </w:rPr>
              <w:t>99.2</w:t>
            </w:r>
          </w:p>
        </w:tc>
        <w:tc>
          <w:tcPr>
            <w:tcW w:w="21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2"/>
                <w:szCs w:val="12"/>
                <w:color w:val="0000FF"/>
                <w:w w:val="99"/>
              </w:rPr>
              <w:t>Investor Presentation September 2026.</w:t>
            </w:r>
          </w:p>
        </w:tc>
        <w:tc>
          <w:tcPr>
            <w:tcW w:w="40" w:type="dxa"/>
            <w:vAlign w:val="bottom"/>
            <w:tcBorders>
              <w:top w:val="single" w:sz="8" w:color="0000FF"/>
            </w:tcBorders>
          </w:tcPr>
          <w:p>
            <w:pPr>
              <w:spacing w:after="0"/>
              <w:rPr>
                <w:sz w:val="24"/>
                <w:szCs w:val="24"/>
                <w:color w:val="auto"/>
              </w:rPr>
            </w:pPr>
          </w:p>
        </w:tc>
        <w:tc>
          <w:tcPr>
            <w:tcW w:w="8380" w:type="dxa"/>
            <w:vAlign w:val="bottom"/>
          </w:tcPr>
          <w:p>
            <w:pPr>
              <w:spacing w:after="0"/>
              <w:rPr>
                <w:sz w:val="24"/>
                <w:szCs w:val="24"/>
                <w:color w:val="auto"/>
              </w:rPr>
            </w:pPr>
          </w:p>
        </w:tc>
      </w:tr>
      <w:tr>
        <w:trPr>
          <w:trHeight w:val="342"/>
        </w:trPr>
        <w:tc>
          <w:tcPr>
            <w:tcW w:w="780" w:type="dxa"/>
            <w:vAlign w:val="bottom"/>
          </w:tcPr>
          <w:p>
            <w:pPr>
              <w:ind w:left="20"/>
              <w:spacing w:after="0"/>
              <w:rPr>
                <w:sz w:val="20"/>
                <w:szCs w:val="20"/>
                <w:color w:val="auto"/>
              </w:rPr>
            </w:pPr>
            <w:r>
              <w:rPr>
                <w:rFonts w:ascii="Arial" w:cs="Arial" w:eastAsia="Arial" w:hAnsi="Arial"/>
                <w:sz w:val="12"/>
                <w:szCs w:val="12"/>
                <w:color w:val="auto"/>
              </w:rPr>
              <w:t>104</w:t>
            </w:r>
          </w:p>
        </w:tc>
        <w:tc>
          <w:tcPr>
            <w:tcW w:w="10520" w:type="dxa"/>
            <w:vAlign w:val="bottom"/>
            <w:gridSpan w:val="3"/>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412"/>
        </w:trPr>
        <w:tc>
          <w:tcPr>
            <w:tcW w:w="7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45085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3" w:right="299" w:bottom="1440" w:gutter="0" w:footer="0" w:header="0"/>
        </w:sectPr>
      </w:pPr>
    </w:p>
    <w:bookmarkStart w:id="2" w:name="page3"/>
    <w:bookmarkEnd w:id="2"/>
    <w:p>
      <w:pPr>
        <w:ind w:left="5260"/>
        <w:spacing w:after="0"/>
        <w:rPr>
          <w:sz w:val="20"/>
          <w:szCs w:val="20"/>
          <w:color w:val="auto"/>
        </w:rPr>
      </w:pPr>
      <w:r>
        <w:rPr>
          <w:rFonts w:ascii="Arial" w:cs="Arial" w:eastAsia="Arial" w:hAnsi="Arial"/>
          <w:sz w:val="12"/>
          <w:szCs w:val="12"/>
          <w:b w:val="1"/>
          <w:bCs w:val="1"/>
          <w:color w:val="auto"/>
        </w:rPr>
        <w:t>SIGNATURES</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108" w:lineRule="exact"/>
        <w:rPr>
          <w:sz w:val="20"/>
          <w:szCs w:val="20"/>
          <w:color w:val="auto"/>
        </w:rPr>
      </w:pPr>
    </w:p>
    <w:tbl>
      <w:tblPr>
        <w:tblLayout w:type="fixed"/>
        <w:tblInd w:w="2600" w:type="dxa"/>
        <w:tblCellMar>
          <w:top w:w="0" w:type="dxa"/>
          <w:left w:w="0" w:type="dxa"/>
          <w:bottom w:w="0" w:type="dxa"/>
          <w:right w:w="0" w:type="dxa"/>
        </w:tblCellMar>
      </w:tblPr>
      <w:tr>
        <w:trPr>
          <w:trHeight w:val="165"/>
        </w:trPr>
        <w:tc>
          <w:tcPr>
            <w:tcW w:w="2140" w:type="dxa"/>
            <w:vAlign w:val="bottom"/>
          </w:tcPr>
          <w:p>
            <w:pPr>
              <w:spacing w:after="0"/>
              <w:rPr>
                <w:sz w:val="14"/>
                <w:szCs w:val="14"/>
                <w:color w:val="auto"/>
              </w:rPr>
            </w:pPr>
          </w:p>
        </w:tc>
        <w:tc>
          <w:tcPr>
            <w:tcW w:w="2380" w:type="dxa"/>
            <w:vAlign w:val="bottom"/>
            <w:gridSpan w:val="3"/>
          </w:tcPr>
          <w:p>
            <w:pPr>
              <w:ind w:left="900"/>
              <w:spacing w:after="0"/>
              <w:rPr>
                <w:sz w:val="20"/>
                <w:szCs w:val="20"/>
                <w:color w:val="auto"/>
              </w:rPr>
            </w:pPr>
            <w:r>
              <w:rPr>
                <w:rFonts w:ascii="Arial" w:cs="Arial" w:eastAsia="Arial" w:hAnsi="Arial"/>
                <w:sz w:val="12"/>
                <w:szCs w:val="12"/>
                <w:b w:val="1"/>
                <w:bCs w:val="1"/>
                <w:color w:val="auto"/>
                <w:w w:val="99"/>
              </w:rPr>
              <w:t>CAPITAL BANCORP, INC.</w:t>
            </w:r>
          </w:p>
        </w:tc>
      </w:tr>
      <w:tr>
        <w:trPr>
          <w:trHeight w:val="460"/>
        </w:trPr>
        <w:tc>
          <w:tcPr>
            <w:tcW w:w="2140" w:type="dxa"/>
            <w:vAlign w:val="bottom"/>
          </w:tcPr>
          <w:p>
            <w:pPr>
              <w:spacing w:after="0"/>
              <w:rPr>
                <w:sz w:val="20"/>
                <w:szCs w:val="20"/>
                <w:color w:val="auto"/>
              </w:rPr>
            </w:pPr>
            <w:r>
              <w:rPr>
                <w:rFonts w:ascii="Arial" w:cs="Arial" w:eastAsia="Arial" w:hAnsi="Arial"/>
                <w:sz w:val="12"/>
                <w:szCs w:val="12"/>
                <w:color w:val="auto"/>
              </w:rPr>
              <w:t>Date: October 26, 2026</w:t>
            </w:r>
          </w:p>
        </w:tc>
        <w:tc>
          <w:tcPr>
            <w:tcW w:w="2380" w:type="dxa"/>
            <w:vAlign w:val="bottom"/>
            <w:gridSpan w:val="3"/>
          </w:tcPr>
          <w:p>
            <w:pPr>
              <w:ind w:left="900"/>
              <w:spacing w:after="0"/>
              <w:rPr>
                <w:sz w:val="20"/>
                <w:szCs w:val="20"/>
                <w:color w:val="auto"/>
              </w:rPr>
            </w:pPr>
            <w:r>
              <w:rPr>
                <w:rFonts w:ascii="Arial" w:cs="Arial" w:eastAsia="Arial" w:hAnsi="Arial"/>
                <w:sz w:val="12"/>
                <w:szCs w:val="12"/>
                <w:color w:val="auto"/>
              </w:rPr>
              <w:t>By: /s/ Jacob Dalaya</w:t>
            </w:r>
          </w:p>
        </w:tc>
      </w:tr>
      <w:tr>
        <w:trPr>
          <w:trHeight w:val="20"/>
        </w:trPr>
        <w:tc>
          <w:tcPr>
            <w:tcW w:w="2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56"/>
        </w:trPr>
        <w:tc>
          <w:tcPr>
            <w:tcW w:w="2140" w:type="dxa"/>
            <w:vAlign w:val="bottom"/>
          </w:tcPr>
          <w:p>
            <w:pPr>
              <w:spacing w:after="0"/>
              <w:rPr>
                <w:sz w:val="13"/>
                <w:szCs w:val="13"/>
                <w:color w:val="auto"/>
              </w:rPr>
            </w:pPr>
          </w:p>
        </w:tc>
        <w:tc>
          <w:tcPr>
            <w:tcW w:w="2380" w:type="dxa"/>
            <w:vAlign w:val="bottom"/>
            <w:gridSpan w:val="3"/>
          </w:tcPr>
          <w:p>
            <w:pPr>
              <w:ind w:left="900"/>
              <w:spacing w:after="0"/>
              <w:rPr>
                <w:sz w:val="20"/>
                <w:szCs w:val="20"/>
                <w:color w:val="auto"/>
              </w:rPr>
            </w:pPr>
            <w:r>
              <w:rPr>
                <w:rFonts w:ascii="Arial" w:cs="Arial" w:eastAsia="Arial" w:hAnsi="Arial"/>
                <w:sz w:val="12"/>
                <w:szCs w:val="12"/>
                <w:color w:val="auto"/>
              </w:rPr>
              <w:t>Name: Jacob Dalaya</w:t>
            </w:r>
          </w:p>
        </w:tc>
      </w:tr>
      <w:tr>
        <w:trPr>
          <w:trHeight w:val="159"/>
        </w:trPr>
        <w:tc>
          <w:tcPr>
            <w:tcW w:w="2140" w:type="dxa"/>
            <w:vAlign w:val="bottom"/>
          </w:tcPr>
          <w:p>
            <w:pPr>
              <w:spacing w:after="0"/>
              <w:rPr>
                <w:sz w:val="13"/>
                <w:szCs w:val="13"/>
                <w:color w:val="auto"/>
              </w:rPr>
            </w:pPr>
          </w:p>
        </w:tc>
        <w:tc>
          <w:tcPr>
            <w:tcW w:w="2380" w:type="dxa"/>
            <w:vAlign w:val="bottom"/>
            <w:gridSpan w:val="3"/>
          </w:tcPr>
          <w:p>
            <w:pPr>
              <w:ind w:left="900"/>
              <w:spacing w:after="0"/>
              <w:rPr>
                <w:sz w:val="20"/>
                <w:szCs w:val="20"/>
                <w:color w:val="auto"/>
              </w:rPr>
            </w:pPr>
            <w:r>
              <w:rPr>
                <w:rFonts w:ascii="Arial" w:cs="Arial" w:eastAsia="Arial" w:hAnsi="Arial"/>
                <w:sz w:val="12"/>
                <w:szCs w:val="12"/>
                <w:color w:val="auto"/>
                <w:w w:val="99"/>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0159"/>
          </w:cols>
          <w:pgMar w:left="300" w:top="640" w:right="1440" w:bottom="1440" w:gutter="0" w:footer="0" w:header="0"/>
        </w:sectPr>
      </w:pPr>
    </w:p>
    <w:bookmarkStart w:id="3" w:name="page4"/>
    <w:bookmarkEnd w:id="3"/>
    <w:p>
      <w:pPr>
        <w:jc w:val="center"/>
        <w:ind w:right="-7"/>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2334260</wp:posOffset>
            </wp:positionH>
            <wp:positionV relativeFrom="page">
              <wp:posOffset>363220</wp:posOffset>
            </wp:positionV>
            <wp:extent cx="288607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886075" cy="411480"/>
                    </a:xfrm>
                    <a:prstGeom prst="rect">
                      <a:avLst/>
                    </a:prstGeom>
                    <a:noFill/>
                  </pic:spPr>
                </pic:pic>
              </a:graphicData>
            </a:graphic>
          </wp:anchor>
        </w:drawing>
        <w:t>CBNK Delivers Strong Revenue Growth and Positive Operating Leverage</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1"/>
          <w:szCs w:val="11"/>
          <w:color w:val="auto"/>
        </w:rPr>
        <w:t>Rockville, Maryland, October 26, 2026 (GLOBE NEWSWIRE) – Capital Bancorp, Inc. (the "Company") (NASDAQ: CBNK), the holding company for Capital Bank, N.A. (the "Bank"), today reported:</w:t>
      </w:r>
    </w:p>
    <w:p>
      <w:pPr>
        <w:spacing w:after="0" w:line="89"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1960" w:type="dxa"/>
            <w:vAlign w:val="bottom"/>
          </w:tcPr>
          <w:p>
            <w:pPr>
              <w:spacing w:after="0"/>
              <w:rPr>
                <w:sz w:val="11"/>
                <w:szCs w:val="11"/>
                <w:color w:val="auto"/>
              </w:rPr>
            </w:pPr>
          </w:p>
        </w:tc>
        <w:tc>
          <w:tcPr>
            <w:tcW w:w="100" w:type="dxa"/>
            <w:vAlign w:val="bottom"/>
            <w:tcBorders>
              <w:bottom w:val="single" w:sz="8" w:color="EAEAEA"/>
            </w:tcBorders>
            <w:shd w:val="clear" w:color="auto" w:fill="EAEAEA"/>
          </w:tcPr>
          <w:p>
            <w:pPr>
              <w:spacing w:after="0"/>
              <w:rPr>
                <w:sz w:val="11"/>
                <w:szCs w:val="11"/>
                <w:color w:val="auto"/>
              </w:rPr>
            </w:pPr>
          </w:p>
        </w:tc>
        <w:tc>
          <w:tcPr>
            <w:tcW w:w="1000" w:type="dxa"/>
            <w:vAlign w:val="bottom"/>
            <w:tcBorders>
              <w:bottom w:val="single" w:sz="8" w:color="EAEAEA"/>
            </w:tcBorders>
            <w:shd w:val="clear" w:color="auto" w:fill="EAEAEA"/>
          </w:tcPr>
          <w:p>
            <w:pPr>
              <w:spacing w:after="0"/>
              <w:rPr>
                <w:sz w:val="11"/>
                <w:szCs w:val="11"/>
                <w:color w:val="auto"/>
              </w:rPr>
            </w:pPr>
          </w:p>
        </w:tc>
        <w:tc>
          <w:tcPr>
            <w:tcW w:w="100" w:type="dxa"/>
            <w:vAlign w:val="bottom"/>
            <w:tcBorders>
              <w:bottom w:val="single" w:sz="8" w:color="EAEAEA"/>
            </w:tcBorders>
            <w:shd w:val="clear" w:color="auto" w:fill="EAEAEA"/>
          </w:tcPr>
          <w:p>
            <w:pPr>
              <w:spacing w:after="0"/>
              <w:rPr>
                <w:sz w:val="11"/>
                <w:szCs w:val="11"/>
                <w:color w:val="auto"/>
              </w:rPr>
            </w:pPr>
          </w:p>
        </w:tc>
        <w:tc>
          <w:tcPr>
            <w:tcW w:w="560" w:type="dxa"/>
            <w:vAlign w:val="bottom"/>
            <w:tcBorders>
              <w:bottom w:val="single" w:sz="8" w:color="EAEAEA"/>
            </w:tcBorders>
            <w:shd w:val="clear" w:color="auto" w:fill="EAEAEA"/>
          </w:tcPr>
          <w:p>
            <w:pPr>
              <w:spacing w:after="0"/>
              <w:rPr>
                <w:sz w:val="11"/>
                <w:szCs w:val="11"/>
                <w:color w:val="auto"/>
              </w:rPr>
            </w:pPr>
          </w:p>
        </w:tc>
        <w:tc>
          <w:tcPr>
            <w:tcW w:w="260" w:type="dxa"/>
            <w:vAlign w:val="bottom"/>
            <w:tcBorders>
              <w:bottom w:val="single" w:sz="8" w:color="EAEAEA"/>
            </w:tcBorders>
            <w:shd w:val="clear" w:color="auto" w:fill="EAEAEA"/>
          </w:tcPr>
          <w:p>
            <w:pPr>
              <w:spacing w:after="0"/>
              <w:rPr>
                <w:sz w:val="11"/>
                <w:szCs w:val="11"/>
                <w:color w:val="auto"/>
              </w:rPr>
            </w:pPr>
          </w:p>
        </w:tc>
        <w:tc>
          <w:tcPr>
            <w:tcW w:w="40" w:type="dxa"/>
            <w:vAlign w:val="bottom"/>
            <w:tcBorders>
              <w:bottom w:val="single" w:sz="8" w:color="EAEAEA"/>
            </w:tcBorders>
            <w:shd w:val="clear" w:color="auto" w:fill="EAEAEA"/>
          </w:tcPr>
          <w:p>
            <w:pPr>
              <w:spacing w:after="0"/>
              <w:rPr>
                <w:sz w:val="11"/>
                <w:szCs w:val="11"/>
                <w:color w:val="auto"/>
              </w:rPr>
            </w:pPr>
          </w:p>
        </w:tc>
        <w:tc>
          <w:tcPr>
            <w:tcW w:w="500" w:type="dxa"/>
            <w:vAlign w:val="bottom"/>
            <w:tcBorders>
              <w:bottom w:val="single" w:sz="8" w:color="auto"/>
            </w:tcBorders>
            <w:shd w:val="clear" w:color="auto" w:fill="EAEAEA"/>
          </w:tcPr>
          <w:p>
            <w:pPr>
              <w:spacing w:after="0"/>
              <w:rPr>
                <w:sz w:val="11"/>
                <w:szCs w:val="11"/>
                <w:color w:val="auto"/>
              </w:rPr>
            </w:pPr>
          </w:p>
        </w:tc>
        <w:tc>
          <w:tcPr>
            <w:tcW w:w="200" w:type="dxa"/>
            <w:vAlign w:val="bottom"/>
            <w:tcBorders>
              <w:bottom w:val="single" w:sz="8" w:color="auto"/>
            </w:tcBorders>
            <w:shd w:val="clear" w:color="auto" w:fill="EAEAEA"/>
          </w:tcPr>
          <w:p>
            <w:pPr>
              <w:spacing w:after="0"/>
              <w:rPr>
                <w:sz w:val="11"/>
                <w:szCs w:val="11"/>
                <w:color w:val="auto"/>
              </w:rPr>
            </w:pPr>
          </w:p>
        </w:tc>
        <w:tc>
          <w:tcPr>
            <w:tcW w:w="60" w:type="dxa"/>
            <w:vAlign w:val="bottom"/>
            <w:tcBorders>
              <w:bottom w:val="single" w:sz="8" w:color="auto"/>
            </w:tcBorders>
            <w:shd w:val="clear" w:color="auto" w:fill="EAEAEA"/>
          </w:tcPr>
          <w:p>
            <w:pPr>
              <w:spacing w:after="0"/>
              <w:rPr>
                <w:sz w:val="11"/>
                <w:szCs w:val="11"/>
                <w:color w:val="auto"/>
              </w:rPr>
            </w:pPr>
          </w:p>
        </w:tc>
        <w:tc>
          <w:tcPr>
            <w:tcW w:w="920" w:type="dxa"/>
            <w:vAlign w:val="bottom"/>
            <w:tcBorders>
              <w:bottom w:val="single" w:sz="8" w:color="auto"/>
            </w:tcBorders>
            <w:gridSpan w:val="2"/>
            <w:shd w:val="clear" w:color="auto" w:fill="EAEAEA"/>
          </w:tcPr>
          <w:p>
            <w:pPr>
              <w:ind w:left="240"/>
              <w:spacing w:after="0"/>
              <w:rPr>
                <w:sz w:val="20"/>
                <w:szCs w:val="20"/>
                <w:color w:val="auto"/>
              </w:rPr>
            </w:pPr>
            <w:r>
              <w:rPr>
                <w:rFonts w:ascii="Arial" w:cs="Arial" w:eastAsia="Arial" w:hAnsi="Arial"/>
                <w:sz w:val="10"/>
                <w:szCs w:val="10"/>
                <w:b w:val="1"/>
                <w:bCs w:val="1"/>
                <w:color w:val="auto"/>
                <w:w w:val="94"/>
              </w:rPr>
              <w:t>Quarter Ended</w:t>
            </w:r>
          </w:p>
        </w:tc>
        <w:tc>
          <w:tcPr>
            <w:tcW w:w="40" w:type="dxa"/>
            <w:vAlign w:val="bottom"/>
            <w:tcBorders>
              <w:bottom w:val="single" w:sz="8" w:color="auto"/>
            </w:tcBorders>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600" w:type="dxa"/>
            <w:vAlign w:val="bottom"/>
            <w:tcBorders>
              <w:bottom w:val="single" w:sz="8" w:color="auto"/>
            </w:tcBorders>
            <w:shd w:val="clear" w:color="auto" w:fill="EAEAEA"/>
          </w:tcPr>
          <w:p>
            <w:pPr>
              <w:spacing w:after="0"/>
              <w:rPr>
                <w:sz w:val="11"/>
                <w:szCs w:val="11"/>
                <w:color w:val="auto"/>
              </w:rPr>
            </w:pPr>
          </w:p>
        </w:tc>
        <w:tc>
          <w:tcPr>
            <w:tcW w:w="60" w:type="dxa"/>
            <w:vAlign w:val="bottom"/>
            <w:tcBorders>
              <w:bottom w:val="single" w:sz="8" w:color="auto"/>
            </w:tcBorders>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20" w:type="dxa"/>
            <w:vAlign w:val="bottom"/>
            <w:tcBorders>
              <w:bottom w:val="single" w:sz="8" w:color="auto"/>
            </w:tcBorders>
            <w:shd w:val="clear" w:color="auto" w:fill="EAEAEA"/>
          </w:tcPr>
          <w:p>
            <w:pPr>
              <w:spacing w:after="0"/>
              <w:rPr>
                <w:sz w:val="11"/>
                <w:szCs w:val="11"/>
                <w:color w:val="auto"/>
              </w:rPr>
            </w:pPr>
          </w:p>
        </w:tc>
        <w:tc>
          <w:tcPr>
            <w:tcW w:w="80" w:type="dxa"/>
            <w:vAlign w:val="bottom"/>
            <w:tcBorders>
              <w:bottom w:val="single" w:sz="8" w:color="EAEAEA"/>
            </w:tcBorders>
            <w:shd w:val="clear" w:color="auto" w:fill="EAEAEA"/>
          </w:tcPr>
          <w:p>
            <w:pPr>
              <w:spacing w:after="0"/>
              <w:rPr>
                <w:sz w:val="11"/>
                <w:szCs w:val="11"/>
                <w:color w:val="auto"/>
              </w:rPr>
            </w:pPr>
          </w:p>
        </w:tc>
        <w:tc>
          <w:tcPr>
            <w:tcW w:w="440" w:type="dxa"/>
            <w:vAlign w:val="bottom"/>
            <w:tcBorders>
              <w:bottom w:val="single" w:sz="8" w:color="auto"/>
            </w:tcBorders>
            <w:shd w:val="clear" w:color="auto" w:fill="EAEAEA"/>
          </w:tcPr>
          <w:p>
            <w:pPr>
              <w:spacing w:after="0"/>
              <w:rPr>
                <w:sz w:val="11"/>
                <w:szCs w:val="11"/>
                <w:color w:val="auto"/>
              </w:rPr>
            </w:pPr>
          </w:p>
        </w:tc>
        <w:tc>
          <w:tcPr>
            <w:tcW w:w="60" w:type="dxa"/>
            <w:vAlign w:val="bottom"/>
            <w:tcBorders>
              <w:bottom w:val="single" w:sz="8" w:color="auto"/>
            </w:tcBorders>
            <w:shd w:val="clear" w:color="auto" w:fill="EAEAEA"/>
          </w:tcPr>
          <w:p>
            <w:pPr>
              <w:spacing w:after="0"/>
              <w:rPr>
                <w:sz w:val="11"/>
                <w:szCs w:val="11"/>
                <w:color w:val="auto"/>
              </w:rPr>
            </w:pPr>
          </w:p>
        </w:tc>
        <w:tc>
          <w:tcPr>
            <w:tcW w:w="220" w:type="dxa"/>
            <w:vAlign w:val="bottom"/>
            <w:tcBorders>
              <w:bottom w:val="single" w:sz="8" w:color="auto"/>
            </w:tcBorders>
            <w:shd w:val="clear" w:color="auto" w:fill="EAEAEA"/>
          </w:tcPr>
          <w:p>
            <w:pPr>
              <w:spacing w:after="0"/>
              <w:rPr>
                <w:sz w:val="11"/>
                <w:szCs w:val="11"/>
                <w:color w:val="auto"/>
              </w:rPr>
            </w:pPr>
          </w:p>
        </w:tc>
        <w:tc>
          <w:tcPr>
            <w:tcW w:w="1780" w:type="dxa"/>
            <w:vAlign w:val="bottom"/>
            <w:tcBorders>
              <w:bottom w:val="single" w:sz="8" w:color="auto"/>
            </w:tcBorders>
            <w:gridSpan w:val="8"/>
            <w:shd w:val="clear" w:color="auto" w:fill="EAEAEA"/>
          </w:tcPr>
          <w:p>
            <w:pPr>
              <w:ind w:left="20"/>
              <w:spacing w:after="0"/>
              <w:rPr>
                <w:sz w:val="20"/>
                <w:szCs w:val="20"/>
                <w:color w:val="auto"/>
              </w:rPr>
            </w:pPr>
            <w:r>
              <w:rPr>
                <w:rFonts w:ascii="Arial" w:cs="Arial" w:eastAsia="Arial" w:hAnsi="Arial"/>
                <w:sz w:val="10"/>
                <w:szCs w:val="10"/>
                <w:b w:val="1"/>
                <w:bCs w:val="1"/>
                <w:color w:val="auto"/>
              </w:rPr>
              <w:t xml:space="preserve">% Change </w:t>
            </w:r>
            <w:r>
              <w:rPr>
                <w:rFonts w:ascii="Arial" w:cs="Arial" w:eastAsia="Arial" w:hAnsi="Arial"/>
                <w:sz w:val="10"/>
                <w:szCs w:val="10"/>
                <w:color w:val="auto"/>
              </w:rPr>
              <w:t>(Annualized)</w:t>
            </w:r>
          </w:p>
        </w:tc>
        <w:tc>
          <w:tcPr>
            <w:tcW w:w="80" w:type="dxa"/>
            <w:vAlign w:val="bottom"/>
            <w:tcBorders>
              <w:bottom w:val="single" w:sz="8" w:color="EAEAEA"/>
              <w:right w:val="single" w:sz="8" w:color="EAEAEA"/>
            </w:tcBorders>
            <w:shd w:val="clear" w:color="auto" w:fill="EAEAEA"/>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960" w:type="dxa"/>
            <w:vAlign w:val="bottom"/>
          </w:tcPr>
          <w:p>
            <w:pPr>
              <w:spacing w:after="0"/>
              <w:rPr>
                <w:sz w:val="10"/>
                <w:szCs w:val="10"/>
                <w:color w:val="auto"/>
              </w:rPr>
            </w:pPr>
          </w:p>
        </w:tc>
        <w:tc>
          <w:tcPr>
            <w:tcW w:w="1200" w:type="dxa"/>
            <w:vAlign w:val="bottom"/>
            <w:gridSpan w:val="3"/>
            <w:shd w:val="clear" w:color="auto" w:fill="EAEAEA"/>
          </w:tcPr>
          <w:p>
            <w:pPr>
              <w:spacing w:after="0"/>
              <w:rPr>
                <w:sz w:val="20"/>
                <w:szCs w:val="20"/>
                <w:color w:val="auto"/>
              </w:rPr>
            </w:pPr>
            <w:r>
              <w:rPr>
                <w:rFonts w:ascii="Arial" w:cs="Arial" w:eastAsia="Arial" w:hAnsi="Arial"/>
                <w:sz w:val="7"/>
                <w:szCs w:val="7"/>
                <w:color w:val="auto"/>
              </w:rPr>
              <w:t>(in millions, except per share data)</w:t>
            </w:r>
          </w:p>
        </w:tc>
        <w:tc>
          <w:tcPr>
            <w:tcW w:w="560" w:type="dxa"/>
            <w:vAlign w:val="bottom"/>
            <w:shd w:val="clear" w:color="auto" w:fill="EAEAEA"/>
          </w:tcPr>
          <w:p>
            <w:pPr>
              <w:spacing w:after="0"/>
              <w:rPr>
                <w:sz w:val="10"/>
                <w:szCs w:val="10"/>
                <w:color w:val="auto"/>
              </w:rPr>
            </w:pPr>
          </w:p>
        </w:tc>
        <w:tc>
          <w:tcPr>
            <w:tcW w:w="260" w:type="dxa"/>
            <w:vAlign w:val="bottom"/>
            <w:shd w:val="clear" w:color="auto" w:fill="EAEAEA"/>
          </w:tcPr>
          <w:p>
            <w:pPr>
              <w:spacing w:after="0"/>
              <w:rPr>
                <w:sz w:val="10"/>
                <w:szCs w:val="10"/>
                <w:color w:val="auto"/>
              </w:rPr>
            </w:pPr>
          </w:p>
        </w:tc>
        <w:tc>
          <w:tcPr>
            <w:tcW w:w="40" w:type="dxa"/>
            <w:vAlign w:val="bottom"/>
            <w:shd w:val="clear" w:color="auto" w:fill="EAEAEA"/>
          </w:tcPr>
          <w:p>
            <w:pPr>
              <w:spacing w:after="0"/>
              <w:rPr>
                <w:sz w:val="10"/>
                <w:szCs w:val="10"/>
                <w:color w:val="auto"/>
              </w:rPr>
            </w:pPr>
          </w:p>
        </w:tc>
        <w:tc>
          <w:tcPr>
            <w:tcW w:w="760" w:type="dxa"/>
            <w:vAlign w:val="bottom"/>
            <w:tcBorders>
              <w:bottom w:val="single" w:sz="8" w:color="auto"/>
            </w:tcBorders>
            <w:gridSpan w:val="3"/>
            <w:shd w:val="clear" w:color="auto" w:fill="EAEAEA"/>
          </w:tcPr>
          <w:p>
            <w:pPr>
              <w:jc w:val="center"/>
              <w:ind w:left="12"/>
              <w:spacing w:after="0"/>
              <w:rPr>
                <w:sz w:val="20"/>
                <w:szCs w:val="20"/>
                <w:color w:val="auto"/>
              </w:rPr>
            </w:pPr>
            <w:r>
              <w:rPr>
                <w:rFonts w:ascii="Arial" w:cs="Arial" w:eastAsia="Arial" w:hAnsi="Arial"/>
                <w:sz w:val="10"/>
                <w:szCs w:val="10"/>
                <w:b w:val="1"/>
                <w:bCs w:val="1"/>
                <w:color w:val="auto"/>
                <w:w w:val="89"/>
              </w:rPr>
              <w:t>3Q26</w:t>
            </w:r>
          </w:p>
        </w:tc>
        <w:tc>
          <w:tcPr>
            <w:tcW w:w="420" w:type="dxa"/>
            <w:vAlign w:val="bottom"/>
            <w:tcBorders>
              <w:bottom w:val="single" w:sz="8" w:color="auto"/>
            </w:tcBorders>
            <w:shd w:val="clear" w:color="auto" w:fill="EAEAEA"/>
          </w:tcPr>
          <w:p>
            <w:pPr>
              <w:spacing w:after="0"/>
              <w:rPr>
                <w:sz w:val="10"/>
                <w:szCs w:val="10"/>
                <w:color w:val="auto"/>
              </w:rPr>
            </w:pPr>
          </w:p>
        </w:tc>
        <w:tc>
          <w:tcPr>
            <w:tcW w:w="500" w:type="dxa"/>
            <w:vAlign w:val="bottom"/>
            <w:tcBorders>
              <w:bottom w:val="single" w:sz="8" w:color="auto"/>
            </w:tcBorders>
            <w:shd w:val="clear" w:color="auto" w:fill="EAEAEA"/>
          </w:tcPr>
          <w:p>
            <w:pPr>
              <w:jc w:val="center"/>
              <w:ind w:right="172"/>
              <w:spacing w:after="0"/>
              <w:rPr>
                <w:sz w:val="20"/>
                <w:szCs w:val="20"/>
                <w:color w:val="auto"/>
              </w:rPr>
            </w:pPr>
            <w:r>
              <w:rPr>
                <w:rFonts w:ascii="Arial" w:cs="Arial" w:eastAsia="Arial" w:hAnsi="Arial"/>
                <w:sz w:val="10"/>
                <w:szCs w:val="10"/>
                <w:b w:val="1"/>
                <w:bCs w:val="1"/>
                <w:color w:val="auto"/>
                <w:w w:val="97"/>
              </w:rPr>
              <w:t>2Q26</w:t>
            </w:r>
          </w:p>
        </w:tc>
        <w:tc>
          <w:tcPr>
            <w:tcW w:w="40" w:type="dxa"/>
            <w:vAlign w:val="bottom"/>
            <w:tcBorders>
              <w:bottom w:val="single" w:sz="8" w:color="auto"/>
            </w:tcBorders>
            <w:shd w:val="clear" w:color="auto" w:fill="EAEAEA"/>
          </w:tcPr>
          <w:p>
            <w:pPr>
              <w:spacing w:after="0"/>
              <w:rPr>
                <w:sz w:val="10"/>
                <w:szCs w:val="10"/>
                <w:color w:val="auto"/>
              </w:rPr>
            </w:pPr>
          </w:p>
        </w:tc>
        <w:tc>
          <w:tcPr>
            <w:tcW w:w="80" w:type="dxa"/>
            <w:vAlign w:val="bottom"/>
            <w:tcBorders>
              <w:bottom w:val="single" w:sz="8" w:color="auto"/>
            </w:tcBorders>
            <w:shd w:val="clear" w:color="auto" w:fill="EAEAEA"/>
          </w:tcPr>
          <w:p>
            <w:pPr>
              <w:spacing w:after="0"/>
              <w:rPr>
                <w:sz w:val="10"/>
                <w:szCs w:val="10"/>
                <w:color w:val="auto"/>
              </w:rPr>
            </w:pPr>
          </w:p>
        </w:tc>
        <w:tc>
          <w:tcPr>
            <w:tcW w:w="860" w:type="dxa"/>
            <w:vAlign w:val="bottom"/>
            <w:tcBorders>
              <w:bottom w:val="single" w:sz="8" w:color="auto"/>
            </w:tcBorders>
            <w:gridSpan w:val="5"/>
            <w:shd w:val="clear" w:color="auto" w:fill="EAEAEA"/>
          </w:tcPr>
          <w:p>
            <w:pPr>
              <w:jc w:val="center"/>
              <w:spacing w:after="0"/>
              <w:rPr>
                <w:sz w:val="20"/>
                <w:szCs w:val="20"/>
                <w:color w:val="auto"/>
              </w:rPr>
            </w:pPr>
            <w:r>
              <w:rPr>
                <w:rFonts w:ascii="Arial" w:cs="Arial" w:eastAsia="Arial" w:hAnsi="Arial"/>
                <w:sz w:val="10"/>
                <w:szCs w:val="10"/>
                <w:b w:val="1"/>
                <w:bCs w:val="1"/>
                <w:color w:val="auto"/>
                <w:w w:val="97"/>
              </w:rPr>
              <w:t>3Q25</w:t>
            </w:r>
          </w:p>
        </w:tc>
        <w:tc>
          <w:tcPr>
            <w:tcW w:w="80" w:type="dxa"/>
            <w:vAlign w:val="bottom"/>
            <w:shd w:val="clear" w:color="auto" w:fill="EAEAEA"/>
          </w:tcPr>
          <w:p>
            <w:pPr>
              <w:spacing w:after="0"/>
              <w:rPr>
                <w:sz w:val="10"/>
                <w:szCs w:val="10"/>
                <w:color w:val="auto"/>
              </w:rPr>
            </w:pPr>
          </w:p>
        </w:tc>
        <w:tc>
          <w:tcPr>
            <w:tcW w:w="1500" w:type="dxa"/>
            <w:vAlign w:val="bottom"/>
            <w:tcBorders>
              <w:bottom w:val="single" w:sz="8" w:color="auto"/>
            </w:tcBorders>
            <w:gridSpan w:val="6"/>
            <w:shd w:val="clear" w:color="auto" w:fill="EAEAEA"/>
          </w:tcPr>
          <w:p>
            <w:pPr>
              <w:ind w:left="300"/>
              <w:spacing w:after="0"/>
              <w:rPr>
                <w:sz w:val="20"/>
                <w:szCs w:val="20"/>
                <w:color w:val="auto"/>
              </w:rPr>
            </w:pPr>
            <w:r>
              <w:rPr>
                <w:rFonts w:ascii="Arial" w:cs="Arial" w:eastAsia="Arial" w:hAnsi="Arial"/>
                <w:sz w:val="10"/>
                <w:szCs w:val="10"/>
                <w:b w:val="1"/>
                <w:bCs w:val="1"/>
                <w:color w:val="auto"/>
              </w:rPr>
              <w:t>3Q26 vs 2Q26</w:t>
            </w:r>
          </w:p>
        </w:tc>
        <w:tc>
          <w:tcPr>
            <w:tcW w:w="1000" w:type="dxa"/>
            <w:vAlign w:val="bottom"/>
            <w:tcBorders>
              <w:bottom w:val="single" w:sz="8" w:color="auto"/>
            </w:tcBorders>
            <w:gridSpan w:val="5"/>
            <w:shd w:val="clear" w:color="auto" w:fill="EAEAEA"/>
          </w:tcPr>
          <w:p>
            <w:pPr>
              <w:ind w:left="80"/>
              <w:spacing w:after="0"/>
              <w:rPr>
                <w:sz w:val="20"/>
                <w:szCs w:val="20"/>
                <w:color w:val="auto"/>
              </w:rPr>
            </w:pPr>
            <w:r>
              <w:rPr>
                <w:rFonts w:ascii="Arial" w:cs="Arial" w:eastAsia="Arial" w:hAnsi="Arial"/>
                <w:sz w:val="10"/>
                <w:szCs w:val="10"/>
                <w:b w:val="1"/>
                <w:bCs w:val="1"/>
                <w:color w:val="auto"/>
              </w:rPr>
              <w:t>3Q26 vs 3Q25</w:t>
            </w:r>
          </w:p>
        </w:tc>
        <w:tc>
          <w:tcPr>
            <w:tcW w:w="80" w:type="dxa"/>
            <w:vAlign w:val="bottom"/>
            <w:tcBorders>
              <w:right w:val="single" w:sz="8" w:color="EAEAEA"/>
            </w:tcBorders>
            <w:shd w:val="clear" w:color="auto" w:fill="EAEAEA"/>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60" w:type="dxa"/>
            <w:vAlign w:val="bottom"/>
          </w:tcPr>
          <w:p>
            <w:pPr>
              <w:spacing w:after="0"/>
              <w:rPr>
                <w:sz w:val="9"/>
                <w:szCs w:val="9"/>
                <w:color w:val="auto"/>
              </w:rPr>
            </w:pPr>
          </w:p>
        </w:tc>
        <w:tc>
          <w:tcPr>
            <w:tcW w:w="1200" w:type="dxa"/>
            <w:vAlign w:val="bottom"/>
            <w:gridSpan w:val="3"/>
          </w:tcPr>
          <w:p>
            <w:pPr>
              <w:spacing w:after="0" w:line="113" w:lineRule="exact"/>
              <w:rPr>
                <w:sz w:val="20"/>
                <w:szCs w:val="20"/>
                <w:color w:val="auto"/>
              </w:rPr>
            </w:pPr>
            <w:r>
              <w:rPr>
                <w:rFonts w:ascii="Arial" w:cs="Arial" w:eastAsia="Arial" w:hAnsi="Arial"/>
                <w:sz w:val="10"/>
                <w:szCs w:val="10"/>
                <w:b w:val="1"/>
                <w:bCs w:val="1"/>
                <w:color w:val="auto"/>
              </w:rPr>
              <w:t>Balance Sheet Summary</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960" w:type="dxa"/>
            <w:vAlign w:val="bottom"/>
          </w:tcPr>
          <w:p>
            <w:pPr>
              <w:spacing w:after="0"/>
              <w:rPr>
                <w:sz w:val="12"/>
                <w:szCs w:val="12"/>
                <w:color w:val="auto"/>
              </w:rPr>
            </w:pPr>
          </w:p>
        </w:tc>
        <w:tc>
          <w:tcPr>
            <w:tcW w:w="1200" w:type="dxa"/>
            <w:vAlign w:val="bottom"/>
            <w:gridSpan w:val="3"/>
          </w:tcPr>
          <w:p>
            <w:pPr>
              <w:spacing w:after="0"/>
              <w:rPr>
                <w:sz w:val="20"/>
                <w:szCs w:val="20"/>
                <w:color w:val="auto"/>
              </w:rPr>
            </w:pPr>
            <w:r>
              <w:rPr>
                <w:rFonts w:ascii="Arial" w:cs="Arial" w:eastAsia="Arial" w:hAnsi="Arial"/>
                <w:sz w:val="10"/>
                <w:szCs w:val="10"/>
                <w:color w:val="auto"/>
              </w:rPr>
              <w:t>Gross Loans</w:t>
            </w:r>
            <w:r>
              <w:rPr>
                <w:rFonts w:ascii="Arial" w:cs="Arial" w:eastAsia="Arial" w:hAnsi="Arial"/>
                <w:sz w:val="12"/>
                <w:szCs w:val="12"/>
                <w:color w:val="auto"/>
                <w:vertAlign w:val="superscript"/>
              </w:rPr>
              <w:t>(1)</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left="72"/>
              <w:spacing w:after="0"/>
              <w:rPr>
                <w:sz w:val="20"/>
                <w:szCs w:val="20"/>
                <w:color w:val="auto"/>
              </w:rPr>
            </w:pPr>
            <w:r>
              <w:rPr>
                <w:rFonts w:ascii="Arial" w:cs="Arial" w:eastAsia="Arial" w:hAnsi="Arial"/>
                <w:sz w:val="10"/>
                <w:szCs w:val="10"/>
                <w:b w:val="1"/>
                <w:bCs w:val="1"/>
                <w:color w:val="auto"/>
                <w:w w:val="97"/>
              </w:rPr>
              <w:t>$3,114</w:t>
            </w:r>
          </w:p>
        </w:tc>
        <w:tc>
          <w:tcPr>
            <w:tcW w:w="60" w:type="dxa"/>
            <w:vAlign w:val="bottom"/>
          </w:tcPr>
          <w:p>
            <w:pPr>
              <w:spacing w:after="0"/>
              <w:rPr>
                <w:sz w:val="12"/>
                <w:szCs w:val="12"/>
                <w:color w:val="auto"/>
              </w:rPr>
            </w:pPr>
          </w:p>
        </w:tc>
        <w:tc>
          <w:tcPr>
            <w:tcW w:w="920" w:type="dxa"/>
            <w:vAlign w:val="bottom"/>
            <w:gridSpan w:val="2"/>
          </w:tcPr>
          <w:p>
            <w:pPr>
              <w:jc w:val="center"/>
              <w:ind w:left="172"/>
              <w:spacing w:after="0"/>
              <w:rPr>
                <w:sz w:val="20"/>
                <w:szCs w:val="20"/>
                <w:color w:val="auto"/>
              </w:rPr>
            </w:pPr>
            <w:r>
              <w:rPr>
                <w:rFonts w:ascii="Arial" w:cs="Arial" w:eastAsia="Arial" w:hAnsi="Arial"/>
                <w:sz w:val="10"/>
                <w:szCs w:val="10"/>
                <w:color w:val="auto"/>
                <w:w w:val="97"/>
              </w:rPr>
              <w:t>$3,086</w:t>
            </w:r>
          </w:p>
        </w:tc>
        <w:tc>
          <w:tcPr>
            <w:tcW w:w="720" w:type="dxa"/>
            <w:vAlign w:val="bottom"/>
            <w:gridSpan w:val="3"/>
          </w:tcPr>
          <w:p>
            <w:pPr>
              <w:jc w:val="center"/>
              <w:ind w:left="372"/>
              <w:spacing w:after="0"/>
              <w:rPr>
                <w:sz w:val="20"/>
                <w:szCs w:val="20"/>
                <w:color w:val="auto"/>
              </w:rPr>
            </w:pPr>
            <w:r>
              <w:rPr>
                <w:rFonts w:ascii="Arial" w:cs="Arial" w:eastAsia="Arial" w:hAnsi="Arial"/>
                <w:sz w:val="10"/>
                <w:szCs w:val="10"/>
                <w:color w:val="auto"/>
                <w:w w:val="97"/>
              </w:rPr>
              <w:t>$2,822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jc w:val="center"/>
              <w:spacing w:after="0"/>
              <w:rPr>
                <w:sz w:val="20"/>
                <w:szCs w:val="20"/>
                <w:color w:val="auto"/>
              </w:rPr>
            </w:pPr>
            <w:r>
              <w:rPr>
                <w:rFonts w:ascii="Arial" w:cs="Arial" w:eastAsia="Arial" w:hAnsi="Arial"/>
                <w:sz w:val="10"/>
                <w:szCs w:val="10"/>
                <w:color w:val="auto"/>
                <w:w w:val="96"/>
              </w:rPr>
              <w:t>3.6%</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332"/>
              <w:spacing w:after="0"/>
              <w:rPr>
                <w:sz w:val="20"/>
                <w:szCs w:val="20"/>
                <w:color w:val="auto"/>
              </w:rPr>
            </w:pPr>
            <w:r>
              <w:rPr>
                <w:rFonts w:ascii="Arial" w:cs="Arial" w:eastAsia="Arial" w:hAnsi="Arial"/>
                <w:sz w:val="10"/>
                <w:szCs w:val="10"/>
                <w:color w:val="auto"/>
              </w:rPr>
              <w:t>10.4%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960" w:type="dxa"/>
            <w:vAlign w:val="bottom"/>
          </w:tcPr>
          <w:p>
            <w:pPr>
              <w:spacing w:after="0"/>
              <w:rPr>
                <w:sz w:val="11"/>
                <w:szCs w:val="11"/>
                <w:color w:val="auto"/>
              </w:rPr>
            </w:pPr>
          </w:p>
        </w:tc>
        <w:tc>
          <w:tcPr>
            <w:tcW w:w="1200" w:type="dxa"/>
            <w:vAlign w:val="bottom"/>
            <w:gridSpan w:val="3"/>
          </w:tcPr>
          <w:p>
            <w:pPr>
              <w:spacing w:after="0"/>
              <w:rPr>
                <w:sz w:val="20"/>
                <w:szCs w:val="20"/>
                <w:color w:val="auto"/>
              </w:rPr>
            </w:pPr>
            <w:r>
              <w:rPr>
                <w:rFonts w:ascii="Arial" w:cs="Arial" w:eastAsia="Arial" w:hAnsi="Arial"/>
                <w:sz w:val="10"/>
                <w:szCs w:val="10"/>
                <w:color w:val="auto"/>
              </w:rPr>
              <w:t>Total Deposits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left="52"/>
              <w:spacing w:after="0"/>
              <w:rPr>
                <w:sz w:val="20"/>
                <w:szCs w:val="20"/>
                <w:color w:val="auto"/>
              </w:rPr>
            </w:pPr>
            <w:r>
              <w:rPr>
                <w:rFonts w:ascii="Arial" w:cs="Arial" w:eastAsia="Arial" w:hAnsi="Arial"/>
                <w:sz w:val="10"/>
                <w:szCs w:val="10"/>
                <w:b w:val="1"/>
                <w:bCs w:val="1"/>
                <w:color w:val="auto"/>
                <w:w w:val="95"/>
              </w:rPr>
              <w:t>3,319</w:t>
            </w:r>
          </w:p>
        </w:tc>
        <w:tc>
          <w:tcPr>
            <w:tcW w:w="60" w:type="dxa"/>
            <w:vAlign w:val="bottom"/>
          </w:tcPr>
          <w:p>
            <w:pPr>
              <w:spacing w:after="0"/>
              <w:rPr>
                <w:sz w:val="11"/>
                <w:szCs w:val="11"/>
                <w:color w:val="auto"/>
              </w:rPr>
            </w:pPr>
          </w:p>
        </w:tc>
        <w:tc>
          <w:tcPr>
            <w:tcW w:w="920" w:type="dxa"/>
            <w:vAlign w:val="bottom"/>
            <w:gridSpan w:val="2"/>
          </w:tcPr>
          <w:p>
            <w:pPr>
              <w:jc w:val="center"/>
              <w:ind w:left="152"/>
              <w:spacing w:after="0"/>
              <w:rPr>
                <w:sz w:val="20"/>
                <w:szCs w:val="20"/>
                <w:color w:val="auto"/>
              </w:rPr>
            </w:pPr>
            <w:r>
              <w:rPr>
                <w:rFonts w:ascii="Arial" w:cs="Arial" w:eastAsia="Arial" w:hAnsi="Arial"/>
                <w:sz w:val="10"/>
                <w:szCs w:val="10"/>
                <w:color w:val="auto"/>
                <w:w w:val="95"/>
              </w:rPr>
              <w:t>3,371</w:t>
            </w:r>
          </w:p>
        </w:tc>
        <w:tc>
          <w:tcPr>
            <w:tcW w:w="720" w:type="dxa"/>
            <w:vAlign w:val="bottom"/>
            <w:gridSpan w:val="3"/>
          </w:tcPr>
          <w:p>
            <w:pPr>
              <w:jc w:val="center"/>
              <w:ind w:left="352"/>
              <w:spacing w:after="0"/>
              <w:rPr>
                <w:sz w:val="20"/>
                <w:szCs w:val="20"/>
                <w:color w:val="auto"/>
              </w:rPr>
            </w:pPr>
            <w:r>
              <w:rPr>
                <w:rFonts w:ascii="Arial" w:cs="Arial" w:eastAsia="Arial" w:hAnsi="Arial"/>
                <w:sz w:val="10"/>
                <w:szCs w:val="10"/>
                <w:color w:val="auto"/>
                <w:w w:val="95"/>
              </w:rPr>
              <w:t>2,912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tcPr>
          <w:p>
            <w:pPr>
              <w:jc w:val="center"/>
              <w:ind w:left="92"/>
              <w:spacing w:after="0"/>
              <w:rPr>
                <w:sz w:val="20"/>
                <w:szCs w:val="20"/>
                <w:color w:val="auto"/>
              </w:rPr>
            </w:pPr>
            <w:r>
              <w:rPr>
                <w:rFonts w:ascii="Arial" w:cs="Arial" w:eastAsia="Arial" w:hAnsi="Arial"/>
                <w:sz w:val="10"/>
                <w:szCs w:val="10"/>
                <w:color w:val="auto"/>
                <w:w w:val="94"/>
              </w:rPr>
              <w:t>(6.1)%</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right"/>
              <w:ind w:right="332"/>
              <w:spacing w:after="0"/>
              <w:rPr>
                <w:sz w:val="20"/>
                <w:szCs w:val="20"/>
                <w:color w:val="auto"/>
              </w:rPr>
            </w:pPr>
            <w:r>
              <w:rPr>
                <w:rFonts w:ascii="Arial" w:cs="Arial" w:eastAsia="Arial" w:hAnsi="Arial"/>
                <w:sz w:val="10"/>
                <w:szCs w:val="10"/>
                <w:color w:val="auto"/>
              </w:rPr>
              <w:t>14.0%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960" w:type="dxa"/>
            <w:vAlign w:val="bottom"/>
          </w:tcPr>
          <w:p>
            <w:pPr>
              <w:spacing w:after="0"/>
              <w:rPr>
                <w:sz w:val="11"/>
                <w:szCs w:val="11"/>
                <w:color w:val="auto"/>
              </w:rPr>
            </w:pPr>
          </w:p>
        </w:tc>
        <w:tc>
          <w:tcPr>
            <w:tcW w:w="1200" w:type="dxa"/>
            <w:vAlign w:val="bottom"/>
            <w:gridSpan w:val="3"/>
          </w:tcPr>
          <w:p>
            <w:pPr>
              <w:spacing w:after="0"/>
              <w:rPr>
                <w:sz w:val="20"/>
                <w:szCs w:val="20"/>
                <w:color w:val="auto"/>
              </w:rPr>
            </w:pPr>
            <w:r>
              <w:rPr>
                <w:rFonts w:ascii="Arial" w:cs="Arial" w:eastAsia="Arial" w:hAnsi="Arial"/>
                <w:sz w:val="10"/>
                <w:szCs w:val="10"/>
                <w:color w:val="auto"/>
              </w:rPr>
              <w:t>Customer Deposits</w:t>
            </w:r>
            <w:r>
              <w:rPr>
                <w:rFonts w:ascii="Arial" w:cs="Arial" w:eastAsia="Arial" w:hAnsi="Arial"/>
                <w:sz w:val="12"/>
                <w:szCs w:val="12"/>
                <w:color w:val="auto"/>
                <w:vertAlign w:val="superscript"/>
              </w:rPr>
              <w:t>(2)</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left="52"/>
              <w:spacing w:after="0"/>
              <w:rPr>
                <w:sz w:val="20"/>
                <w:szCs w:val="20"/>
                <w:color w:val="auto"/>
              </w:rPr>
            </w:pPr>
            <w:r>
              <w:rPr>
                <w:rFonts w:ascii="Arial" w:cs="Arial" w:eastAsia="Arial" w:hAnsi="Arial"/>
                <w:sz w:val="10"/>
                <w:szCs w:val="10"/>
                <w:b w:val="1"/>
                <w:bCs w:val="1"/>
                <w:color w:val="auto"/>
                <w:w w:val="95"/>
              </w:rPr>
              <w:t>2,988</w:t>
            </w:r>
          </w:p>
        </w:tc>
        <w:tc>
          <w:tcPr>
            <w:tcW w:w="60" w:type="dxa"/>
            <w:vAlign w:val="bottom"/>
          </w:tcPr>
          <w:p>
            <w:pPr>
              <w:spacing w:after="0"/>
              <w:rPr>
                <w:sz w:val="11"/>
                <w:szCs w:val="11"/>
                <w:color w:val="auto"/>
              </w:rPr>
            </w:pPr>
          </w:p>
        </w:tc>
        <w:tc>
          <w:tcPr>
            <w:tcW w:w="920" w:type="dxa"/>
            <w:vAlign w:val="bottom"/>
            <w:gridSpan w:val="2"/>
          </w:tcPr>
          <w:p>
            <w:pPr>
              <w:jc w:val="center"/>
              <w:ind w:left="152"/>
              <w:spacing w:after="0"/>
              <w:rPr>
                <w:sz w:val="20"/>
                <w:szCs w:val="20"/>
                <w:color w:val="auto"/>
              </w:rPr>
            </w:pPr>
            <w:r>
              <w:rPr>
                <w:rFonts w:ascii="Arial" w:cs="Arial" w:eastAsia="Arial" w:hAnsi="Arial"/>
                <w:sz w:val="10"/>
                <w:szCs w:val="10"/>
                <w:color w:val="auto"/>
                <w:w w:val="95"/>
              </w:rPr>
              <w:t>3,140</w:t>
            </w:r>
          </w:p>
        </w:tc>
        <w:tc>
          <w:tcPr>
            <w:tcW w:w="720" w:type="dxa"/>
            <w:vAlign w:val="bottom"/>
            <w:gridSpan w:val="3"/>
          </w:tcPr>
          <w:p>
            <w:pPr>
              <w:jc w:val="center"/>
              <w:ind w:left="352"/>
              <w:spacing w:after="0"/>
              <w:rPr>
                <w:sz w:val="20"/>
                <w:szCs w:val="20"/>
                <w:color w:val="auto"/>
              </w:rPr>
            </w:pPr>
            <w:r>
              <w:rPr>
                <w:rFonts w:ascii="Arial" w:cs="Arial" w:eastAsia="Arial" w:hAnsi="Arial"/>
                <w:sz w:val="10"/>
                <w:szCs w:val="10"/>
                <w:color w:val="auto"/>
                <w:w w:val="95"/>
              </w:rPr>
              <w:t>2,675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tcPr>
          <w:p>
            <w:pPr>
              <w:jc w:val="center"/>
              <w:ind w:left="112"/>
              <w:spacing w:after="0"/>
              <w:rPr>
                <w:sz w:val="20"/>
                <w:szCs w:val="20"/>
                <w:color w:val="auto"/>
              </w:rPr>
            </w:pPr>
            <w:r>
              <w:rPr>
                <w:rFonts w:ascii="Arial" w:cs="Arial" w:eastAsia="Arial" w:hAnsi="Arial"/>
                <w:sz w:val="10"/>
                <w:szCs w:val="10"/>
                <w:color w:val="auto"/>
                <w:w w:val="96"/>
              </w:rPr>
              <w:t>(19.2)%</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right"/>
              <w:ind w:right="352"/>
              <w:spacing w:after="0"/>
              <w:rPr>
                <w:sz w:val="20"/>
                <w:szCs w:val="20"/>
                <w:color w:val="auto"/>
              </w:rPr>
            </w:pPr>
            <w:r>
              <w:rPr>
                <w:rFonts w:ascii="Arial" w:cs="Arial" w:eastAsia="Arial" w:hAnsi="Arial"/>
                <w:sz w:val="10"/>
                <w:szCs w:val="10"/>
                <w:color w:val="auto"/>
              </w:rPr>
              <w:t>11.7%</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960" w:type="dxa"/>
            <w:vAlign w:val="bottom"/>
          </w:tcPr>
          <w:p>
            <w:pPr>
              <w:spacing w:after="0"/>
              <w:rPr>
                <w:sz w:val="11"/>
                <w:szCs w:val="11"/>
                <w:color w:val="auto"/>
              </w:rPr>
            </w:pPr>
          </w:p>
        </w:tc>
        <w:tc>
          <w:tcPr>
            <w:tcW w:w="2060" w:type="dxa"/>
            <w:vAlign w:val="bottom"/>
            <w:tcBorders>
              <w:bottom w:val="single" w:sz="8" w:color="auto"/>
            </w:tcBorders>
            <w:gridSpan w:val="6"/>
          </w:tcPr>
          <w:p>
            <w:pPr>
              <w:spacing w:after="0" w:line="134" w:lineRule="exact"/>
              <w:rPr>
                <w:sz w:val="20"/>
                <w:szCs w:val="20"/>
                <w:color w:val="auto"/>
              </w:rPr>
            </w:pPr>
            <w:r>
              <w:rPr>
                <w:rFonts w:ascii="Arial" w:cs="Arial" w:eastAsia="Arial" w:hAnsi="Arial"/>
                <w:sz w:val="10"/>
                <w:szCs w:val="10"/>
                <w:color w:val="auto"/>
              </w:rPr>
              <w:t>Tangible Book Value per share</w:t>
            </w:r>
            <w:r>
              <w:rPr>
                <w:rFonts w:ascii="Arial" w:cs="Arial" w:eastAsia="Arial" w:hAnsi="Arial"/>
                <w:sz w:val="12"/>
                <w:szCs w:val="12"/>
                <w:color w:val="auto"/>
                <w:vertAlign w:val="superscript"/>
              </w:rPr>
              <w:t>(3)</w:t>
            </w:r>
          </w:p>
        </w:tc>
        <w:tc>
          <w:tcPr>
            <w:tcW w:w="700" w:type="dxa"/>
            <w:vAlign w:val="bottom"/>
            <w:tcBorders>
              <w:bottom w:val="single" w:sz="8" w:color="auto"/>
            </w:tcBorders>
            <w:gridSpan w:val="2"/>
          </w:tcPr>
          <w:p>
            <w:pPr>
              <w:jc w:val="center"/>
              <w:ind w:left="72"/>
              <w:spacing w:after="0"/>
              <w:rPr>
                <w:sz w:val="20"/>
                <w:szCs w:val="20"/>
                <w:color w:val="auto"/>
              </w:rPr>
            </w:pPr>
            <w:r>
              <w:rPr>
                <w:rFonts w:ascii="Arial" w:cs="Arial" w:eastAsia="Arial" w:hAnsi="Arial"/>
                <w:sz w:val="10"/>
                <w:szCs w:val="10"/>
                <w:b w:val="1"/>
                <w:bCs w:val="1"/>
                <w:color w:val="auto"/>
                <w:w w:val="97"/>
              </w:rPr>
              <w:t>$23.98</w:t>
            </w: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10"/>
                <w:szCs w:val="10"/>
                <w:color w:val="auto"/>
                <w:w w:val="97"/>
              </w:rPr>
              <w:t>$23.45</w:t>
            </w:r>
          </w:p>
        </w:tc>
        <w:tc>
          <w:tcPr>
            <w:tcW w:w="720" w:type="dxa"/>
            <w:vAlign w:val="bottom"/>
            <w:tcBorders>
              <w:bottom w:val="single" w:sz="8" w:color="auto"/>
            </w:tcBorders>
            <w:gridSpan w:val="3"/>
          </w:tcPr>
          <w:p>
            <w:pPr>
              <w:jc w:val="center"/>
              <w:ind w:left="372"/>
              <w:spacing w:after="0"/>
              <w:rPr>
                <w:sz w:val="20"/>
                <w:szCs w:val="20"/>
                <w:color w:val="auto"/>
              </w:rPr>
            </w:pPr>
            <w:r>
              <w:rPr>
                <w:rFonts w:ascii="Arial" w:cs="Arial" w:eastAsia="Arial" w:hAnsi="Arial"/>
                <w:sz w:val="10"/>
                <w:szCs w:val="10"/>
                <w:color w:val="auto"/>
                <w:w w:val="97"/>
              </w:rPr>
              <w:t>$21.33</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9.0%</w:t>
            </w:r>
          </w:p>
        </w:tc>
        <w:tc>
          <w:tcPr>
            <w:tcW w:w="4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0"/>
                <w:szCs w:val="10"/>
                <w:color w:val="auto"/>
              </w:rPr>
              <w:t>12.4%</w:t>
            </w: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60" w:type="dxa"/>
            <w:vAlign w:val="bottom"/>
            <w:tcBorders>
              <w:bottom w:val="single" w:sz="8" w:color="EAEAEA"/>
              <w:right w:val="single" w:sz="8" w:color="EAEAEA"/>
            </w:tcBorders>
            <w:shd w:val="clear" w:color="auto" w:fill="EAEAEA"/>
          </w:tcPr>
          <w:p>
            <w:pPr>
              <w:spacing w:after="0"/>
              <w:rPr>
                <w:sz w:val="11"/>
                <w:szCs w:val="11"/>
                <w:color w:val="auto"/>
              </w:rPr>
            </w:pPr>
          </w:p>
        </w:tc>
        <w:tc>
          <w:tcPr>
            <w:tcW w:w="100" w:type="dxa"/>
            <w:vAlign w:val="bottom"/>
            <w:tcBorders>
              <w:bottom w:val="single" w:sz="8" w:color="EAEAEA"/>
            </w:tcBorders>
            <w:shd w:val="clear" w:color="auto" w:fill="EAEAEA"/>
          </w:tcPr>
          <w:p>
            <w:pPr>
              <w:spacing w:after="0"/>
              <w:rPr>
                <w:sz w:val="11"/>
                <w:szCs w:val="11"/>
                <w:color w:val="auto"/>
              </w:rPr>
            </w:pPr>
          </w:p>
        </w:tc>
        <w:tc>
          <w:tcPr>
            <w:tcW w:w="1000" w:type="dxa"/>
            <w:vAlign w:val="bottom"/>
            <w:tcBorders>
              <w:bottom w:val="single" w:sz="8" w:color="auto"/>
            </w:tcBorders>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560" w:type="dxa"/>
            <w:vAlign w:val="bottom"/>
            <w:tcBorders>
              <w:bottom w:val="single" w:sz="8" w:color="auto"/>
            </w:tcBorders>
            <w:shd w:val="clear" w:color="auto" w:fill="EAEAEA"/>
          </w:tcPr>
          <w:p>
            <w:pPr>
              <w:spacing w:after="0"/>
              <w:rPr>
                <w:sz w:val="11"/>
                <w:szCs w:val="11"/>
                <w:color w:val="auto"/>
              </w:rPr>
            </w:pPr>
          </w:p>
        </w:tc>
        <w:tc>
          <w:tcPr>
            <w:tcW w:w="260" w:type="dxa"/>
            <w:vAlign w:val="bottom"/>
            <w:tcBorders>
              <w:bottom w:val="single" w:sz="8" w:color="auto"/>
            </w:tcBorders>
            <w:shd w:val="clear" w:color="auto" w:fill="EAEAEA"/>
          </w:tcPr>
          <w:p>
            <w:pPr>
              <w:spacing w:after="0"/>
              <w:rPr>
                <w:sz w:val="11"/>
                <w:szCs w:val="11"/>
                <w:color w:val="auto"/>
              </w:rPr>
            </w:pPr>
          </w:p>
        </w:tc>
        <w:tc>
          <w:tcPr>
            <w:tcW w:w="40" w:type="dxa"/>
            <w:vAlign w:val="bottom"/>
            <w:tcBorders>
              <w:bottom w:val="single" w:sz="8" w:color="auto"/>
            </w:tcBorders>
            <w:shd w:val="clear" w:color="auto" w:fill="EAEAEA"/>
          </w:tcPr>
          <w:p>
            <w:pPr>
              <w:spacing w:after="0"/>
              <w:rPr>
                <w:sz w:val="11"/>
                <w:szCs w:val="11"/>
                <w:color w:val="auto"/>
              </w:rPr>
            </w:pPr>
          </w:p>
        </w:tc>
        <w:tc>
          <w:tcPr>
            <w:tcW w:w="760" w:type="dxa"/>
            <w:vAlign w:val="bottom"/>
            <w:tcBorders>
              <w:bottom w:val="single" w:sz="8" w:color="auto"/>
            </w:tcBorders>
            <w:gridSpan w:val="3"/>
            <w:shd w:val="clear" w:color="auto" w:fill="EAEAEA"/>
          </w:tcPr>
          <w:p>
            <w:pPr>
              <w:ind w:left="80"/>
              <w:spacing w:after="0"/>
              <w:rPr>
                <w:sz w:val="20"/>
                <w:szCs w:val="20"/>
                <w:color w:val="auto"/>
              </w:rPr>
            </w:pPr>
            <w:r>
              <w:rPr>
                <w:rFonts w:ascii="Arial" w:cs="Arial" w:eastAsia="Arial" w:hAnsi="Arial"/>
                <w:sz w:val="10"/>
                <w:szCs w:val="10"/>
                <w:b w:val="1"/>
                <w:bCs w:val="1"/>
                <w:color w:val="auto"/>
              </w:rPr>
              <w:t>GAAP</w:t>
            </w:r>
          </w:p>
        </w:tc>
        <w:tc>
          <w:tcPr>
            <w:tcW w:w="420" w:type="dxa"/>
            <w:vAlign w:val="bottom"/>
            <w:tcBorders>
              <w:bottom w:val="single" w:sz="8" w:color="auto"/>
            </w:tcBorders>
            <w:shd w:val="clear" w:color="auto" w:fill="EAEAEA"/>
          </w:tcPr>
          <w:p>
            <w:pPr>
              <w:spacing w:after="0"/>
              <w:rPr>
                <w:sz w:val="11"/>
                <w:szCs w:val="11"/>
                <w:color w:val="auto"/>
              </w:rPr>
            </w:pPr>
          </w:p>
        </w:tc>
        <w:tc>
          <w:tcPr>
            <w:tcW w:w="500" w:type="dxa"/>
            <w:vAlign w:val="bottom"/>
            <w:tcBorders>
              <w:bottom w:val="single" w:sz="8" w:color="auto"/>
            </w:tcBorders>
            <w:shd w:val="clear" w:color="auto" w:fill="EAEAEA"/>
          </w:tcPr>
          <w:p>
            <w:pPr>
              <w:spacing w:after="0"/>
              <w:rPr>
                <w:sz w:val="11"/>
                <w:szCs w:val="11"/>
                <w:color w:val="auto"/>
              </w:rPr>
            </w:pPr>
          </w:p>
        </w:tc>
        <w:tc>
          <w:tcPr>
            <w:tcW w:w="40" w:type="dxa"/>
            <w:vAlign w:val="bottom"/>
            <w:tcBorders>
              <w:bottom w:val="single" w:sz="8" w:color="auto"/>
            </w:tcBorders>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600" w:type="dxa"/>
            <w:vAlign w:val="bottom"/>
            <w:tcBorders>
              <w:bottom w:val="single" w:sz="8" w:color="auto"/>
            </w:tcBorders>
            <w:shd w:val="clear" w:color="auto" w:fill="EAEAEA"/>
          </w:tcPr>
          <w:p>
            <w:pPr>
              <w:spacing w:after="0"/>
              <w:rPr>
                <w:sz w:val="11"/>
                <w:szCs w:val="11"/>
                <w:color w:val="auto"/>
              </w:rPr>
            </w:pPr>
          </w:p>
        </w:tc>
        <w:tc>
          <w:tcPr>
            <w:tcW w:w="60" w:type="dxa"/>
            <w:vAlign w:val="bottom"/>
            <w:tcBorders>
              <w:bottom w:val="single" w:sz="8" w:color="EAEAEA"/>
            </w:tcBorders>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20" w:type="dxa"/>
            <w:vAlign w:val="bottom"/>
            <w:tcBorders>
              <w:bottom w:val="single" w:sz="8" w:color="auto"/>
            </w:tcBorders>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440" w:type="dxa"/>
            <w:vAlign w:val="bottom"/>
            <w:tcBorders>
              <w:bottom w:val="single" w:sz="8" w:color="auto"/>
            </w:tcBorders>
            <w:shd w:val="clear" w:color="auto" w:fill="EAEAEA"/>
          </w:tcPr>
          <w:p>
            <w:pPr>
              <w:spacing w:after="0"/>
              <w:rPr>
                <w:sz w:val="11"/>
                <w:szCs w:val="11"/>
                <w:color w:val="auto"/>
              </w:rPr>
            </w:pPr>
          </w:p>
        </w:tc>
        <w:tc>
          <w:tcPr>
            <w:tcW w:w="60" w:type="dxa"/>
            <w:vAlign w:val="bottom"/>
            <w:tcBorders>
              <w:bottom w:val="single" w:sz="8" w:color="auto"/>
            </w:tcBorders>
            <w:shd w:val="clear" w:color="auto" w:fill="EAEAEA"/>
          </w:tcPr>
          <w:p>
            <w:pPr>
              <w:spacing w:after="0"/>
              <w:rPr>
                <w:sz w:val="11"/>
                <w:szCs w:val="11"/>
                <w:color w:val="auto"/>
              </w:rPr>
            </w:pPr>
          </w:p>
        </w:tc>
        <w:tc>
          <w:tcPr>
            <w:tcW w:w="220" w:type="dxa"/>
            <w:vAlign w:val="bottom"/>
            <w:tcBorders>
              <w:bottom w:val="single" w:sz="8" w:color="auto"/>
            </w:tcBorders>
            <w:shd w:val="clear" w:color="auto" w:fill="EAEAEA"/>
          </w:tcPr>
          <w:p>
            <w:pPr>
              <w:spacing w:after="0"/>
              <w:rPr>
                <w:sz w:val="11"/>
                <w:szCs w:val="11"/>
                <w:color w:val="auto"/>
              </w:rPr>
            </w:pPr>
          </w:p>
        </w:tc>
        <w:tc>
          <w:tcPr>
            <w:tcW w:w="420" w:type="dxa"/>
            <w:vAlign w:val="bottom"/>
            <w:tcBorders>
              <w:bottom w:val="single" w:sz="8" w:color="auto"/>
            </w:tcBorders>
            <w:shd w:val="clear" w:color="auto" w:fill="EAEAEA"/>
          </w:tcPr>
          <w:p>
            <w:pPr>
              <w:spacing w:after="0"/>
              <w:rPr>
                <w:sz w:val="11"/>
                <w:szCs w:val="11"/>
                <w:color w:val="auto"/>
              </w:rPr>
            </w:pPr>
          </w:p>
        </w:tc>
        <w:tc>
          <w:tcPr>
            <w:tcW w:w="280" w:type="dxa"/>
            <w:vAlign w:val="bottom"/>
            <w:tcBorders>
              <w:bottom w:val="single" w:sz="8" w:color="auto"/>
            </w:tcBorders>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160" w:type="dxa"/>
            <w:vAlign w:val="bottom"/>
            <w:tcBorders>
              <w:bottom w:val="single" w:sz="8" w:color="auto"/>
            </w:tcBorders>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760" w:type="dxa"/>
            <w:vAlign w:val="bottom"/>
            <w:tcBorders>
              <w:bottom w:val="single" w:sz="8" w:color="auto"/>
            </w:tcBorders>
            <w:gridSpan w:val="3"/>
            <w:shd w:val="clear" w:color="auto" w:fill="EAEAEA"/>
          </w:tcPr>
          <w:p>
            <w:pPr>
              <w:ind w:left="40"/>
              <w:spacing w:after="0" w:line="135" w:lineRule="exact"/>
              <w:rPr>
                <w:sz w:val="20"/>
                <w:szCs w:val="20"/>
                <w:color w:val="auto"/>
              </w:rPr>
            </w:pPr>
            <w:r>
              <w:rPr>
                <w:rFonts w:ascii="Arial" w:cs="Arial" w:eastAsia="Arial" w:hAnsi="Arial"/>
                <w:sz w:val="10"/>
                <w:szCs w:val="10"/>
                <w:b w:val="1"/>
                <w:bCs w:val="1"/>
                <w:color w:val="auto"/>
              </w:rPr>
              <w:t>Core</w:t>
            </w:r>
            <w:r>
              <w:rPr>
                <w:rFonts w:ascii="Arial" w:cs="Arial" w:eastAsia="Arial" w:hAnsi="Arial"/>
                <w:sz w:val="12"/>
                <w:szCs w:val="12"/>
                <w:b w:val="1"/>
                <w:bCs w:val="1"/>
                <w:color w:val="auto"/>
                <w:vertAlign w:val="superscript"/>
              </w:rPr>
              <w:t>(3)</w:t>
            </w:r>
          </w:p>
        </w:tc>
        <w:tc>
          <w:tcPr>
            <w:tcW w:w="80" w:type="dxa"/>
            <w:vAlign w:val="bottom"/>
            <w:tcBorders>
              <w:bottom w:val="single" w:sz="8" w:color="auto"/>
              <w:right w:val="single" w:sz="8" w:color="EAEAEA"/>
            </w:tcBorders>
            <w:shd w:val="clear" w:color="auto" w:fill="EAEAEA"/>
          </w:tcPr>
          <w:p>
            <w:pPr>
              <w:spacing w:after="0"/>
              <w:rPr>
                <w:sz w:val="11"/>
                <w:szCs w:val="11"/>
                <w:color w:val="auto"/>
              </w:rPr>
            </w:pPr>
          </w:p>
        </w:tc>
        <w:tc>
          <w:tcPr>
            <w:tcW w:w="720" w:type="dxa"/>
            <w:vAlign w:val="bottom"/>
            <w:tcBorders>
              <w:left w:val="single" w:sz="8" w:color="EAEAEA"/>
              <w:bottom w:val="single" w:sz="8" w:color="auto"/>
            </w:tcBorders>
            <w:shd w:val="clear" w:color="auto" w:fill="EAEAEA"/>
          </w:tcPr>
          <w:p>
            <w:pPr>
              <w:spacing w:after="0"/>
              <w:rPr>
                <w:sz w:val="11"/>
                <w:szCs w:val="11"/>
                <w:color w:val="auto"/>
              </w:rPr>
            </w:pPr>
          </w:p>
        </w:tc>
        <w:tc>
          <w:tcPr>
            <w:tcW w:w="820" w:type="dxa"/>
            <w:vAlign w:val="bottom"/>
            <w:tcBorders>
              <w:bottom w:val="single" w:sz="8" w:color="auto"/>
            </w:tcBorders>
            <w:shd w:val="clear" w:color="auto" w:fill="EAEAEA"/>
          </w:tcPr>
          <w:p>
            <w:pPr>
              <w:spacing w:after="0"/>
              <w:rPr>
                <w:sz w:val="11"/>
                <w:szCs w:val="11"/>
                <w:color w:val="auto"/>
              </w:rPr>
            </w:pPr>
          </w:p>
        </w:tc>
        <w:tc>
          <w:tcPr>
            <w:tcW w:w="80" w:type="dxa"/>
            <w:vAlign w:val="bottom"/>
            <w:tcBorders>
              <w:bottom w:val="single" w:sz="8" w:color="EAEAEA"/>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960" w:type="dxa"/>
            <w:vAlign w:val="bottom"/>
            <w:tcBorders>
              <w:bottom w:val="single" w:sz="8" w:color="EAEAEA"/>
              <w:right w:val="single" w:sz="8" w:color="EAEAEA"/>
            </w:tcBorders>
            <w:shd w:val="clear" w:color="auto" w:fill="EAEAEA"/>
          </w:tcPr>
          <w:p>
            <w:pPr>
              <w:spacing w:after="0"/>
              <w:rPr>
                <w:sz w:val="10"/>
                <w:szCs w:val="10"/>
                <w:color w:val="auto"/>
              </w:rPr>
            </w:pPr>
          </w:p>
        </w:tc>
        <w:tc>
          <w:tcPr>
            <w:tcW w:w="100" w:type="dxa"/>
            <w:vAlign w:val="bottom"/>
            <w:tcBorders>
              <w:bottom w:val="single" w:sz="8" w:color="EAEAEA"/>
            </w:tcBorders>
            <w:shd w:val="clear" w:color="auto" w:fill="EAEAEA"/>
          </w:tcPr>
          <w:p>
            <w:pPr>
              <w:spacing w:after="0"/>
              <w:rPr>
                <w:sz w:val="10"/>
                <w:szCs w:val="10"/>
                <w:color w:val="auto"/>
              </w:rPr>
            </w:pPr>
          </w:p>
        </w:tc>
        <w:tc>
          <w:tcPr>
            <w:tcW w:w="1000" w:type="dxa"/>
            <w:vAlign w:val="bottom"/>
            <w:tcBorders>
              <w:bottom w:val="single" w:sz="8" w:color="auto"/>
            </w:tcBorders>
            <w:shd w:val="clear" w:color="auto" w:fill="EAEAEA"/>
          </w:tcPr>
          <w:p>
            <w:pPr>
              <w:spacing w:after="0"/>
              <w:rPr>
                <w:sz w:val="10"/>
                <w:szCs w:val="10"/>
                <w:color w:val="auto"/>
              </w:rPr>
            </w:pPr>
          </w:p>
        </w:tc>
        <w:tc>
          <w:tcPr>
            <w:tcW w:w="960" w:type="dxa"/>
            <w:vAlign w:val="bottom"/>
            <w:tcBorders>
              <w:bottom w:val="single" w:sz="8" w:color="auto"/>
            </w:tcBorders>
            <w:gridSpan w:val="4"/>
            <w:shd w:val="clear" w:color="auto" w:fill="EAEAEA"/>
          </w:tcPr>
          <w:p>
            <w:pPr>
              <w:spacing w:after="0"/>
              <w:rPr>
                <w:sz w:val="20"/>
                <w:szCs w:val="20"/>
                <w:color w:val="auto"/>
              </w:rPr>
            </w:pPr>
            <w:r>
              <w:rPr>
                <w:rFonts w:ascii="Arial" w:cs="Arial" w:eastAsia="Arial" w:hAnsi="Arial"/>
                <w:sz w:val="10"/>
                <w:szCs w:val="10"/>
                <w:b w:val="1"/>
                <w:bCs w:val="1"/>
                <w:color w:val="auto"/>
              </w:rPr>
              <w:t>Quarter Ended</w:t>
            </w:r>
          </w:p>
        </w:tc>
        <w:tc>
          <w:tcPr>
            <w:tcW w:w="500" w:type="dxa"/>
            <w:vAlign w:val="bottom"/>
            <w:tcBorders>
              <w:bottom w:val="single" w:sz="8" w:color="auto"/>
            </w:tcBorders>
            <w:shd w:val="clear" w:color="auto" w:fill="EAEAEA"/>
          </w:tcPr>
          <w:p>
            <w:pPr>
              <w:spacing w:after="0"/>
              <w:rPr>
                <w:sz w:val="10"/>
                <w:szCs w:val="10"/>
                <w:color w:val="auto"/>
              </w:rPr>
            </w:pPr>
          </w:p>
        </w:tc>
        <w:tc>
          <w:tcPr>
            <w:tcW w:w="200" w:type="dxa"/>
            <w:vAlign w:val="bottom"/>
            <w:tcBorders>
              <w:bottom w:val="single" w:sz="8" w:color="auto"/>
            </w:tcBorders>
            <w:shd w:val="clear" w:color="auto" w:fill="EAEAEA"/>
          </w:tcPr>
          <w:p>
            <w:pPr>
              <w:spacing w:after="0"/>
              <w:rPr>
                <w:sz w:val="10"/>
                <w:szCs w:val="10"/>
                <w:color w:val="auto"/>
              </w:rPr>
            </w:pPr>
          </w:p>
        </w:tc>
        <w:tc>
          <w:tcPr>
            <w:tcW w:w="60" w:type="dxa"/>
            <w:vAlign w:val="bottom"/>
            <w:tcBorders>
              <w:bottom w:val="single" w:sz="8" w:color="EAEAEA"/>
            </w:tcBorders>
            <w:shd w:val="clear" w:color="auto" w:fill="EAEAEA"/>
          </w:tcPr>
          <w:p>
            <w:pPr>
              <w:spacing w:after="0"/>
              <w:rPr>
                <w:sz w:val="10"/>
                <w:szCs w:val="10"/>
                <w:color w:val="auto"/>
              </w:rPr>
            </w:pPr>
          </w:p>
        </w:tc>
        <w:tc>
          <w:tcPr>
            <w:tcW w:w="420" w:type="dxa"/>
            <w:vAlign w:val="bottom"/>
            <w:tcBorders>
              <w:bottom w:val="single" w:sz="8" w:color="auto"/>
            </w:tcBorders>
            <w:shd w:val="clear" w:color="auto" w:fill="EAEAEA"/>
          </w:tcPr>
          <w:p>
            <w:pPr>
              <w:spacing w:after="0"/>
              <w:rPr>
                <w:sz w:val="10"/>
                <w:szCs w:val="10"/>
                <w:color w:val="auto"/>
              </w:rPr>
            </w:pPr>
          </w:p>
        </w:tc>
        <w:tc>
          <w:tcPr>
            <w:tcW w:w="1220" w:type="dxa"/>
            <w:vAlign w:val="bottom"/>
            <w:tcBorders>
              <w:bottom w:val="single" w:sz="8" w:color="auto"/>
            </w:tcBorders>
            <w:gridSpan w:val="4"/>
            <w:shd w:val="clear" w:color="auto" w:fill="EAEAEA"/>
          </w:tcPr>
          <w:p>
            <w:pPr>
              <w:ind w:left="220"/>
              <w:spacing w:after="0"/>
              <w:rPr>
                <w:sz w:val="20"/>
                <w:szCs w:val="20"/>
                <w:color w:val="auto"/>
              </w:rPr>
            </w:pPr>
            <w:r>
              <w:rPr>
                <w:rFonts w:ascii="Arial" w:cs="Arial" w:eastAsia="Arial" w:hAnsi="Arial"/>
                <w:sz w:val="10"/>
                <w:szCs w:val="10"/>
                <w:b w:val="1"/>
                <w:bCs w:val="1"/>
                <w:color w:val="auto"/>
              </w:rPr>
              <w:t>Change</w:t>
            </w:r>
          </w:p>
        </w:tc>
        <w:tc>
          <w:tcPr>
            <w:tcW w:w="60" w:type="dxa"/>
            <w:vAlign w:val="bottom"/>
            <w:tcBorders>
              <w:bottom w:val="single" w:sz="8" w:color="EAEAEA"/>
            </w:tcBorders>
            <w:shd w:val="clear" w:color="auto" w:fill="EAEAEA"/>
          </w:tcPr>
          <w:p>
            <w:pPr>
              <w:spacing w:after="0"/>
              <w:rPr>
                <w:sz w:val="10"/>
                <w:szCs w:val="10"/>
                <w:color w:val="auto"/>
              </w:rPr>
            </w:pPr>
          </w:p>
        </w:tc>
        <w:tc>
          <w:tcPr>
            <w:tcW w:w="200" w:type="dxa"/>
            <w:vAlign w:val="bottom"/>
            <w:tcBorders>
              <w:bottom w:val="single" w:sz="8" w:color="auto"/>
            </w:tcBorders>
            <w:gridSpan w:val="3"/>
            <w:shd w:val="clear" w:color="auto" w:fill="EAEAEA"/>
          </w:tcPr>
          <w:p>
            <w:pPr>
              <w:spacing w:after="0"/>
              <w:rPr>
                <w:sz w:val="10"/>
                <w:szCs w:val="10"/>
                <w:color w:val="auto"/>
              </w:rPr>
            </w:pPr>
          </w:p>
        </w:tc>
        <w:tc>
          <w:tcPr>
            <w:tcW w:w="80" w:type="dxa"/>
            <w:vAlign w:val="bottom"/>
            <w:tcBorders>
              <w:bottom w:val="single" w:sz="8" w:color="auto"/>
            </w:tcBorders>
            <w:shd w:val="clear" w:color="auto" w:fill="EAEAEA"/>
          </w:tcPr>
          <w:p>
            <w:pPr>
              <w:spacing w:after="0"/>
              <w:rPr>
                <w:sz w:val="10"/>
                <w:szCs w:val="10"/>
                <w:color w:val="auto"/>
              </w:rPr>
            </w:pPr>
          </w:p>
        </w:tc>
        <w:tc>
          <w:tcPr>
            <w:tcW w:w="440" w:type="dxa"/>
            <w:vAlign w:val="bottom"/>
            <w:tcBorders>
              <w:bottom w:val="single" w:sz="8" w:color="auto"/>
            </w:tcBorders>
            <w:shd w:val="clear" w:color="auto" w:fill="EAEAEA"/>
          </w:tcPr>
          <w:p>
            <w:pPr>
              <w:spacing w:after="0"/>
              <w:rPr>
                <w:sz w:val="10"/>
                <w:szCs w:val="10"/>
                <w:color w:val="auto"/>
              </w:rPr>
            </w:pPr>
          </w:p>
        </w:tc>
        <w:tc>
          <w:tcPr>
            <w:tcW w:w="60" w:type="dxa"/>
            <w:vAlign w:val="bottom"/>
            <w:tcBorders>
              <w:bottom w:val="single" w:sz="8" w:color="auto"/>
            </w:tcBorders>
            <w:shd w:val="clear" w:color="auto" w:fill="EAEAEA"/>
          </w:tcPr>
          <w:p>
            <w:pPr>
              <w:spacing w:after="0"/>
              <w:rPr>
                <w:sz w:val="10"/>
                <w:szCs w:val="10"/>
                <w:color w:val="auto"/>
              </w:rPr>
            </w:pPr>
          </w:p>
        </w:tc>
        <w:tc>
          <w:tcPr>
            <w:tcW w:w="220" w:type="dxa"/>
            <w:vAlign w:val="bottom"/>
            <w:tcBorders>
              <w:bottom w:val="single" w:sz="8" w:color="auto"/>
            </w:tcBorders>
            <w:shd w:val="clear" w:color="auto" w:fill="EAEAEA"/>
          </w:tcPr>
          <w:p>
            <w:pPr>
              <w:spacing w:after="0"/>
              <w:rPr>
                <w:sz w:val="10"/>
                <w:szCs w:val="10"/>
                <w:color w:val="auto"/>
              </w:rPr>
            </w:pPr>
          </w:p>
        </w:tc>
        <w:tc>
          <w:tcPr>
            <w:tcW w:w="780" w:type="dxa"/>
            <w:vAlign w:val="bottom"/>
            <w:tcBorders>
              <w:bottom w:val="single" w:sz="8" w:color="auto"/>
            </w:tcBorders>
            <w:gridSpan w:val="3"/>
            <w:shd w:val="clear" w:color="auto" w:fill="EAEAEA"/>
          </w:tcPr>
          <w:p>
            <w:pPr>
              <w:ind w:left="20"/>
              <w:spacing w:after="0"/>
              <w:rPr>
                <w:sz w:val="20"/>
                <w:szCs w:val="20"/>
                <w:color w:val="auto"/>
              </w:rPr>
            </w:pPr>
            <w:r>
              <w:rPr>
                <w:rFonts w:ascii="Arial" w:cs="Arial" w:eastAsia="Arial" w:hAnsi="Arial"/>
                <w:sz w:val="10"/>
                <w:szCs w:val="10"/>
                <w:b w:val="1"/>
                <w:bCs w:val="1"/>
                <w:color w:val="auto"/>
              </w:rPr>
              <w:t>Quarter Ended</w:t>
            </w:r>
          </w:p>
        </w:tc>
        <w:tc>
          <w:tcPr>
            <w:tcW w:w="160" w:type="dxa"/>
            <w:vAlign w:val="bottom"/>
            <w:tcBorders>
              <w:bottom w:val="single" w:sz="8" w:color="auto"/>
            </w:tcBorders>
            <w:shd w:val="clear" w:color="auto" w:fill="EAEAEA"/>
          </w:tcPr>
          <w:p>
            <w:pPr>
              <w:spacing w:after="0"/>
              <w:rPr>
                <w:sz w:val="10"/>
                <w:szCs w:val="10"/>
                <w:color w:val="auto"/>
              </w:rPr>
            </w:pPr>
          </w:p>
        </w:tc>
        <w:tc>
          <w:tcPr>
            <w:tcW w:w="80" w:type="dxa"/>
            <w:vAlign w:val="bottom"/>
            <w:tcBorders>
              <w:bottom w:val="single" w:sz="8" w:color="auto"/>
            </w:tcBorders>
            <w:shd w:val="clear" w:color="auto" w:fill="EAEAEA"/>
          </w:tcPr>
          <w:p>
            <w:pPr>
              <w:spacing w:after="0"/>
              <w:rPr>
                <w:sz w:val="10"/>
                <w:szCs w:val="10"/>
                <w:color w:val="auto"/>
              </w:rPr>
            </w:pPr>
          </w:p>
        </w:tc>
        <w:tc>
          <w:tcPr>
            <w:tcW w:w="680" w:type="dxa"/>
            <w:vAlign w:val="bottom"/>
            <w:tcBorders>
              <w:bottom w:val="single" w:sz="8" w:color="auto"/>
            </w:tcBorders>
            <w:shd w:val="clear" w:color="auto" w:fill="EAEAEA"/>
          </w:tcPr>
          <w:p>
            <w:pPr>
              <w:spacing w:after="0"/>
              <w:rPr>
                <w:sz w:val="10"/>
                <w:szCs w:val="10"/>
                <w:color w:val="auto"/>
              </w:rPr>
            </w:pPr>
          </w:p>
        </w:tc>
        <w:tc>
          <w:tcPr>
            <w:tcW w:w="60" w:type="dxa"/>
            <w:vAlign w:val="bottom"/>
            <w:tcBorders>
              <w:bottom w:val="single" w:sz="8" w:color="EAEAEA"/>
            </w:tcBorders>
            <w:shd w:val="clear" w:color="auto" w:fill="EAEAEA"/>
          </w:tcPr>
          <w:p>
            <w:pPr>
              <w:spacing w:after="0"/>
              <w:rPr>
                <w:sz w:val="10"/>
                <w:szCs w:val="10"/>
                <w:color w:val="auto"/>
              </w:rPr>
            </w:pPr>
          </w:p>
        </w:tc>
        <w:tc>
          <w:tcPr>
            <w:tcW w:w="20" w:type="dxa"/>
            <w:vAlign w:val="bottom"/>
            <w:tcBorders>
              <w:bottom w:val="single" w:sz="8" w:color="auto"/>
            </w:tcBorders>
            <w:shd w:val="clear" w:color="auto" w:fill="EAEAEA"/>
          </w:tcPr>
          <w:p>
            <w:pPr>
              <w:spacing w:after="0"/>
              <w:rPr>
                <w:sz w:val="10"/>
                <w:szCs w:val="10"/>
                <w:color w:val="auto"/>
              </w:rPr>
            </w:pPr>
          </w:p>
        </w:tc>
        <w:tc>
          <w:tcPr>
            <w:tcW w:w="80" w:type="dxa"/>
            <w:vAlign w:val="bottom"/>
            <w:tcBorders>
              <w:bottom w:val="single" w:sz="8" w:color="auto"/>
              <w:right w:val="single" w:sz="8" w:color="EAEAEA"/>
            </w:tcBorders>
            <w:shd w:val="clear" w:color="auto" w:fill="EAEAEA"/>
          </w:tcPr>
          <w:p>
            <w:pPr>
              <w:spacing w:after="0"/>
              <w:rPr>
                <w:sz w:val="10"/>
                <w:szCs w:val="10"/>
                <w:color w:val="auto"/>
              </w:rPr>
            </w:pPr>
          </w:p>
        </w:tc>
        <w:tc>
          <w:tcPr>
            <w:tcW w:w="1620" w:type="dxa"/>
            <w:vAlign w:val="bottom"/>
            <w:tcBorders>
              <w:left w:val="single" w:sz="8" w:color="EAEAEA"/>
              <w:bottom w:val="single" w:sz="8" w:color="auto"/>
            </w:tcBorders>
            <w:gridSpan w:val="3"/>
            <w:shd w:val="clear" w:color="auto" w:fill="EAEAEA"/>
          </w:tcPr>
          <w:p>
            <w:pPr>
              <w:ind w:left="54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125"/>
        </w:trPr>
        <w:tc>
          <w:tcPr>
            <w:tcW w:w="1960" w:type="dxa"/>
            <w:vAlign w:val="bottom"/>
            <w:tcBorders>
              <w:right w:val="single" w:sz="8" w:color="EAEAEA"/>
            </w:tcBorders>
            <w:shd w:val="clear" w:color="auto" w:fill="EAEAEA"/>
          </w:tcPr>
          <w:p>
            <w:pPr>
              <w:spacing w:after="0"/>
              <w:rPr>
                <w:sz w:val="20"/>
                <w:szCs w:val="20"/>
                <w:color w:val="auto"/>
              </w:rPr>
            </w:pPr>
            <w:r>
              <w:rPr>
                <w:rFonts w:ascii="Arial" w:cs="Arial" w:eastAsia="Arial" w:hAnsi="Arial"/>
                <w:sz w:val="7"/>
                <w:szCs w:val="7"/>
                <w:color w:val="auto"/>
              </w:rPr>
              <w:t>(in millions, except per share data)</w:t>
            </w:r>
          </w:p>
        </w:tc>
        <w:tc>
          <w:tcPr>
            <w:tcW w:w="100" w:type="dxa"/>
            <w:vAlign w:val="bottom"/>
            <w:shd w:val="clear" w:color="auto" w:fill="EAEAEA"/>
          </w:tcPr>
          <w:p>
            <w:pPr>
              <w:spacing w:after="0"/>
              <w:rPr>
                <w:sz w:val="10"/>
                <w:szCs w:val="10"/>
                <w:color w:val="auto"/>
              </w:rPr>
            </w:pPr>
          </w:p>
        </w:tc>
        <w:tc>
          <w:tcPr>
            <w:tcW w:w="1100" w:type="dxa"/>
            <w:vAlign w:val="bottom"/>
            <w:tcBorders>
              <w:bottom w:val="single" w:sz="8" w:color="auto"/>
            </w:tcBorders>
            <w:gridSpan w:val="2"/>
            <w:shd w:val="clear" w:color="auto" w:fill="EAEAEA"/>
          </w:tcPr>
          <w:p>
            <w:pPr>
              <w:jc w:val="center"/>
              <w:ind w:right="212"/>
              <w:spacing w:after="0"/>
              <w:rPr>
                <w:sz w:val="20"/>
                <w:szCs w:val="20"/>
                <w:color w:val="auto"/>
              </w:rPr>
            </w:pPr>
            <w:r>
              <w:rPr>
                <w:rFonts w:ascii="Arial" w:cs="Arial" w:eastAsia="Arial" w:hAnsi="Arial"/>
                <w:sz w:val="10"/>
                <w:szCs w:val="10"/>
                <w:b w:val="1"/>
                <w:bCs w:val="1"/>
                <w:color w:val="auto"/>
                <w:w w:val="97"/>
              </w:rPr>
              <w:t>3Q26</w:t>
            </w:r>
          </w:p>
        </w:tc>
        <w:tc>
          <w:tcPr>
            <w:tcW w:w="860" w:type="dxa"/>
            <w:vAlign w:val="bottom"/>
            <w:tcBorders>
              <w:bottom w:val="single" w:sz="8" w:color="auto"/>
            </w:tcBorders>
            <w:gridSpan w:val="3"/>
            <w:shd w:val="clear" w:color="auto" w:fill="EAEAEA"/>
          </w:tcPr>
          <w:p>
            <w:pPr>
              <w:jc w:val="center"/>
              <w:ind w:right="400"/>
              <w:spacing w:after="0"/>
              <w:rPr>
                <w:sz w:val="20"/>
                <w:szCs w:val="20"/>
                <w:color w:val="auto"/>
              </w:rPr>
            </w:pPr>
            <w:r>
              <w:rPr>
                <w:rFonts w:ascii="Arial" w:cs="Arial" w:eastAsia="Arial" w:hAnsi="Arial"/>
                <w:sz w:val="10"/>
                <w:szCs w:val="10"/>
                <w:b w:val="1"/>
                <w:bCs w:val="1"/>
                <w:color w:val="auto"/>
                <w:w w:val="89"/>
              </w:rPr>
              <w:t>2Q26</w:t>
            </w:r>
          </w:p>
        </w:tc>
        <w:tc>
          <w:tcPr>
            <w:tcW w:w="700" w:type="dxa"/>
            <w:vAlign w:val="bottom"/>
            <w:tcBorders>
              <w:bottom w:val="single" w:sz="8" w:color="auto"/>
            </w:tcBorders>
            <w:gridSpan w:val="2"/>
            <w:shd w:val="clear" w:color="auto" w:fill="EAEAEA"/>
          </w:tcPr>
          <w:p>
            <w:pPr>
              <w:jc w:val="center"/>
              <w:ind w:right="92"/>
              <w:spacing w:after="0"/>
              <w:rPr>
                <w:sz w:val="20"/>
                <w:szCs w:val="20"/>
                <w:color w:val="auto"/>
              </w:rPr>
            </w:pPr>
            <w:r>
              <w:rPr>
                <w:rFonts w:ascii="Arial" w:cs="Arial" w:eastAsia="Arial" w:hAnsi="Arial"/>
                <w:sz w:val="10"/>
                <w:szCs w:val="10"/>
                <w:b w:val="1"/>
                <w:bCs w:val="1"/>
                <w:color w:val="auto"/>
                <w:w w:val="97"/>
              </w:rPr>
              <w:t>3Q25</w:t>
            </w:r>
          </w:p>
        </w:tc>
        <w:tc>
          <w:tcPr>
            <w:tcW w:w="60" w:type="dxa"/>
            <w:vAlign w:val="bottom"/>
            <w:shd w:val="clear" w:color="auto" w:fill="EAEAEA"/>
          </w:tcPr>
          <w:p>
            <w:pPr>
              <w:spacing w:after="0"/>
              <w:rPr>
                <w:sz w:val="10"/>
                <w:szCs w:val="10"/>
                <w:color w:val="auto"/>
              </w:rPr>
            </w:pPr>
          </w:p>
        </w:tc>
        <w:tc>
          <w:tcPr>
            <w:tcW w:w="920" w:type="dxa"/>
            <w:vAlign w:val="bottom"/>
            <w:tcBorders>
              <w:bottom w:val="single" w:sz="8" w:color="auto"/>
            </w:tcBorders>
            <w:gridSpan w:val="2"/>
            <w:shd w:val="clear" w:color="auto" w:fill="EAEAEA"/>
          </w:tcPr>
          <w:p>
            <w:pPr>
              <w:jc w:val="center"/>
              <w:ind w:right="72"/>
              <w:spacing w:after="0"/>
              <w:rPr>
                <w:sz w:val="20"/>
                <w:szCs w:val="20"/>
                <w:color w:val="auto"/>
              </w:rPr>
            </w:pPr>
            <w:r>
              <w:rPr>
                <w:rFonts w:ascii="Arial" w:cs="Arial" w:eastAsia="Arial" w:hAnsi="Arial"/>
                <w:sz w:val="10"/>
                <w:szCs w:val="10"/>
                <w:b w:val="1"/>
                <w:bCs w:val="1"/>
                <w:color w:val="auto"/>
                <w:w w:val="97"/>
              </w:rPr>
              <w:t>3Q26 vs 2Q26</w:t>
            </w:r>
          </w:p>
        </w:tc>
        <w:tc>
          <w:tcPr>
            <w:tcW w:w="720" w:type="dxa"/>
            <w:vAlign w:val="bottom"/>
            <w:tcBorders>
              <w:bottom w:val="single" w:sz="8" w:color="auto"/>
            </w:tcBorders>
            <w:gridSpan w:val="3"/>
            <w:shd w:val="clear" w:color="auto" w:fill="EAEAEA"/>
          </w:tcPr>
          <w:p>
            <w:pPr>
              <w:jc w:val="center"/>
              <w:ind w:right="12"/>
              <w:spacing w:after="0"/>
              <w:rPr>
                <w:sz w:val="20"/>
                <w:szCs w:val="20"/>
                <w:color w:val="auto"/>
              </w:rPr>
            </w:pPr>
            <w:r>
              <w:rPr>
                <w:rFonts w:ascii="Arial" w:cs="Arial" w:eastAsia="Arial" w:hAnsi="Arial"/>
                <w:sz w:val="10"/>
                <w:szCs w:val="10"/>
                <w:b w:val="1"/>
                <w:bCs w:val="1"/>
                <w:color w:val="auto"/>
                <w:w w:val="94"/>
              </w:rPr>
              <w:t>3Q26 vs 3Q25</w:t>
            </w:r>
          </w:p>
        </w:tc>
        <w:tc>
          <w:tcPr>
            <w:tcW w:w="60" w:type="dxa"/>
            <w:vAlign w:val="bottom"/>
            <w:shd w:val="clear" w:color="auto" w:fill="EAEAEA"/>
          </w:tcPr>
          <w:p>
            <w:pPr>
              <w:spacing w:after="0"/>
              <w:rPr>
                <w:sz w:val="10"/>
                <w:szCs w:val="10"/>
                <w:color w:val="auto"/>
              </w:rPr>
            </w:pPr>
          </w:p>
        </w:tc>
        <w:tc>
          <w:tcPr>
            <w:tcW w:w="200" w:type="dxa"/>
            <w:vAlign w:val="bottom"/>
            <w:tcBorders>
              <w:bottom w:val="single" w:sz="8" w:color="auto"/>
            </w:tcBorders>
            <w:gridSpan w:val="3"/>
            <w:shd w:val="clear" w:color="auto" w:fill="EAEAEA"/>
          </w:tcPr>
          <w:p>
            <w:pPr>
              <w:spacing w:after="0"/>
              <w:rPr>
                <w:sz w:val="10"/>
                <w:szCs w:val="10"/>
                <w:color w:val="auto"/>
              </w:rPr>
            </w:pPr>
          </w:p>
        </w:tc>
        <w:tc>
          <w:tcPr>
            <w:tcW w:w="80" w:type="dxa"/>
            <w:vAlign w:val="bottom"/>
            <w:tcBorders>
              <w:bottom w:val="single" w:sz="8" w:color="auto"/>
            </w:tcBorders>
            <w:shd w:val="clear" w:color="auto" w:fill="EAEAEA"/>
          </w:tcPr>
          <w:p>
            <w:pPr>
              <w:spacing w:after="0"/>
              <w:rPr>
                <w:sz w:val="10"/>
                <w:szCs w:val="10"/>
                <w:color w:val="auto"/>
              </w:rPr>
            </w:pPr>
          </w:p>
        </w:tc>
        <w:tc>
          <w:tcPr>
            <w:tcW w:w="500" w:type="dxa"/>
            <w:vAlign w:val="bottom"/>
            <w:tcBorders>
              <w:bottom w:val="single" w:sz="8" w:color="auto"/>
            </w:tcBorders>
            <w:gridSpan w:val="2"/>
            <w:shd w:val="clear" w:color="auto" w:fill="EAEAEA"/>
          </w:tcPr>
          <w:p>
            <w:pPr>
              <w:jc w:val="center"/>
              <w:ind w:right="132"/>
              <w:spacing w:after="0"/>
              <w:rPr>
                <w:sz w:val="20"/>
                <w:szCs w:val="20"/>
                <w:color w:val="auto"/>
              </w:rPr>
            </w:pPr>
            <w:r>
              <w:rPr>
                <w:rFonts w:ascii="Arial" w:cs="Arial" w:eastAsia="Arial" w:hAnsi="Arial"/>
                <w:sz w:val="10"/>
                <w:szCs w:val="10"/>
                <w:b w:val="1"/>
                <w:bCs w:val="1"/>
                <w:color w:val="auto"/>
                <w:w w:val="97"/>
              </w:rPr>
              <w:t>3Q26</w:t>
            </w:r>
          </w:p>
        </w:tc>
        <w:tc>
          <w:tcPr>
            <w:tcW w:w="220" w:type="dxa"/>
            <w:vAlign w:val="bottom"/>
            <w:tcBorders>
              <w:bottom w:val="single" w:sz="8" w:color="auto"/>
            </w:tcBorders>
            <w:shd w:val="clear" w:color="auto" w:fill="EAEAEA"/>
          </w:tcPr>
          <w:p>
            <w:pPr>
              <w:spacing w:after="0"/>
              <w:rPr>
                <w:sz w:val="10"/>
                <w:szCs w:val="10"/>
                <w:color w:val="auto"/>
              </w:rPr>
            </w:pPr>
          </w:p>
        </w:tc>
        <w:tc>
          <w:tcPr>
            <w:tcW w:w="780" w:type="dxa"/>
            <w:vAlign w:val="bottom"/>
            <w:tcBorders>
              <w:bottom w:val="single" w:sz="8" w:color="auto"/>
            </w:tcBorders>
            <w:gridSpan w:val="3"/>
            <w:shd w:val="clear" w:color="auto" w:fill="EAEAEA"/>
          </w:tcPr>
          <w:p>
            <w:pPr>
              <w:jc w:val="center"/>
              <w:ind w:right="80"/>
              <w:spacing w:after="0"/>
              <w:rPr>
                <w:sz w:val="20"/>
                <w:szCs w:val="20"/>
                <w:color w:val="auto"/>
              </w:rPr>
            </w:pPr>
            <w:r>
              <w:rPr>
                <w:rFonts w:ascii="Arial" w:cs="Arial" w:eastAsia="Arial" w:hAnsi="Arial"/>
                <w:sz w:val="10"/>
                <w:szCs w:val="10"/>
                <w:b w:val="1"/>
                <w:bCs w:val="1"/>
                <w:color w:val="auto"/>
                <w:w w:val="89"/>
              </w:rPr>
              <w:t>2Q26</w:t>
            </w:r>
          </w:p>
        </w:tc>
        <w:tc>
          <w:tcPr>
            <w:tcW w:w="160" w:type="dxa"/>
            <w:vAlign w:val="bottom"/>
            <w:tcBorders>
              <w:bottom w:val="single" w:sz="8" w:color="auto"/>
            </w:tcBorders>
            <w:shd w:val="clear" w:color="auto" w:fill="EAEAEA"/>
          </w:tcPr>
          <w:p>
            <w:pPr>
              <w:spacing w:after="0"/>
              <w:rPr>
                <w:sz w:val="10"/>
                <w:szCs w:val="10"/>
                <w:color w:val="auto"/>
              </w:rPr>
            </w:pPr>
          </w:p>
        </w:tc>
        <w:tc>
          <w:tcPr>
            <w:tcW w:w="80" w:type="dxa"/>
            <w:vAlign w:val="bottom"/>
            <w:tcBorders>
              <w:bottom w:val="single" w:sz="8" w:color="auto"/>
            </w:tcBorders>
            <w:shd w:val="clear" w:color="auto" w:fill="EAEAEA"/>
          </w:tcPr>
          <w:p>
            <w:pPr>
              <w:spacing w:after="0"/>
              <w:rPr>
                <w:sz w:val="10"/>
                <w:szCs w:val="10"/>
                <w:color w:val="auto"/>
              </w:rPr>
            </w:pPr>
          </w:p>
        </w:tc>
        <w:tc>
          <w:tcPr>
            <w:tcW w:w="680" w:type="dxa"/>
            <w:vAlign w:val="bottom"/>
            <w:tcBorders>
              <w:bottom w:val="single" w:sz="8" w:color="auto"/>
            </w:tcBorders>
            <w:shd w:val="clear" w:color="auto" w:fill="EAEAEA"/>
          </w:tcPr>
          <w:p>
            <w:pPr>
              <w:jc w:val="center"/>
              <w:ind w:right="132"/>
              <w:spacing w:after="0"/>
              <w:rPr>
                <w:sz w:val="20"/>
                <w:szCs w:val="20"/>
                <w:color w:val="auto"/>
              </w:rPr>
            </w:pPr>
            <w:r>
              <w:rPr>
                <w:rFonts w:ascii="Arial" w:cs="Arial" w:eastAsia="Arial" w:hAnsi="Arial"/>
                <w:sz w:val="10"/>
                <w:szCs w:val="10"/>
                <w:b w:val="1"/>
                <w:bCs w:val="1"/>
                <w:color w:val="auto"/>
                <w:w w:val="89"/>
              </w:rPr>
              <w:t>3Q25</w:t>
            </w:r>
          </w:p>
        </w:tc>
        <w:tc>
          <w:tcPr>
            <w:tcW w:w="60" w:type="dxa"/>
            <w:vAlign w:val="bottom"/>
            <w:shd w:val="clear" w:color="auto" w:fill="EAEAEA"/>
          </w:tcPr>
          <w:p>
            <w:pPr>
              <w:spacing w:after="0"/>
              <w:rPr>
                <w:sz w:val="10"/>
                <w:szCs w:val="10"/>
                <w:color w:val="auto"/>
              </w:rPr>
            </w:pPr>
          </w:p>
        </w:tc>
        <w:tc>
          <w:tcPr>
            <w:tcW w:w="20" w:type="dxa"/>
            <w:vAlign w:val="bottom"/>
            <w:tcBorders>
              <w:bottom w:val="single" w:sz="8" w:color="auto"/>
            </w:tcBorders>
            <w:shd w:val="clear" w:color="auto" w:fill="EAEAEA"/>
          </w:tcPr>
          <w:p>
            <w:pPr>
              <w:spacing w:after="0"/>
              <w:rPr>
                <w:sz w:val="10"/>
                <w:szCs w:val="10"/>
                <w:color w:val="auto"/>
              </w:rPr>
            </w:pPr>
          </w:p>
        </w:tc>
        <w:tc>
          <w:tcPr>
            <w:tcW w:w="80" w:type="dxa"/>
            <w:vAlign w:val="bottom"/>
            <w:tcBorders>
              <w:bottom w:val="single" w:sz="8" w:color="auto"/>
              <w:right w:val="single" w:sz="8" w:color="EAEAEA"/>
            </w:tcBorders>
            <w:shd w:val="clear" w:color="auto" w:fill="EAEAEA"/>
          </w:tcPr>
          <w:p>
            <w:pPr>
              <w:spacing w:after="0"/>
              <w:rPr>
                <w:sz w:val="10"/>
                <w:szCs w:val="10"/>
                <w:color w:val="auto"/>
              </w:rPr>
            </w:pPr>
          </w:p>
        </w:tc>
        <w:tc>
          <w:tcPr>
            <w:tcW w:w="720" w:type="dxa"/>
            <w:vAlign w:val="bottom"/>
            <w:tcBorders>
              <w:left w:val="single" w:sz="8" w:color="EAEAEA"/>
              <w:bottom w:val="single" w:sz="8" w:color="auto"/>
            </w:tcBorders>
            <w:shd w:val="clear" w:color="auto" w:fill="EAEAEA"/>
          </w:tcPr>
          <w:p>
            <w:pPr>
              <w:jc w:val="center"/>
              <w:ind w:right="52"/>
              <w:spacing w:after="0"/>
              <w:rPr>
                <w:sz w:val="20"/>
                <w:szCs w:val="20"/>
                <w:color w:val="auto"/>
              </w:rPr>
            </w:pPr>
            <w:r>
              <w:rPr>
                <w:rFonts w:ascii="Arial" w:cs="Arial" w:eastAsia="Arial" w:hAnsi="Arial"/>
                <w:sz w:val="10"/>
                <w:szCs w:val="10"/>
                <w:b w:val="1"/>
                <w:bCs w:val="1"/>
                <w:color w:val="auto"/>
                <w:w w:val="94"/>
              </w:rPr>
              <w:t>3Q26 vs 2Q26</w:t>
            </w:r>
          </w:p>
        </w:tc>
        <w:tc>
          <w:tcPr>
            <w:tcW w:w="820" w:type="dxa"/>
            <w:vAlign w:val="bottom"/>
            <w:tcBorders>
              <w:bottom w:val="single" w:sz="8" w:color="auto"/>
            </w:tcBorders>
            <w:shd w:val="clear" w:color="auto" w:fill="EAEAEA"/>
          </w:tcPr>
          <w:p>
            <w:pPr>
              <w:jc w:val="center"/>
              <w:spacing w:after="0"/>
              <w:rPr>
                <w:sz w:val="20"/>
                <w:szCs w:val="20"/>
                <w:color w:val="auto"/>
              </w:rPr>
            </w:pPr>
            <w:r>
              <w:rPr>
                <w:rFonts w:ascii="Arial" w:cs="Arial" w:eastAsia="Arial" w:hAnsi="Arial"/>
                <w:sz w:val="10"/>
                <w:szCs w:val="10"/>
                <w:b w:val="1"/>
                <w:bCs w:val="1"/>
                <w:color w:val="auto"/>
                <w:w w:val="94"/>
              </w:rPr>
              <w:t>3Q26 vs 3Q25</w:t>
            </w:r>
          </w:p>
        </w:tc>
        <w:tc>
          <w:tcPr>
            <w:tcW w:w="80" w:type="dxa"/>
            <w:vAlign w:val="bottom"/>
            <w:shd w:val="clear" w:color="auto" w:fill="EAEAEA"/>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60" w:type="dxa"/>
            <w:vAlign w:val="bottom"/>
          </w:tcPr>
          <w:p>
            <w:pPr>
              <w:spacing w:after="0" w:line="113" w:lineRule="exact"/>
              <w:rPr>
                <w:sz w:val="20"/>
                <w:szCs w:val="20"/>
                <w:color w:val="auto"/>
              </w:rPr>
            </w:pPr>
            <w:r>
              <w:rPr>
                <w:rFonts w:ascii="Arial" w:cs="Arial" w:eastAsia="Arial" w:hAnsi="Arial"/>
                <w:sz w:val="10"/>
                <w:szCs w:val="10"/>
                <w:b w:val="1"/>
                <w:bCs w:val="1"/>
                <w:color w:val="auto"/>
              </w:rPr>
              <w:t>Earnings Summary</w:t>
            </w:r>
          </w:p>
        </w:tc>
        <w:tc>
          <w:tcPr>
            <w:tcW w:w="1100" w:type="dxa"/>
            <w:vAlign w:val="bottom"/>
            <w:gridSpan w:val="2"/>
            <w:vMerge w:val="restart"/>
          </w:tcPr>
          <w:p>
            <w:pPr>
              <w:jc w:val="center"/>
              <w:ind w:right="12"/>
              <w:spacing w:after="0"/>
              <w:rPr>
                <w:sz w:val="20"/>
                <w:szCs w:val="20"/>
                <w:color w:val="auto"/>
              </w:rPr>
            </w:pPr>
            <w:r>
              <w:rPr>
                <w:rFonts w:ascii="Arial" w:cs="Arial" w:eastAsia="Arial" w:hAnsi="Arial"/>
                <w:sz w:val="10"/>
                <w:szCs w:val="10"/>
                <w:b w:val="1"/>
                <w:bCs w:val="1"/>
                <w:color w:val="auto"/>
                <w:w w:val="95"/>
              </w:rPr>
              <w:t>$13.1</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5"/>
              </w:rPr>
              <w:t>$14.7</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20"/>
                <w:szCs w:val="20"/>
                <w:color w:val="auto"/>
              </w:rPr>
            </w:pPr>
            <w:r>
              <w:rPr>
                <w:rFonts w:ascii="Arial" w:cs="Arial" w:eastAsia="Arial" w:hAnsi="Arial"/>
                <w:sz w:val="10"/>
                <w:szCs w:val="10"/>
                <w:color w:val="auto"/>
              </w:rPr>
              <w:t>Net Income</w:t>
            </w: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72"/>
              <w:spacing w:after="0"/>
              <w:rPr>
                <w:sz w:val="20"/>
                <w:szCs w:val="20"/>
                <w:color w:val="auto"/>
              </w:rPr>
            </w:pPr>
            <w:r>
              <w:rPr>
                <w:rFonts w:ascii="Arial" w:cs="Arial" w:eastAsia="Arial" w:hAnsi="Arial"/>
                <w:sz w:val="10"/>
                <w:szCs w:val="10"/>
                <w:color w:val="auto"/>
                <w:w w:val="95"/>
              </w:rPr>
              <w:t>$14.3</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jc w:val="center"/>
              <w:ind w:left="12"/>
              <w:spacing w:after="0"/>
              <w:rPr>
                <w:sz w:val="20"/>
                <w:szCs w:val="20"/>
                <w:color w:val="auto"/>
              </w:rPr>
            </w:pPr>
            <w:r>
              <w:rPr>
                <w:rFonts w:ascii="Arial" w:cs="Arial" w:eastAsia="Arial" w:hAnsi="Arial"/>
                <w:sz w:val="10"/>
                <w:szCs w:val="10"/>
                <w:color w:val="auto"/>
                <w:w w:val="95"/>
              </w:rPr>
              <w:t>$15.1</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72"/>
              <w:spacing w:after="0"/>
              <w:rPr>
                <w:sz w:val="20"/>
                <w:szCs w:val="20"/>
                <w:color w:val="auto"/>
              </w:rPr>
            </w:pPr>
            <w:r>
              <w:rPr>
                <w:rFonts w:ascii="Arial" w:cs="Arial" w:eastAsia="Arial" w:hAnsi="Arial"/>
                <w:sz w:val="10"/>
                <w:szCs w:val="10"/>
                <w:color w:val="auto"/>
                <w:w w:val="94"/>
              </w:rPr>
              <w:t>(7.9)%</w:t>
            </w:r>
          </w:p>
        </w:tc>
        <w:tc>
          <w:tcPr>
            <w:tcW w:w="720" w:type="dxa"/>
            <w:vAlign w:val="bottom"/>
            <w:gridSpan w:val="3"/>
          </w:tcPr>
          <w:p>
            <w:pPr>
              <w:jc w:val="center"/>
              <w:ind w:right="12"/>
              <w:spacing w:after="0"/>
              <w:rPr>
                <w:sz w:val="20"/>
                <w:szCs w:val="20"/>
                <w:color w:val="auto"/>
              </w:rPr>
            </w:pPr>
            <w:r>
              <w:rPr>
                <w:rFonts w:ascii="Arial" w:cs="Arial" w:eastAsia="Arial" w:hAnsi="Arial"/>
                <w:sz w:val="10"/>
                <w:szCs w:val="10"/>
                <w:color w:val="auto"/>
                <w:w w:val="96"/>
              </w:rPr>
              <w:t>(12.9)%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center"/>
              <w:ind w:left="192"/>
              <w:spacing w:after="0"/>
              <w:rPr>
                <w:sz w:val="20"/>
                <w:szCs w:val="20"/>
                <w:color w:val="auto"/>
              </w:rPr>
            </w:pPr>
            <w:r>
              <w:rPr>
                <w:rFonts w:ascii="Arial" w:cs="Arial" w:eastAsia="Arial" w:hAnsi="Arial"/>
                <w:sz w:val="10"/>
                <w:szCs w:val="10"/>
                <w:color w:val="auto"/>
                <w:w w:val="95"/>
              </w:rPr>
              <w:t>$14.3</w:t>
            </w:r>
          </w:p>
        </w:tc>
        <w:tc>
          <w:tcPr>
            <w:tcW w:w="80" w:type="dxa"/>
            <w:vAlign w:val="bottom"/>
          </w:tcPr>
          <w:p>
            <w:pPr>
              <w:spacing w:after="0"/>
              <w:rPr>
                <w:sz w:val="11"/>
                <w:szCs w:val="11"/>
                <w:color w:val="auto"/>
              </w:rPr>
            </w:pPr>
          </w:p>
        </w:tc>
        <w:tc>
          <w:tcPr>
            <w:tcW w:w="920" w:type="dxa"/>
            <w:vAlign w:val="bottom"/>
            <w:gridSpan w:val="3"/>
          </w:tcPr>
          <w:p>
            <w:pPr>
              <w:jc w:val="center"/>
              <w:spacing w:after="0"/>
              <w:rPr>
                <w:sz w:val="20"/>
                <w:szCs w:val="20"/>
                <w:color w:val="auto"/>
              </w:rPr>
            </w:pPr>
            <w:r>
              <w:rPr>
                <w:rFonts w:ascii="Arial" w:cs="Arial" w:eastAsia="Arial" w:hAnsi="Arial"/>
                <w:sz w:val="10"/>
                <w:szCs w:val="10"/>
                <w:color w:val="auto"/>
                <w:w w:val="95"/>
              </w:rPr>
              <w:t>$12.2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jc w:val="center"/>
              <w:ind w:right="12"/>
              <w:spacing w:after="0"/>
              <w:rPr>
                <w:sz w:val="20"/>
                <w:szCs w:val="20"/>
                <w:color w:val="auto"/>
              </w:rPr>
            </w:pPr>
            <w:r>
              <w:rPr>
                <w:rFonts w:ascii="Arial" w:cs="Arial" w:eastAsia="Arial" w:hAnsi="Arial"/>
                <w:sz w:val="10"/>
                <w:szCs w:val="10"/>
                <w:color w:val="auto"/>
                <w:w w:val="96"/>
              </w:rPr>
              <w:t>3.2%</w:t>
            </w:r>
          </w:p>
        </w:tc>
        <w:tc>
          <w:tcPr>
            <w:tcW w:w="820" w:type="dxa"/>
            <w:vAlign w:val="bottom"/>
          </w:tcPr>
          <w:p>
            <w:pPr>
              <w:jc w:val="center"/>
              <w:spacing w:after="0"/>
              <w:rPr>
                <w:sz w:val="20"/>
                <w:szCs w:val="20"/>
                <w:color w:val="auto"/>
              </w:rPr>
            </w:pPr>
            <w:r>
              <w:rPr>
                <w:rFonts w:ascii="Arial" w:cs="Arial" w:eastAsia="Arial" w:hAnsi="Arial"/>
                <w:sz w:val="10"/>
                <w:szCs w:val="10"/>
                <w:color w:val="auto"/>
                <w:w w:val="91"/>
              </w:rPr>
              <w:t>21.0%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20"/>
                <w:szCs w:val="20"/>
                <w:color w:val="auto"/>
              </w:rPr>
            </w:pPr>
            <w:r>
              <w:rPr>
                <w:rFonts w:ascii="Arial" w:cs="Arial" w:eastAsia="Arial" w:hAnsi="Arial"/>
                <w:sz w:val="10"/>
                <w:szCs w:val="10"/>
                <w:color w:val="auto"/>
              </w:rPr>
              <w:t>Earnings per share - diluted</w:t>
            </w:r>
          </w:p>
        </w:tc>
        <w:tc>
          <w:tcPr>
            <w:tcW w:w="1100" w:type="dxa"/>
            <w:vAlign w:val="bottom"/>
            <w:gridSpan w:val="2"/>
          </w:tcPr>
          <w:p>
            <w:pPr>
              <w:jc w:val="center"/>
              <w:ind w:right="12"/>
              <w:spacing w:after="0"/>
              <w:rPr>
                <w:sz w:val="20"/>
                <w:szCs w:val="20"/>
                <w:color w:val="auto"/>
              </w:rPr>
            </w:pPr>
            <w:r>
              <w:rPr>
                <w:rFonts w:ascii="Arial" w:cs="Arial" w:eastAsia="Arial" w:hAnsi="Arial"/>
                <w:sz w:val="10"/>
                <w:szCs w:val="10"/>
                <w:b w:val="1"/>
                <w:bCs w:val="1"/>
                <w:color w:val="auto"/>
                <w:w w:val="95"/>
              </w:rPr>
              <w:t>$0.80</w:t>
            </w:r>
          </w:p>
        </w:tc>
        <w:tc>
          <w:tcPr>
            <w:tcW w:w="100" w:type="dxa"/>
            <w:vAlign w:val="bottom"/>
          </w:tcPr>
          <w:p>
            <w:pPr>
              <w:spacing w:after="0"/>
              <w:rPr>
                <w:sz w:val="11"/>
                <w:szCs w:val="11"/>
                <w:color w:val="auto"/>
              </w:rPr>
            </w:pPr>
          </w:p>
        </w:tc>
        <w:tc>
          <w:tcPr>
            <w:tcW w:w="560" w:type="dxa"/>
            <w:vAlign w:val="bottom"/>
          </w:tcPr>
          <w:p>
            <w:pPr>
              <w:jc w:val="center"/>
              <w:ind w:right="72"/>
              <w:spacing w:after="0"/>
              <w:rPr>
                <w:sz w:val="20"/>
                <w:szCs w:val="20"/>
                <w:color w:val="auto"/>
              </w:rPr>
            </w:pPr>
            <w:r>
              <w:rPr>
                <w:rFonts w:ascii="Arial" w:cs="Arial" w:eastAsia="Arial" w:hAnsi="Arial"/>
                <w:sz w:val="10"/>
                <w:szCs w:val="10"/>
                <w:color w:val="auto"/>
                <w:w w:val="95"/>
              </w:rPr>
              <w:t>$0.87</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jc w:val="center"/>
              <w:ind w:left="12"/>
              <w:spacing w:after="0"/>
              <w:rPr>
                <w:sz w:val="20"/>
                <w:szCs w:val="20"/>
                <w:color w:val="auto"/>
              </w:rPr>
            </w:pPr>
            <w:r>
              <w:rPr>
                <w:rFonts w:ascii="Arial" w:cs="Arial" w:eastAsia="Arial" w:hAnsi="Arial"/>
                <w:sz w:val="10"/>
                <w:szCs w:val="10"/>
                <w:color w:val="auto"/>
                <w:w w:val="95"/>
              </w:rPr>
              <w:t>$0.89</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72"/>
              <w:spacing w:after="0"/>
              <w:rPr>
                <w:sz w:val="20"/>
                <w:szCs w:val="20"/>
                <w:color w:val="auto"/>
              </w:rPr>
            </w:pPr>
            <w:r>
              <w:rPr>
                <w:rFonts w:ascii="Arial" w:cs="Arial" w:eastAsia="Arial" w:hAnsi="Arial"/>
                <w:sz w:val="10"/>
                <w:szCs w:val="10"/>
                <w:color w:val="auto"/>
                <w:w w:val="94"/>
              </w:rPr>
              <w:t>(8.0)%</w:t>
            </w:r>
          </w:p>
        </w:tc>
        <w:tc>
          <w:tcPr>
            <w:tcW w:w="720" w:type="dxa"/>
            <w:vAlign w:val="bottom"/>
            <w:gridSpan w:val="3"/>
          </w:tcPr>
          <w:p>
            <w:pPr>
              <w:jc w:val="center"/>
              <w:ind w:right="12"/>
              <w:spacing w:after="0"/>
              <w:rPr>
                <w:sz w:val="20"/>
                <w:szCs w:val="20"/>
                <w:color w:val="auto"/>
              </w:rPr>
            </w:pPr>
            <w:r>
              <w:rPr>
                <w:rFonts w:ascii="Arial" w:cs="Arial" w:eastAsia="Arial" w:hAnsi="Arial"/>
                <w:sz w:val="10"/>
                <w:szCs w:val="10"/>
                <w:color w:val="auto"/>
                <w:w w:val="96"/>
              </w:rPr>
              <w:t>(10.1)%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gridSpan w:val="2"/>
          </w:tcPr>
          <w:p>
            <w:pPr>
              <w:jc w:val="center"/>
              <w:spacing w:after="0"/>
              <w:rPr>
                <w:sz w:val="20"/>
                <w:szCs w:val="20"/>
                <w:color w:val="auto"/>
              </w:rPr>
            </w:pPr>
            <w:r>
              <w:rPr>
                <w:rFonts w:ascii="Arial" w:cs="Arial" w:eastAsia="Arial" w:hAnsi="Arial"/>
                <w:sz w:val="10"/>
                <w:szCs w:val="10"/>
                <w:b w:val="1"/>
                <w:bCs w:val="1"/>
                <w:color w:val="auto"/>
                <w:w w:val="95"/>
              </w:rPr>
              <w:t>$0.89</w:t>
            </w:r>
          </w:p>
        </w:tc>
        <w:tc>
          <w:tcPr>
            <w:tcW w:w="60" w:type="dxa"/>
            <w:vAlign w:val="bottom"/>
          </w:tcPr>
          <w:p>
            <w:pPr>
              <w:spacing w:after="0"/>
              <w:rPr>
                <w:sz w:val="11"/>
                <w:szCs w:val="11"/>
                <w:color w:val="auto"/>
              </w:rPr>
            </w:pPr>
          </w:p>
        </w:tc>
        <w:tc>
          <w:tcPr>
            <w:tcW w:w="920" w:type="dxa"/>
            <w:vAlign w:val="bottom"/>
            <w:gridSpan w:val="3"/>
          </w:tcPr>
          <w:p>
            <w:pPr>
              <w:jc w:val="center"/>
              <w:ind w:left="192"/>
              <w:spacing w:after="0"/>
              <w:rPr>
                <w:sz w:val="20"/>
                <w:szCs w:val="20"/>
                <w:color w:val="auto"/>
              </w:rPr>
            </w:pPr>
            <w:r>
              <w:rPr>
                <w:rFonts w:ascii="Arial" w:cs="Arial" w:eastAsia="Arial" w:hAnsi="Arial"/>
                <w:sz w:val="10"/>
                <w:szCs w:val="10"/>
                <w:color w:val="auto"/>
                <w:w w:val="95"/>
              </w:rPr>
              <w:t>$0.87</w:t>
            </w:r>
          </w:p>
        </w:tc>
        <w:tc>
          <w:tcPr>
            <w:tcW w:w="80" w:type="dxa"/>
            <w:vAlign w:val="bottom"/>
          </w:tcPr>
          <w:p>
            <w:pPr>
              <w:spacing w:after="0"/>
              <w:rPr>
                <w:sz w:val="11"/>
                <w:szCs w:val="11"/>
                <w:color w:val="auto"/>
              </w:rPr>
            </w:pPr>
          </w:p>
        </w:tc>
        <w:tc>
          <w:tcPr>
            <w:tcW w:w="920" w:type="dxa"/>
            <w:vAlign w:val="bottom"/>
            <w:gridSpan w:val="3"/>
          </w:tcPr>
          <w:p>
            <w:pPr>
              <w:jc w:val="center"/>
              <w:spacing w:after="0"/>
              <w:rPr>
                <w:sz w:val="20"/>
                <w:szCs w:val="20"/>
                <w:color w:val="auto"/>
              </w:rPr>
            </w:pPr>
            <w:r>
              <w:rPr>
                <w:rFonts w:ascii="Arial" w:cs="Arial" w:eastAsia="Arial" w:hAnsi="Arial"/>
                <w:sz w:val="10"/>
                <w:szCs w:val="10"/>
                <w:color w:val="auto"/>
                <w:w w:val="95"/>
              </w:rPr>
              <w:t>$0.72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jc w:val="center"/>
              <w:ind w:right="12"/>
              <w:spacing w:after="0"/>
              <w:rPr>
                <w:sz w:val="20"/>
                <w:szCs w:val="20"/>
                <w:color w:val="auto"/>
              </w:rPr>
            </w:pPr>
            <w:r>
              <w:rPr>
                <w:rFonts w:ascii="Arial" w:cs="Arial" w:eastAsia="Arial" w:hAnsi="Arial"/>
                <w:sz w:val="10"/>
                <w:szCs w:val="10"/>
                <w:color w:val="auto"/>
                <w:w w:val="96"/>
              </w:rPr>
              <w:t>2.3%</w:t>
            </w:r>
          </w:p>
        </w:tc>
        <w:tc>
          <w:tcPr>
            <w:tcW w:w="820" w:type="dxa"/>
            <w:vAlign w:val="bottom"/>
          </w:tcPr>
          <w:p>
            <w:pPr>
              <w:jc w:val="center"/>
              <w:spacing w:after="0"/>
              <w:rPr>
                <w:sz w:val="20"/>
                <w:szCs w:val="20"/>
                <w:color w:val="auto"/>
              </w:rPr>
            </w:pPr>
            <w:r>
              <w:rPr>
                <w:rFonts w:ascii="Arial" w:cs="Arial" w:eastAsia="Arial" w:hAnsi="Arial"/>
                <w:sz w:val="10"/>
                <w:szCs w:val="10"/>
                <w:color w:val="auto"/>
                <w:w w:val="91"/>
              </w:rPr>
              <w:t>23.6%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20"/>
                <w:szCs w:val="20"/>
                <w:color w:val="auto"/>
              </w:rPr>
            </w:pPr>
            <w:r>
              <w:rPr>
                <w:rFonts w:ascii="Arial" w:cs="Arial" w:eastAsia="Arial" w:hAnsi="Arial"/>
                <w:sz w:val="10"/>
                <w:szCs w:val="10"/>
                <w:color w:val="auto"/>
              </w:rPr>
              <w:t>ROA</w:t>
            </w:r>
          </w:p>
        </w:tc>
        <w:tc>
          <w:tcPr>
            <w:tcW w:w="1100" w:type="dxa"/>
            <w:vAlign w:val="bottom"/>
            <w:gridSpan w:val="2"/>
          </w:tcPr>
          <w:p>
            <w:pPr>
              <w:jc w:val="center"/>
              <w:ind w:right="12"/>
              <w:spacing w:after="0"/>
              <w:rPr>
                <w:sz w:val="20"/>
                <w:szCs w:val="20"/>
                <w:color w:val="auto"/>
              </w:rPr>
            </w:pPr>
            <w:r>
              <w:rPr>
                <w:rFonts w:ascii="Arial" w:cs="Arial" w:eastAsia="Arial" w:hAnsi="Arial"/>
                <w:sz w:val="10"/>
                <w:szCs w:val="10"/>
                <w:b w:val="1"/>
                <w:bCs w:val="1"/>
                <w:color w:val="auto"/>
                <w:w w:val="98"/>
              </w:rPr>
              <w:t>1.38%</w:t>
            </w:r>
          </w:p>
        </w:tc>
        <w:tc>
          <w:tcPr>
            <w:tcW w:w="100" w:type="dxa"/>
            <w:vAlign w:val="bottom"/>
          </w:tcPr>
          <w:p>
            <w:pPr>
              <w:spacing w:after="0"/>
              <w:rPr>
                <w:sz w:val="11"/>
                <w:szCs w:val="11"/>
                <w:color w:val="auto"/>
              </w:rPr>
            </w:pPr>
          </w:p>
        </w:tc>
        <w:tc>
          <w:tcPr>
            <w:tcW w:w="560" w:type="dxa"/>
            <w:vAlign w:val="bottom"/>
          </w:tcPr>
          <w:p>
            <w:pPr>
              <w:jc w:val="center"/>
              <w:ind w:right="52"/>
              <w:spacing w:after="0"/>
              <w:rPr>
                <w:sz w:val="20"/>
                <w:szCs w:val="20"/>
                <w:color w:val="auto"/>
              </w:rPr>
            </w:pPr>
            <w:r>
              <w:rPr>
                <w:rFonts w:ascii="Arial" w:cs="Arial" w:eastAsia="Arial" w:hAnsi="Arial"/>
                <w:sz w:val="10"/>
                <w:szCs w:val="10"/>
                <w:color w:val="auto"/>
                <w:w w:val="91"/>
              </w:rPr>
              <w:t>1.52%</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jc w:val="center"/>
              <w:ind w:left="12"/>
              <w:spacing w:after="0"/>
              <w:rPr>
                <w:sz w:val="20"/>
                <w:szCs w:val="20"/>
                <w:color w:val="auto"/>
              </w:rPr>
            </w:pPr>
            <w:r>
              <w:rPr>
                <w:rFonts w:ascii="Arial" w:cs="Arial" w:eastAsia="Arial" w:hAnsi="Arial"/>
                <w:sz w:val="10"/>
                <w:szCs w:val="10"/>
                <w:color w:val="auto"/>
                <w:w w:val="98"/>
              </w:rPr>
              <w:t>1.77%</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72"/>
              <w:spacing w:after="0"/>
              <w:rPr>
                <w:sz w:val="20"/>
                <w:szCs w:val="20"/>
                <w:color w:val="auto"/>
              </w:rPr>
            </w:pPr>
            <w:r>
              <w:rPr>
                <w:rFonts w:ascii="Arial" w:cs="Arial" w:eastAsia="Arial" w:hAnsi="Arial"/>
                <w:sz w:val="10"/>
                <w:szCs w:val="10"/>
                <w:color w:val="auto"/>
                <w:w w:val="98"/>
              </w:rPr>
              <w:t>(14) bps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5"/>
          </w:tcPr>
          <w:p>
            <w:pPr>
              <w:jc w:val="center"/>
              <w:ind w:right="440"/>
              <w:spacing w:after="0"/>
              <w:rPr>
                <w:sz w:val="20"/>
                <w:szCs w:val="20"/>
                <w:color w:val="auto"/>
              </w:rPr>
            </w:pPr>
            <w:r>
              <w:rPr>
                <w:rFonts w:ascii="Arial" w:cs="Arial" w:eastAsia="Arial" w:hAnsi="Arial"/>
                <w:sz w:val="10"/>
                <w:szCs w:val="10"/>
                <w:color w:val="auto"/>
                <w:w w:val="92"/>
              </w:rPr>
              <w:t>(39) bps</w:t>
            </w:r>
          </w:p>
        </w:tc>
        <w:tc>
          <w:tcPr>
            <w:tcW w:w="520" w:type="dxa"/>
            <w:vAlign w:val="bottom"/>
            <w:gridSpan w:val="2"/>
          </w:tcPr>
          <w:p>
            <w:pPr>
              <w:jc w:val="center"/>
              <w:ind w:right="12"/>
              <w:spacing w:after="0"/>
              <w:rPr>
                <w:sz w:val="20"/>
                <w:szCs w:val="20"/>
                <w:color w:val="auto"/>
              </w:rPr>
            </w:pPr>
            <w:r>
              <w:rPr>
                <w:rFonts w:ascii="Arial" w:cs="Arial" w:eastAsia="Arial" w:hAnsi="Arial"/>
                <w:sz w:val="10"/>
                <w:szCs w:val="10"/>
                <w:b w:val="1"/>
                <w:bCs w:val="1"/>
                <w:color w:val="auto"/>
                <w:w w:val="91"/>
              </w:rPr>
              <w:t>1.55%</w:t>
            </w:r>
          </w:p>
        </w:tc>
        <w:tc>
          <w:tcPr>
            <w:tcW w:w="60" w:type="dxa"/>
            <w:vAlign w:val="bottom"/>
          </w:tcPr>
          <w:p>
            <w:pPr>
              <w:spacing w:after="0"/>
              <w:rPr>
                <w:sz w:val="11"/>
                <w:szCs w:val="11"/>
                <w:color w:val="auto"/>
              </w:rPr>
            </w:pPr>
          </w:p>
        </w:tc>
        <w:tc>
          <w:tcPr>
            <w:tcW w:w="920" w:type="dxa"/>
            <w:vAlign w:val="bottom"/>
            <w:gridSpan w:val="3"/>
          </w:tcPr>
          <w:p>
            <w:pPr>
              <w:jc w:val="center"/>
              <w:ind w:left="172"/>
              <w:spacing w:after="0"/>
              <w:rPr>
                <w:sz w:val="20"/>
                <w:szCs w:val="20"/>
                <w:color w:val="auto"/>
              </w:rPr>
            </w:pPr>
            <w:r>
              <w:rPr>
                <w:rFonts w:ascii="Arial" w:cs="Arial" w:eastAsia="Arial" w:hAnsi="Arial"/>
                <w:sz w:val="10"/>
                <w:szCs w:val="10"/>
                <w:color w:val="auto"/>
                <w:w w:val="91"/>
              </w:rPr>
              <w:t>1.52%</w:t>
            </w:r>
          </w:p>
        </w:tc>
        <w:tc>
          <w:tcPr>
            <w:tcW w:w="80" w:type="dxa"/>
            <w:vAlign w:val="bottom"/>
          </w:tcPr>
          <w:p>
            <w:pPr>
              <w:spacing w:after="0"/>
              <w:rPr>
                <w:sz w:val="11"/>
                <w:szCs w:val="11"/>
                <w:color w:val="auto"/>
              </w:rPr>
            </w:pPr>
          </w:p>
        </w:tc>
        <w:tc>
          <w:tcPr>
            <w:tcW w:w="920" w:type="dxa"/>
            <w:vAlign w:val="bottom"/>
            <w:gridSpan w:val="3"/>
          </w:tcPr>
          <w:p>
            <w:pPr>
              <w:jc w:val="center"/>
              <w:ind w:left="12"/>
              <w:spacing w:after="0"/>
              <w:rPr>
                <w:sz w:val="20"/>
                <w:szCs w:val="20"/>
                <w:color w:val="auto"/>
              </w:rPr>
            </w:pPr>
            <w:r>
              <w:rPr>
                <w:rFonts w:ascii="Arial" w:cs="Arial" w:eastAsia="Arial" w:hAnsi="Arial"/>
                <w:sz w:val="10"/>
                <w:szCs w:val="10"/>
                <w:color w:val="auto"/>
                <w:w w:val="91"/>
              </w:rPr>
              <w:t>1.43%</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72"/>
              <w:spacing w:after="0"/>
              <w:rPr>
                <w:sz w:val="20"/>
                <w:szCs w:val="20"/>
                <w:color w:val="auto"/>
              </w:rPr>
            </w:pPr>
            <w:r>
              <w:rPr>
                <w:rFonts w:ascii="Arial" w:cs="Arial" w:eastAsia="Arial" w:hAnsi="Arial"/>
                <w:sz w:val="10"/>
                <w:szCs w:val="10"/>
                <w:color w:val="auto"/>
                <w:w w:val="97"/>
              </w:rPr>
              <w:t>3 bps</w:t>
            </w:r>
          </w:p>
        </w:tc>
        <w:tc>
          <w:tcPr>
            <w:tcW w:w="900" w:type="dxa"/>
            <w:vAlign w:val="bottom"/>
            <w:gridSpan w:val="2"/>
          </w:tcPr>
          <w:p>
            <w:pPr>
              <w:jc w:val="center"/>
              <w:ind w:right="40"/>
              <w:spacing w:after="0"/>
              <w:rPr>
                <w:sz w:val="20"/>
                <w:szCs w:val="20"/>
                <w:color w:val="auto"/>
              </w:rPr>
            </w:pPr>
            <w:r>
              <w:rPr>
                <w:rFonts w:ascii="Arial" w:cs="Arial" w:eastAsia="Arial" w:hAnsi="Arial"/>
                <w:sz w:val="10"/>
                <w:szCs w:val="10"/>
                <w:color w:val="auto"/>
                <w:w w:val="99"/>
              </w:rPr>
              <w:t>12 bps</w:t>
            </w:r>
          </w:p>
        </w:tc>
        <w:tc>
          <w:tcPr>
            <w:tcW w:w="0" w:type="dxa"/>
            <w:vAlign w:val="bottom"/>
          </w:tcPr>
          <w:p>
            <w:pPr>
              <w:spacing w:after="0"/>
              <w:rPr>
                <w:sz w:val="1"/>
                <w:szCs w:val="1"/>
                <w:color w:val="auto"/>
              </w:rPr>
            </w:pPr>
          </w:p>
        </w:tc>
      </w:tr>
      <w:tr>
        <w:trPr>
          <w:trHeight w:val="139"/>
        </w:trPr>
        <w:tc>
          <w:tcPr>
            <w:tcW w:w="1960" w:type="dxa"/>
            <w:vAlign w:val="bottom"/>
          </w:tcPr>
          <w:p>
            <w:pPr>
              <w:spacing w:after="0"/>
              <w:rPr>
                <w:sz w:val="20"/>
                <w:szCs w:val="20"/>
                <w:color w:val="auto"/>
              </w:rPr>
            </w:pPr>
            <w:r>
              <w:rPr>
                <w:rFonts w:ascii="Arial" w:cs="Arial" w:eastAsia="Arial" w:hAnsi="Arial"/>
                <w:sz w:val="10"/>
                <w:szCs w:val="10"/>
                <w:color w:val="auto"/>
              </w:rPr>
              <w:t>ROTCE</w:t>
            </w:r>
            <w:r>
              <w:rPr>
                <w:rFonts w:ascii="Arial" w:cs="Arial" w:eastAsia="Arial" w:hAnsi="Arial"/>
                <w:sz w:val="12"/>
                <w:szCs w:val="12"/>
                <w:color w:val="auto"/>
                <w:vertAlign w:val="superscript"/>
              </w:rPr>
              <w:t>(3)</w:t>
            </w:r>
          </w:p>
        </w:tc>
        <w:tc>
          <w:tcPr>
            <w:tcW w:w="1100" w:type="dxa"/>
            <w:vAlign w:val="bottom"/>
            <w:gridSpan w:val="2"/>
          </w:tcPr>
          <w:p>
            <w:pPr>
              <w:jc w:val="center"/>
              <w:ind w:right="12"/>
              <w:spacing w:after="0"/>
              <w:rPr>
                <w:sz w:val="20"/>
                <w:szCs w:val="20"/>
                <w:color w:val="auto"/>
              </w:rPr>
            </w:pPr>
            <w:r>
              <w:rPr>
                <w:rFonts w:ascii="Arial" w:cs="Arial" w:eastAsia="Arial" w:hAnsi="Arial"/>
                <w:sz w:val="10"/>
                <w:szCs w:val="10"/>
                <w:b w:val="1"/>
                <w:bCs w:val="1"/>
                <w:color w:val="auto"/>
                <w:w w:val="94"/>
              </w:rPr>
              <w:t>13.62%</w:t>
            </w:r>
          </w:p>
        </w:tc>
        <w:tc>
          <w:tcPr>
            <w:tcW w:w="100" w:type="dxa"/>
            <w:vAlign w:val="bottom"/>
          </w:tcPr>
          <w:p>
            <w:pPr>
              <w:spacing w:after="0"/>
              <w:rPr>
                <w:sz w:val="12"/>
                <w:szCs w:val="12"/>
                <w:color w:val="auto"/>
              </w:rPr>
            </w:pPr>
          </w:p>
        </w:tc>
        <w:tc>
          <w:tcPr>
            <w:tcW w:w="560" w:type="dxa"/>
            <w:vAlign w:val="bottom"/>
          </w:tcPr>
          <w:p>
            <w:pPr>
              <w:jc w:val="center"/>
              <w:ind w:right="52"/>
              <w:spacing w:after="0"/>
              <w:rPr>
                <w:sz w:val="20"/>
                <w:szCs w:val="20"/>
                <w:color w:val="auto"/>
              </w:rPr>
            </w:pPr>
            <w:r>
              <w:rPr>
                <w:rFonts w:ascii="Arial" w:cs="Arial" w:eastAsia="Arial" w:hAnsi="Arial"/>
                <w:sz w:val="10"/>
                <w:szCs w:val="10"/>
                <w:color w:val="auto"/>
              </w:rPr>
              <w:t>15.51%</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center"/>
              <w:ind w:left="12"/>
              <w:spacing w:after="0"/>
              <w:rPr>
                <w:sz w:val="20"/>
                <w:szCs w:val="20"/>
                <w:color w:val="auto"/>
              </w:rPr>
            </w:pPr>
            <w:r>
              <w:rPr>
                <w:rFonts w:ascii="Arial" w:cs="Arial" w:eastAsia="Arial" w:hAnsi="Arial"/>
                <w:sz w:val="10"/>
                <w:szCs w:val="10"/>
                <w:color w:val="auto"/>
                <w:w w:val="94"/>
              </w:rPr>
              <w:t>17.49%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72"/>
              <w:spacing w:after="0"/>
              <w:rPr>
                <w:sz w:val="20"/>
                <w:szCs w:val="20"/>
                <w:color w:val="auto"/>
              </w:rPr>
            </w:pPr>
            <w:r>
              <w:rPr>
                <w:rFonts w:ascii="Arial" w:cs="Arial" w:eastAsia="Arial" w:hAnsi="Arial"/>
                <w:sz w:val="10"/>
                <w:szCs w:val="10"/>
                <w:color w:val="auto"/>
                <w:w w:val="94"/>
              </w:rPr>
              <w:t>(189) bps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5"/>
          </w:tcPr>
          <w:p>
            <w:pPr>
              <w:jc w:val="center"/>
              <w:ind w:right="460"/>
              <w:spacing w:after="0"/>
              <w:rPr>
                <w:sz w:val="20"/>
                <w:szCs w:val="20"/>
                <w:color w:val="auto"/>
              </w:rPr>
            </w:pPr>
            <w:r>
              <w:rPr>
                <w:rFonts w:ascii="Arial" w:cs="Arial" w:eastAsia="Arial" w:hAnsi="Arial"/>
                <w:sz w:val="10"/>
                <w:szCs w:val="10"/>
                <w:color w:val="auto"/>
                <w:w w:val="94"/>
              </w:rPr>
              <w:t>(387) bps</w:t>
            </w:r>
          </w:p>
        </w:tc>
        <w:tc>
          <w:tcPr>
            <w:tcW w:w="520" w:type="dxa"/>
            <w:vAlign w:val="bottom"/>
            <w:gridSpan w:val="2"/>
          </w:tcPr>
          <w:p>
            <w:pPr>
              <w:jc w:val="center"/>
              <w:spacing w:after="0"/>
              <w:rPr>
                <w:sz w:val="20"/>
                <w:szCs w:val="20"/>
                <w:color w:val="auto"/>
              </w:rPr>
            </w:pPr>
            <w:r>
              <w:rPr>
                <w:rFonts w:ascii="Arial" w:cs="Arial" w:eastAsia="Arial" w:hAnsi="Arial"/>
                <w:sz w:val="10"/>
                <w:szCs w:val="10"/>
                <w:b w:val="1"/>
                <w:bCs w:val="1"/>
                <w:color w:val="auto"/>
                <w:w w:val="94"/>
              </w:rPr>
              <w:t>15.24%</w:t>
            </w:r>
          </w:p>
        </w:tc>
        <w:tc>
          <w:tcPr>
            <w:tcW w:w="60" w:type="dxa"/>
            <w:vAlign w:val="bottom"/>
          </w:tcPr>
          <w:p>
            <w:pPr>
              <w:spacing w:after="0"/>
              <w:rPr>
                <w:sz w:val="12"/>
                <w:szCs w:val="12"/>
                <w:color w:val="auto"/>
              </w:rPr>
            </w:pPr>
          </w:p>
        </w:tc>
        <w:tc>
          <w:tcPr>
            <w:tcW w:w="920" w:type="dxa"/>
            <w:vAlign w:val="bottom"/>
            <w:gridSpan w:val="3"/>
          </w:tcPr>
          <w:p>
            <w:pPr>
              <w:jc w:val="center"/>
              <w:ind w:left="172"/>
              <w:spacing w:after="0"/>
              <w:rPr>
                <w:sz w:val="20"/>
                <w:szCs w:val="20"/>
                <w:color w:val="auto"/>
              </w:rPr>
            </w:pPr>
            <w:r>
              <w:rPr>
                <w:rFonts w:ascii="Arial" w:cs="Arial" w:eastAsia="Arial" w:hAnsi="Arial"/>
                <w:sz w:val="10"/>
                <w:szCs w:val="10"/>
                <w:color w:val="auto"/>
              </w:rPr>
              <w:t>15.51%</w:t>
            </w:r>
          </w:p>
        </w:tc>
        <w:tc>
          <w:tcPr>
            <w:tcW w:w="80" w:type="dxa"/>
            <w:vAlign w:val="bottom"/>
          </w:tcPr>
          <w:p>
            <w:pPr>
              <w:spacing w:after="0"/>
              <w:rPr>
                <w:sz w:val="12"/>
                <w:szCs w:val="12"/>
                <w:color w:val="auto"/>
              </w:rPr>
            </w:pPr>
          </w:p>
        </w:tc>
        <w:tc>
          <w:tcPr>
            <w:tcW w:w="920" w:type="dxa"/>
            <w:vAlign w:val="bottom"/>
            <w:gridSpan w:val="3"/>
          </w:tcPr>
          <w:p>
            <w:pPr>
              <w:jc w:val="center"/>
              <w:ind w:left="12"/>
              <w:spacing w:after="0"/>
              <w:rPr>
                <w:sz w:val="20"/>
                <w:szCs w:val="20"/>
                <w:color w:val="auto"/>
              </w:rPr>
            </w:pPr>
            <w:r>
              <w:rPr>
                <w:rFonts w:ascii="Arial" w:cs="Arial" w:eastAsia="Arial" w:hAnsi="Arial"/>
                <w:sz w:val="10"/>
                <w:szCs w:val="10"/>
                <w:color w:val="auto"/>
              </w:rPr>
              <w:t>14.15%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72"/>
              <w:spacing w:after="0"/>
              <w:rPr>
                <w:sz w:val="20"/>
                <w:szCs w:val="20"/>
                <w:color w:val="auto"/>
              </w:rPr>
            </w:pPr>
            <w:r>
              <w:rPr>
                <w:rFonts w:ascii="Arial" w:cs="Arial" w:eastAsia="Arial" w:hAnsi="Arial"/>
                <w:sz w:val="10"/>
                <w:szCs w:val="10"/>
                <w:color w:val="auto"/>
                <w:w w:val="98"/>
              </w:rPr>
              <w:t>(27) bps</w:t>
            </w:r>
          </w:p>
        </w:tc>
        <w:tc>
          <w:tcPr>
            <w:tcW w:w="900" w:type="dxa"/>
            <w:vAlign w:val="bottom"/>
            <w:gridSpan w:val="2"/>
          </w:tcPr>
          <w:p>
            <w:pPr>
              <w:jc w:val="center"/>
              <w:ind w:right="40"/>
              <w:spacing w:after="0"/>
              <w:rPr>
                <w:sz w:val="20"/>
                <w:szCs w:val="20"/>
                <w:color w:val="auto"/>
              </w:rPr>
            </w:pPr>
            <w:r>
              <w:rPr>
                <w:rFonts w:ascii="Arial" w:cs="Arial" w:eastAsia="Arial" w:hAnsi="Arial"/>
                <w:sz w:val="10"/>
                <w:szCs w:val="10"/>
                <w:color w:val="auto"/>
                <w:w w:val="95"/>
              </w:rPr>
              <w:t>109 bps</w:t>
            </w:r>
          </w:p>
        </w:tc>
        <w:tc>
          <w:tcPr>
            <w:tcW w:w="0" w:type="dxa"/>
            <w:vAlign w:val="bottom"/>
          </w:tcPr>
          <w:p>
            <w:pPr>
              <w:spacing w:after="0"/>
              <w:rPr>
                <w:sz w:val="1"/>
                <w:szCs w:val="1"/>
                <w:color w:val="auto"/>
              </w:rPr>
            </w:pPr>
          </w:p>
        </w:tc>
      </w:tr>
      <w:tr>
        <w:trPr>
          <w:trHeight w:val="106"/>
        </w:trPr>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gridSpan w:val="5"/>
          </w:tcPr>
          <w:p>
            <w:pPr>
              <w:ind w:left="1000"/>
              <w:spacing w:after="0" w:line="106" w:lineRule="exact"/>
              <w:rPr>
                <w:sz w:val="20"/>
                <w:szCs w:val="20"/>
                <w:color w:val="auto"/>
              </w:rPr>
            </w:pPr>
            <w:r>
              <w:rPr>
                <w:rFonts w:ascii="Arial" w:cs="Arial" w:eastAsia="Arial" w:hAnsi="Arial"/>
                <w:sz w:val="10"/>
                <w:szCs w:val="10"/>
                <w:b w:val="1"/>
                <w:bCs w:val="1"/>
                <w:color w:val="auto"/>
              </w:rPr>
              <w:t>Including Card</w:t>
            </w: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4"/>
          </w:tcPr>
          <w:p>
            <w:pPr>
              <w:ind w:left="220"/>
              <w:spacing w:after="0" w:line="106" w:lineRule="exact"/>
              <w:rPr>
                <w:sz w:val="20"/>
                <w:szCs w:val="20"/>
                <w:color w:val="auto"/>
              </w:rPr>
            </w:pPr>
            <w:r>
              <w:rPr>
                <w:rFonts w:ascii="Arial" w:cs="Arial" w:eastAsia="Arial" w:hAnsi="Arial"/>
                <w:sz w:val="10"/>
                <w:szCs w:val="10"/>
                <w:b w:val="1"/>
                <w:bCs w:val="1"/>
                <w:color w:val="auto"/>
              </w:rPr>
              <w:t>Excluding Card</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960" w:type="dxa"/>
            <w:vAlign w:val="bottom"/>
          </w:tcPr>
          <w:p>
            <w:pPr>
              <w:spacing w:after="0"/>
              <w:rPr>
                <w:sz w:val="20"/>
                <w:szCs w:val="20"/>
                <w:color w:val="auto"/>
              </w:rPr>
            </w:pPr>
            <w:r>
              <w:rPr>
                <w:rFonts w:ascii="Arial" w:cs="Arial" w:eastAsia="Arial" w:hAnsi="Arial"/>
                <w:sz w:val="10"/>
                <w:szCs w:val="10"/>
                <w:color w:val="auto"/>
              </w:rPr>
              <w:t>NIM</w:t>
            </w:r>
          </w:p>
        </w:tc>
        <w:tc>
          <w:tcPr>
            <w:tcW w:w="1100" w:type="dxa"/>
            <w:vAlign w:val="bottom"/>
            <w:gridSpan w:val="2"/>
          </w:tcPr>
          <w:p>
            <w:pPr>
              <w:jc w:val="center"/>
              <w:ind w:right="12"/>
              <w:spacing w:after="0"/>
              <w:rPr>
                <w:sz w:val="20"/>
                <w:szCs w:val="20"/>
                <w:color w:val="auto"/>
              </w:rPr>
            </w:pPr>
            <w:r>
              <w:rPr>
                <w:rFonts w:ascii="Arial" w:cs="Arial" w:eastAsia="Arial" w:hAnsi="Arial"/>
                <w:sz w:val="10"/>
                <w:szCs w:val="10"/>
                <w:b w:val="1"/>
                <w:bCs w:val="1"/>
                <w:color w:val="auto"/>
                <w:w w:val="98"/>
              </w:rPr>
              <w:t>5.81%</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ind w:right="52"/>
              <w:spacing w:after="0"/>
              <w:rPr>
                <w:sz w:val="20"/>
                <w:szCs w:val="20"/>
                <w:color w:val="auto"/>
              </w:rPr>
            </w:pPr>
            <w:r>
              <w:rPr>
                <w:rFonts w:ascii="Arial" w:cs="Arial" w:eastAsia="Arial" w:hAnsi="Arial"/>
                <w:sz w:val="10"/>
                <w:szCs w:val="10"/>
                <w:color w:val="auto"/>
                <w:w w:val="91"/>
              </w:rPr>
              <w:t>5.64%</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center"/>
              <w:ind w:left="12"/>
              <w:spacing w:after="0"/>
              <w:rPr>
                <w:sz w:val="20"/>
                <w:szCs w:val="20"/>
                <w:color w:val="auto"/>
              </w:rPr>
            </w:pPr>
            <w:r>
              <w:rPr>
                <w:rFonts w:ascii="Arial" w:cs="Arial" w:eastAsia="Arial" w:hAnsi="Arial"/>
                <w:sz w:val="10"/>
                <w:szCs w:val="10"/>
                <w:color w:val="auto"/>
                <w:w w:val="98"/>
              </w:rPr>
              <w:t>6.36%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72"/>
              <w:spacing w:after="0"/>
              <w:rPr>
                <w:sz w:val="20"/>
                <w:szCs w:val="20"/>
                <w:color w:val="auto"/>
              </w:rPr>
            </w:pPr>
            <w:r>
              <w:rPr>
                <w:rFonts w:ascii="Arial" w:cs="Arial" w:eastAsia="Arial" w:hAnsi="Arial"/>
                <w:sz w:val="10"/>
                <w:szCs w:val="10"/>
                <w:color w:val="auto"/>
                <w:w w:val="93"/>
              </w:rPr>
              <w:t>17 bps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5"/>
          </w:tcPr>
          <w:p>
            <w:pPr>
              <w:jc w:val="center"/>
              <w:ind w:right="440"/>
              <w:spacing w:after="0"/>
              <w:rPr>
                <w:sz w:val="20"/>
                <w:szCs w:val="20"/>
                <w:color w:val="auto"/>
              </w:rPr>
            </w:pPr>
            <w:r>
              <w:rPr>
                <w:rFonts w:ascii="Arial" w:cs="Arial" w:eastAsia="Arial" w:hAnsi="Arial"/>
                <w:sz w:val="10"/>
                <w:szCs w:val="10"/>
                <w:color w:val="auto"/>
                <w:w w:val="92"/>
              </w:rPr>
              <w:t>(55) bps</w:t>
            </w:r>
          </w:p>
        </w:tc>
        <w:tc>
          <w:tcPr>
            <w:tcW w:w="520" w:type="dxa"/>
            <w:vAlign w:val="bottom"/>
            <w:gridSpan w:val="2"/>
          </w:tcPr>
          <w:p>
            <w:pPr>
              <w:jc w:val="center"/>
              <w:ind w:right="12"/>
              <w:spacing w:after="0"/>
              <w:rPr>
                <w:sz w:val="20"/>
                <w:szCs w:val="20"/>
                <w:color w:val="auto"/>
              </w:rPr>
            </w:pPr>
            <w:r>
              <w:rPr>
                <w:rFonts w:ascii="Arial" w:cs="Arial" w:eastAsia="Arial" w:hAnsi="Arial"/>
                <w:sz w:val="10"/>
                <w:szCs w:val="10"/>
                <w:b w:val="1"/>
                <w:bCs w:val="1"/>
                <w:color w:val="auto"/>
                <w:w w:val="91"/>
              </w:rPr>
              <w:t>4.18%</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color w:val="auto"/>
                <w:w w:val="91"/>
              </w:rPr>
              <w:t>4.04%</w:t>
            </w:r>
          </w:p>
        </w:tc>
        <w:tc>
          <w:tcPr>
            <w:tcW w:w="80" w:type="dxa"/>
            <w:vAlign w:val="bottom"/>
          </w:tcPr>
          <w:p>
            <w:pPr>
              <w:spacing w:after="0"/>
              <w:rPr>
                <w:sz w:val="12"/>
                <w:szCs w:val="12"/>
                <w:color w:val="auto"/>
              </w:rPr>
            </w:pPr>
          </w:p>
        </w:tc>
        <w:tc>
          <w:tcPr>
            <w:tcW w:w="920" w:type="dxa"/>
            <w:vAlign w:val="bottom"/>
            <w:gridSpan w:val="3"/>
          </w:tcPr>
          <w:p>
            <w:pPr>
              <w:jc w:val="center"/>
              <w:ind w:left="12"/>
              <w:spacing w:after="0"/>
              <w:rPr>
                <w:sz w:val="20"/>
                <w:szCs w:val="20"/>
                <w:color w:val="auto"/>
              </w:rPr>
            </w:pPr>
            <w:r>
              <w:rPr>
                <w:rFonts w:ascii="Arial" w:cs="Arial" w:eastAsia="Arial" w:hAnsi="Arial"/>
                <w:sz w:val="10"/>
                <w:szCs w:val="10"/>
                <w:color w:val="auto"/>
                <w:w w:val="91"/>
              </w:rPr>
              <w:t>4.66%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72"/>
              <w:spacing w:after="0"/>
              <w:rPr>
                <w:sz w:val="20"/>
                <w:szCs w:val="20"/>
                <w:color w:val="auto"/>
              </w:rPr>
            </w:pPr>
            <w:r>
              <w:rPr>
                <w:rFonts w:ascii="Arial" w:cs="Arial" w:eastAsia="Arial" w:hAnsi="Arial"/>
                <w:sz w:val="10"/>
                <w:szCs w:val="10"/>
                <w:color w:val="auto"/>
                <w:w w:val="93"/>
              </w:rPr>
              <w:t>14 bps</w:t>
            </w:r>
          </w:p>
        </w:tc>
        <w:tc>
          <w:tcPr>
            <w:tcW w:w="900" w:type="dxa"/>
            <w:vAlign w:val="bottom"/>
            <w:gridSpan w:val="2"/>
          </w:tcPr>
          <w:p>
            <w:pPr>
              <w:jc w:val="center"/>
              <w:ind w:right="40"/>
              <w:spacing w:after="0"/>
              <w:rPr>
                <w:sz w:val="20"/>
                <w:szCs w:val="20"/>
                <w:color w:val="auto"/>
              </w:rPr>
            </w:pPr>
            <w:r>
              <w:rPr>
                <w:rFonts w:ascii="Arial" w:cs="Arial" w:eastAsia="Arial" w:hAnsi="Arial"/>
                <w:sz w:val="10"/>
                <w:szCs w:val="10"/>
                <w:color w:val="auto"/>
                <w:w w:val="92"/>
              </w:rPr>
              <w:t>(48) bps</w:t>
            </w:r>
          </w:p>
        </w:tc>
        <w:tc>
          <w:tcPr>
            <w:tcW w:w="0" w:type="dxa"/>
            <w:vAlign w:val="bottom"/>
          </w:tcPr>
          <w:p>
            <w:pPr>
              <w:spacing w:after="0"/>
              <w:rPr>
                <w:sz w:val="1"/>
                <w:szCs w:val="1"/>
                <w:color w:val="auto"/>
              </w:rPr>
            </w:pPr>
          </w:p>
        </w:tc>
      </w:tr>
      <w:tr>
        <w:trPr>
          <w:trHeight w:val="125"/>
        </w:trPr>
        <w:tc>
          <w:tcPr>
            <w:tcW w:w="19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gridSpan w:val="2"/>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960" w:type="dxa"/>
            <w:vAlign w:val="bottom"/>
            <w:tcBorders>
              <w:right w:val="single" w:sz="8" w:color="EAEAEA"/>
            </w:tcBorders>
          </w:tcPr>
          <w:p>
            <w:pPr>
              <w:spacing w:after="0"/>
              <w:rPr>
                <w:sz w:val="11"/>
                <w:szCs w:val="11"/>
                <w:color w:val="auto"/>
              </w:rPr>
            </w:pPr>
          </w:p>
        </w:tc>
        <w:tc>
          <w:tcPr>
            <w:tcW w:w="100" w:type="dxa"/>
            <w:vAlign w:val="bottom"/>
            <w:tcBorders>
              <w:bottom w:val="single" w:sz="8" w:color="EAEAEA"/>
            </w:tcBorders>
            <w:shd w:val="clear" w:color="auto" w:fill="EAEAEA"/>
          </w:tcPr>
          <w:p>
            <w:pPr>
              <w:spacing w:after="0"/>
              <w:rPr>
                <w:sz w:val="11"/>
                <w:szCs w:val="11"/>
                <w:color w:val="auto"/>
              </w:rPr>
            </w:pPr>
          </w:p>
        </w:tc>
        <w:tc>
          <w:tcPr>
            <w:tcW w:w="1000" w:type="dxa"/>
            <w:vAlign w:val="bottom"/>
            <w:tcBorders>
              <w:bottom w:val="single" w:sz="8" w:color="EAEAEA"/>
            </w:tcBorders>
            <w:shd w:val="clear" w:color="auto" w:fill="EAEAEA"/>
          </w:tcPr>
          <w:p>
            <w:pPr>
              <w:spacing w:after="0"/>
              <w:rPr>
                <w:sz w:val="11"/>
                <w:szCs w:val="11"/>
                <w:color w:val="auto"/>
              </w:rPr>
            </w:pPr>
          </w:p>
        </w:tc>
        <w:tc>
          <w:tcPr>
            <w:tcW w:w="100" w:type="dxa"/>
            <w:vAlign w:val="bottom"/>
            <w:tcBorders>
              <w:bottom w:val="single" w:sz="8" w:color="EAEAEA"/>
            </w:tcBorders>
            <w:shd w:val="clear" w:color="auto" w:fill="EAEAEA"/>
          </w:tcPr>
          <w:p>
            <w:pPr>
              <w:spacing w:after="0"/>
              <w:rPr>
                <w:sz w:val="11"/>
                <w:szCs w:val="11"/>
                <w:color w:val="auto"/>
              </w:rPr>
            </w:pPr>
          </w:p>
        </w:tc>
        <w:tc>
          <w:tcPr>
            <w:tcW w:w="560" w:type="dxa"/>
            <w:vAlign w:val="bottom"/>
            <w:tcBorders>
              <w:bottom w:val="single" w:sz="8" w:color="EAEAEA"/>
            </w:tcBorders>
            <w:shd w:val="clear" w:color="auto" w:fill="EAEAEA"/>
          </w:tcPr>
          <w:p>
            <w:pPr>
              <w:spacing w:after="0"/>
              <w:rPr>
                <w:sz w:val="11"/>
                <w:szCs w:val="11"/>
                <w:color w:val="auto"/>
              </w:rPr>
            </w:pPr>
          </w:p>
        </w:tc>
        <w:tc>
          <w:tcPr>
            <w:tcW w:w="260" w:type="dxa"/>
            <w:vAlign w:val="bottom"/>
            <w:tcBorders>
              <w:bottom w:val="single" w:sz="8" w:color="EAEAEA"/>
            </w:tcBorders>
            <w:shd w:val="clear" w:color="auto" w:fill="EAEAEA"/>
          </w:tcPr>
          <w:p>
            <w:pPr>
              <w:spacing w:after="0"/>
              <w:rPr>
                <w:sz w:val="11"/>
                <w:szCs w:val="11"/>
                <w:color w:val="auto"/>
              </w:rPr>
            </w:pPr>
          </w:p>
        </w:tc>
        <w:tc>
          <w:tcPr>
            <w:tcW w:w="40" w:type="dxa"/>
            <w:vAlign w:val="bottom"/>
            <w:tcBorders>
              <w:bottom w:val="single" w:sz="8" w:color="auto"/>
            </w:tcBorders>
            <w:shd w:val="clear" w:color="auto" w:fill="EAEAEA"/>
          </w:tcPr>
          <w:p>
            <w:pPr>
              <w:spacing w:after="0"/>
              <w:rPr>
                <w:sz w:val="11"/>
                <w:szCs w:val="11"/>
                <w:color w:val="auto"/>
              </w:rPr>
            </w:pPr>
          </w:p>
        </w:tc>
        <w:tc>
          <w:tcPr>
            <w:tcW w:w="500" w:type="dxa"/>
            <w:vAlign w:val="bottom"/>
            <w:tcBorders>
              <w:bottom w:val="single" w:sz="8" w:color="auto"/>
            </w:tcBorders>
            <w:shd w:val="clear" w:color="auto" w:fill="EAEAEA"/>
          </w:tcPr>
          <w:p>
            <w:pPr>
              <w:spacing w:after="0"/>
              <w:rPr>
                <w:sz w:val="11"/>
                <w:szCs w:val="11"/>
                <w:color w:val="auto"/>
              </w:rPr>
            </w:pPr>
          </w:p>
        </w:tc>
        <w:tc>
          <w:tcPr>
            <w:tcW w:w="200" w:type="dxa"/>
            <w:vAlign w:val="bottom"/>
            <w:tcBorders>
              <w:bottom w:val="single" w:sz="8" w:color="auto"/>
            </w:tcBorders>
            <w:shd w:val="clear" w:color="auto" w:fill="EAEAEA"/>
          </w:tcPr>
          <w:p>
            <w:pPr>
              <w:spacing w:after="0"/>
              <w:rPr>
                <w:sz w:val="11"/>
                <w:szCs w:val="11"/>
                <w:color w:val="auto"/>
              </w:rPr>
            </w:pPr>
          </w:p>
        </w:tc>
        <w:tc>
          <w:tcPr>
            <w:tcW w:w="60" w:type="dxa"/>
            <w:vAlign w:val="bottom"/>
            <w:tcBorders>
              <w:bottom w:val="single" w:sz="8" w:color="auto"/>
            </w:tcBorders>
            <w:shd w:val="clear" w:color="auto" w:fill="EAEAEA"/>
          </w:tcPr>
          <w:p>
            <w:pPr>
              <w:spacing w:after="0"/>
              <w:rPr>
                <w:sz w:val="11"/>
                <w:szCs w:val="11"/>
                <w:color w:val="auto"/>
              </w:rPr>
            </w:pPr>
          </w:p>
        </w:tc>
        <w:tc>
          <w:tcPr>
            <w:tcW w:w="920" w:type="dxa"/>
            <w:vAlign w:val="bottom"/>
            <w:tcBorders>
              <w:bottom w:val="single" w:sz="8" w:color="auto"/>
            </w:tcBorders>
            <w:gridSpan w:val="2"/>
            <w:shd w:val="clear" w:color="auto" w:fill="EAEAEA"/>
          </w:tcPr>
          <w:p>
            <w:pPr>
              <w:ind w:left="360"/>
              <w:spacing w:after="0"/>
              <w:rPr>
                <w:sz w:val="20"/>
                <w:szCs w:val="20"/>
                <w:color w:val="auto"/>
              </w:rPr>
            </w:pPr>
            <w:r>
              <w:rPr>
                <w:rFonts w:ascii="Arial" w:cs="Arial" w:eastAsia="Arial" w:hAnsi="Arial"/>
                <w:sz w:val="10"/>
                <w:szCs w:val="10"/>
                <w:b w:val="1"/>
                <w:bCs w:val="1"/>
                <w:color w:val="auto"/>
              </w:rPr>
              <w:t>GAAP</w:t>
            </w:r>
          </w:p>
        </w:tc>
        <w:tc>
          <w:tcPr>
            <w:tcW w:w="40" w:type="dxa"/>
            <w:vAlign w:val="bottom"/>
            <w:tcBorders>
              <w:bottom w:val="single" w:sz="8" w:color="auto"/>
            </w:tcBorders>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600" w:type="dxa"/>
            <w:vAlign w:val="bottom"/>
            <w:tcBorders>
              <w:bottom w:val="single" w:sz="8" w:color="auto"/>
            </w:tcBorders>
            <w:shd w:val="clear" w:color="auto" w:fill="EAEAEA"/>
          </w:tcPr>
          <w:p>
            <w:pPr>
              <w:spacing w:after="0"/>
              <w:rPr>
                <w:sz w:val="11"/>
                <w:szCs w:val="11"/>
                <w:color w:val="auto"/>
              </w:rPr>
            </w:pPr>
          </w:p>
        </w:tc>
        <w:tc>
          <w:tcPr>
            <w:tcW w:w="60" w:type="dxa"/>
            <w:vAlign w:val="bottom"/>
            <w:tcBorders>
              <w:bottom w:val="single" w:sz="8" w:color="auto"/>
            </w:tcBorders>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80" w:type="dxa"/>
            <w:vAlign w:val="bottom"/>
            <w:tcBorders>
              <w:bottom w:val="single" w:sz="8" w:color="EAEAEA"/>
            </w:tcBorders>
            <w:shd w:val="clear" w:color="auto" w:fill="EAEAEA"/>
          </w:tcPr>
          <w:p>
            <w:pPr>
              <w:spacing w:after="0"/>
              <w:rPr>
                <w:sz w:val="11"/>
                <w:szCs w:val="11"/>
                <w:color w:val="auto"/>
              </w:rPr>
            </w:pPr>
          </w:p>
        </w:tc>
        <w:tc>
          <w:tcPr>
            <w:tcW w:w="20" w:type="dxa"/>
            <w:vAlign w:val="bottom"/>
            <w:tcBorders>
              <w:bottom w:val="single" w:sz="8" w:color="auto"/>
            </w:tcBorders>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440" w:type="dxa"/>
            <w:vAlign w:val="bottom"/>
            <w:tcBorders>
              <w:bottom w:val="single" w:sz="8" w:color="auto"/>
            </w:tcBorders>
            <w:shd w:val="clear" w:color="auto" w:fill="EAEAEA"/>
          </w:tcPr>
          <w:p>
            <w:pPr>
              <w:spacing w:after="0"/>
              <w:rPr>
                <w:sz w:val="11"/>
                <w:szCs w:val="11"/>
                <w:color w:val="auto"/>
              </w:rPr>
            </w:pPr>
          </w:p>
        </w:tc>
        <w:tc>
          <w:tcPr>
            <w:tcW w:w="60" w:type="dxa"/>
            <w:vAlign w:val="bottom"/>
            <w:tcBorders>
              <w:bottom w:val="single" w:sz="8" w:color="auto"/>
            </w:tcBorders>
            <w:shd w:val="clear" w:color="auto" w:fill="EAEAEA"/>
          </w:tcPr>
          <w:p>
            <w:pPr>
              <w:spacing w:after="0"/>
              <w:rPr>
                <w:sz w:val="11"/>
                <w:szCs w:val="11"/>
                <w:color w:val="auto"/>
              </w:rPr>
            </w:pPr>
          </w:p>
        </w:tc>
        <w:tc>
          <w:tcPr>
            <w:tcW w:w="220" w:type="dxa"/>
            <w:vAlign w:val="bottom"/>
            <w:tcBorders>
              <w:bottom w:val="single" w:sz="8" w:color="auto"/>
            </w:tcBorders>
            <w:shd w:val="clear" w:color="auto" w:fill="EAEAEA"/>
          </w:tcPr>
          <w:p>
            <w:pPr>
              <w:spacing w:after="0"/>
              <w:rPr>
                <w:sz w:val="11"/>
                <w:szCs w:val="11"/>
                <w:color w:val="auto"/>
              </w:rPr>
            </w:pPr>
          </w:p>
        </w:tc>
        <w:tc>
          <w:tcPr>
            <w:tcW w:w="780" w:type="dxa"/>
            <w:vAlign w:val="bottom"/>
            <w:tcBorders>
              <w:bottom w:val="single" w:sz="8" w:color="auto"/>
            </w:tcBorders>
            <w:gridSpan w:val="3"/>
            <w:shd w:val="clear" w:color="auto" w:fill="EAEAEA"/>
          </w:tcPr>
          <w:p>
            <w:pPr>
              <w:ind w:left="360"/>
              <w:spacing w:after="0"/>
              <w:rPr>
                <w:sz w:val="20"/>
                <w:szCs w:val="20"/>
                <w:color w:val="auto"/>
              </w:rPr>
            </w:pPr>
            <w:r>
              <w:rPr>
                <w:rFonts w:ascii="Arial" w:cs="Arial" w:eastAsia="Arial" w:hAnsi="Arial"/>
                <w:sz w:val="10"/>
                <w:szCs w:val="10"/>
                <w:b w:val="1"/>
                <w:bCs w:val="1"/>
                <w:color w:val="auto"/>
              </w:rPr>
              <w:t>Core</w:t>
            </w:r>
            <w:r>
              <w:rPr>
                <w:rFonts w:ascii="Arial" w:cs="Arial" w:eastAsia="Arial" w:hAnsi="Arial"/>
                <w:sz w:val="6"/>
                <w:szCs w:val="6"/>
                <w:b w:val="1"/>
                <w:bCs w:val="1"/>
                <w:color w:val="auto"/>
              </w:rPr>
              <w:t>(3)</w:t>
            </w:r>
          </w:p>
        </w:tc>
        <w:tc>
          <w:tcPr>
            <w:tcW w:w="160" w:type="dxa"/>
            <w:vAlign w:val="bottom"/>
            <w:tcBorders>
              <w:bottom w:val="single" w:sz="8" w:color="auto"/>
            </w:tcBorders>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680" w:type="dxa"/>
            <w:vAlign w:val="bottom"/>
            <w:tcBorders>
              <w:bottom w:val="single" w:sz="8" w:color="auto"/>
            </w:tcBorders>
            <w:shd w:val="clear" w:color="auto" w:fill="EAEAEA"/>
          </w:tcPr>
          <w:p>
            <w:pPr>
              <w:spacing w:after="0"/>
              <w:rPr>
                <w:sz w:val="11"/>
                <w:szCs w:val="11"/>
                <w:color w:val="auto"/>
              </w:rPr>
            </w:pPr>
          </w:p>
        </w:tc>
        <w:tc>
          <w:tcPr>
            <w:tcW w:w="60" w:type="dxa"/>
            <w:vAlign w:val="bottom"/>
            <w:tcBorders>
              <w:bottom w:val="single" w:sz="8" w:color="auto"/>
            </w:tcBorders>
            <w:shd w:val="clear" w:color="auto" w:fill="EAEAEA"/>
          </w:tcPr>
          <w:p>
            <w:pPr>
              <w:spacing w:after="0"/>
              <w:rPr>
                <w:sz w:val="11"/>
                <w:szCs w:val="11"/>
                <w:color w:val="auto"/>
              </w:rPr>
            </w:pPr>
          </w:p>
        </w:tc>
        <w:tc>
          <w:tcPr>
            <w:tcW w:w="20" w:type="dxa"/>
            <w:vAlign w:val="bottom"/>
            <w:tcBorders>
              <w:bottom w:val="single" w:sz="8" w:color="auto"/>
            </w:tcBorders>
            <w:shd w:val="clear" w:color="auto" w:fill="EAEAEA"/>
          </w:tcPr>
          <w:p>
            <w:pPr>
              <w:spacing w:after="0"/>
              <w:rPr>
                <w:sz w:val="11"/>
                <w:szCs w:val="11"/>
                <w:color w:val="auto"/>
              </w:rPr>
            </w:pPr>
          </w:p>
        </w:tc>
        <w:tc>
          <w:tcPr>
            <w:tcW w:w="80" w:type="dxa"/>
            <w:vAlign w:val="bottom"/>
            <w:tcBorders>
              <w:bottom w:val="single" w:sz="8" w:color="auto"/>
              <w:right w:val="single" w:sz="8" w:color="EAEAEA"/>
            </w:tcBorders>
            <w:shd w:val="clear" w:color="auto" w:fill="EAEAEA"/>
          </w:tcPr>
          <w:p>
            <w:pPr>
              <w:spacing w:after="0"/>
              <w:rPr>
                <w:sz w:val="11"/>
                <w:szCs w:val="11"/>
                <w:color w:val="auto"/>
              </w:rPr>
            </w:pPr>
          </w:p>
        </w:tc>
        <w:tc>
          <w:tcPr>
            <w:tcW w:w="720" w:type="dxa"/>
            <w:vAlign w:val="bottom"/>
            <w:tcBorders>
              <w:left w:val="single" w:sz="8" w:color="EAEAEA"/>
            </w:tcBorders>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960" w:type="dxa"/>
            <w:vAlign w:val="bottom"/>
            <w:tcBorders>
              <w:right w:val="single" w:sz="8" w:color="EAEAEA"/>
            </w:tcBorders>
          </w:tcPr>
          <w:p>
            <w:pPr>
              <w:spacing w:after="0"/>
              <w:rPr>
                <w:sz w:val="10"/>
                <w:szCs w:val="10"/>
                <w:color w:val="auto"/>
              </w:rPr>
            </w:pPr>
          </w:p>
        </w:tc>
        <w:tc>
          <w:tcPr>
            <w:tcW w:w="100" w:type="dxa"/>
            <w:vAlign w:val="bottom"/>
            <w:tcBorders>
              <w:bottom w:val="single" w:sz="8" w:color="EAEAEA"/>
            </w:tcBorders>
            <w:shd w:val="clear" w:color="auto" w:fill="EAEAEA"/>
          </w:tcPr>
          <w:p>
            <w:pPr>
              <w:spacing w:after="0"/>
              <w:rPr>
                <w:sz w:val="10"/>
                <w:szCs w:val="10"/>
                <w:color w:val="auto"/>
              </w:rPr>
            </w:pPr>
          </w:p>
        </w:tc>
        <w:tc>
          <w:tcPr>
            <w:tcW w:w="1000" w:type="dxa"/>
            <w:vAlign w:val="bottom"/>
            <w:tcBorders>
              <w:bottom w:val="single" w:sz="8" w:color="EAEAEA"/>
            </w:tcBorders>
            <w:shd w:val="clear" w:color="auto" w:fill="EAEAEA"/>
          </w:tcPr>
          <w:p>
            <w:pPr>
              <w:spacing w:after="0"/>
              <w:rPr>
                <w:sz w:val="10"/>
                <w:szCs w:val="10"/>
                <w:color w:val="auto"/>
              </w:rPr>
            </w:pPr>
          </w:p>
        </w:tc>
        <w:tc>
          <w:tcPr>
            <w:tcW w:w="100" w:type="dxa"/>
            <w:vAlign w:val="bottom"/>
            <w:tcBorders>
              <w:bottom w:val="single" w:sz="8" w:color="EAEAEA"/>
            </w:tcBorders>
            <w:shd w:val="clear" w:color="auto" w:fill="EAEAEA"/>
          </w:tcPr>
          <w:p>
            <w:pPr>
              <w:spacing w:after="0"/>
              <w:rPr>
                <w:sz w:val="10"/>
                <w:szCs w:val="10"/>
                <w:color w:val="auto"/>
              </w:rPr>
            </w:pPr>
          </w:p>
        </w:tc>
        <w:tc>
          <w:tcPr>
            <w:tcW w:w="560" w:type="dxa"/>
            <w:vAlign w:val="bottom"/>
            <w:tcBorders>
              <w:bottom w:val="single" w:sz="8" w:color="EAEAEA"/>
            </w:tcBorders>
            <w:shd w:val="clear" w:color="auto" w:fill="EAEAEA"/>
          </w:tcPr>
          <w:p>
            <w:pPr>
              <w:spacing w:after="0"/>
              <w:rPr>
                <w:sz w:val="10"/>
                <w:szCs w:val="10"/>
                <w:color w:val="auto"/>
              </w:rPr>
            </w:pPr>
          </w:p>
        </w:tc>
        <w:tc>
          <w:tcPr>
            <w:tcW w:w="260" w:type="dxa"/>
            <w:vAlign w:val="bottom"/>
            <w:tcBorders>
              <w:bottom w:val="single" w:sz="8" w:color="EAEAEA"/>
            </w:tcBorders>
            <w:shd w:val="clear" w:color="auto" w:fill="EAEAEA"/>
          </w:tcPr>
          <w:p>
            <w:pPr>
              <w:spacing w:after="0"/>
              <w:rPr>
                <w:sz w:val="10"/>
                <w:szCs w:val="10"/>
                <w:color w:val="auto"/>
              </w:rPr>
            </w:pPr>
          </w:p>
        </w:tc>
        <w:tc>
          <w:tcPr>
            <w:tcW w:w="40" w:type="dxa"/>
            <w:vAlign w:val="bottom"/>
            <w:tcBorders>
              <w:bottom w:val="single" w:sz="8" w:color="auto"/>
            </w:tcBorders>
            <w:shd w:val="clear" w:color="auto" w:fill="EAEAEA"/>
          </w:tcPr>
          <w:p>
            <w:pPr>
              <w:spacing w:after="0"/>
              <w:rPr>
                <w:sz w:val="10"/>
                <w:szCs w:val="10"/>
                <w:color w:val="auto"/>
              </w:rPr>
            </w:pPr>
          </w:p>
        </w:tc>
        <w:tc>
          <w:tcPr>
            <w:tcW w:w="1680" w:type="dxa"/>
            <w:vAlign w:val="bottom"/>
            <w:tcBorders>
              <w:bottom w:val="single" w:sz="8" w:color="auto"/>
            </w:tcBorders>
            <w:gridSpan w:val="5"/>
            <w:shd w:val="clear" w:color="auto" w:fill="EAEAEA"/>
          </w:tcPr>
          <w:p>
            <w:pPr>
              <w:jc w:val="center"/>
              <w:spacing w:after="0"/>
              <w:rPr>
                <w:sz w:val="20"/>
                <w:szCs w:val="20"/>
                <w:color w:val="auto"/>
              </w:rPr>
            </w:pPr>
            <w:r>
              <w:rPr>
                <w:rFonts w:ascii="Arial" w:cs="Arial" w:eastAsia="Arial" w:hAnsi="Arial"/>
                <w:sz w:val="10"/>
                <w:szCs w:val="10"/>
                <w:b w:val="1"/>
                <w:bCs w:val="1"/>
                <w:color w:val="auto"/>
                <w:w w:val="96"/>
              </w:rPr>
              <w:t>Nine Months Ended</w:t>
            </w:r>
          </w:p>
        </w:tc>
        <w:tc>
          <w:tcPr>
            <w:tcW w:w="40" w:type="dxa"/>
            <w:vAlign w:val="bottom"/>
            <w:tcBorders>
              <w:bottom w:val="single" w:sz="8" w:color="auto"/>
            </w:tcBorders>
            <w:shd w:val="clear" w:color="auto" w:fill="EAEAEA"/>
          </w:tcPr>
          <w:p>
            <w:pPr>
              <w:spacing w:after="0"/>
              <w:rPr>
                <w:sz w:val="10"/>
                <w:szCs w:val="10"/>
                <w:color w:val="auto"/>
              </w:rPr>
            </w:pPr>
          </w:p>
        </w:tc>
        <w:tc>
          <w:tcPr>
            <w:tcW w:w="80" w:type="dxa"/>
            <w:vAlign w:val="bottom"/>
            <w:tcBorders>
              <w:bottom w:val="single" w:sz="8" w:color="EAEAEA"/>
            </w:tcBorders>
            <w:shd w:val="clear" w:color="auto" w:fill="EAEAEA"/>
          </w:tcPr>
          <w:p>
            <w:pPr>
              <w:spacing w:after="0"/>
              <w:rPr>
                <w:sz w:val="10"/>
                <w:szCs w:val="10"/>
                <w:color w:val="auto"/>
              </w:rPr>
            </w:pPr>
          </w:p>
        </w:tc>
        <w:tc>
          <w:tcPr>
            <w:tcW w:w="760" w:type="dxa"/>
            <w:vAlign w:val="bottom"/>
            <w:tcBorders>
              <w:bottom w:val="single" w:sz="8" w:color="auto"/>
            </w:tcBorders>
            <w:gridSpan w:val="3"/>
            <w:shd w:val="clear" w:color="auto" w:fill="EAEAEA"/>
          </w:tcPr>
          <w:p>
            <w:pPr>
              <w:jc w:val="center"/>
              <w:spacing w:after="0"/>
              <w:rPr>
                <w:sz w:val="20"/>
                <w:szCs w:val="20"/>
                <w:color w:val="auto"/>
              </w:rPr>
            </w:pPr>
            <w:r>
              <w:rPr>
                <w:rFonts w:ascii="Arial" w:cs="Arial" w:eastAsia="Arial" w:hAnsi="Arial"/>
                <w:sz w:val="10"/>
                <w:szCs w:val="10"/>
                <w:b w:val="1"/>
                <w:bCs w:val="1"/>
                <w:color w:val="auto"/>
                <w:w w:val="98"/>
              </w:rPr>
              <w:t>Change</w:t>
            </w:r>
          </w:p>
        </w:tc>
        <w:tc>
          <w:tcPr>
            <w:tcW w:w="80" w:type="dxa"/>
            <w:vAlign w:val="bottom"/>
            <w:tcBorders>
              <w:bottom w:val="single" w:sz="8" w:color="EAEAEA"/>
            </w:tcBorders>
            <w:shd w:val="clear" w:color="auto" w:fill="EAEAEA"/>
          </w:tcPr>
          <w:p>
            <w:pPr>
              <w:spacing w:after="0"/>
              <w:rPr>
                <w:sz w:val="10"/>
                <w:szCs w:val="10"/>
                <w:color w:val="auto"/>
              </w:rPr>
            </w:pPr>
          </w:p>
        </w:tc>
        <w:tc>
          <w:tcPr>
            <w:tcW w:w="20" w:type="dxa"/>
            <w:vAlign w:val="bottom"/>
            <w:tcBorders>
              <w:bottom w:val="single" w:sz="8" w:color="auto"/>
            </w:tcBorders>
            <w:shd w:val="clear" w:color="auto" w:fill="EAEAEA"/>
          </w:tcPr>
          <w:p>
            <w:pPr>
              <w:spacing w:after="0"/>
              <w:rPr>
                <w:sz w:val="10"/>
                <w:szCs w:val="10"/>
                <w:color w:val="auto"/>
              </w:rPr>
            </w:pPr>
          </w:p>
        </w:tc>
        <w:tc>
          <w:tcPr>
            <w:tcW w:w="80" w:type="dxa"/>
            <w:vAlign w:val="bottom"/>
            <w:tcBorders>
              <w:bottom w:val="single" w:sz="8" w:color="auto"/>
            </w:tcBorders>
            <w:shd w:val="clear" w:color="auto" w:fill="EAEAEA"/>
          </w:tcPr>
          <w:p>
            <w:pPr>
              <w:spacing w:after="0"/>
              <w:rPr>
                <w:sz w:val="10"/>
                <w:szCs w:val="10"/>
                <w:color w:val="auto"/>
              </w:rPr>
            </w:pPr>
          </w:p>
        </w:tc>
        <w:tc>
          <w:tcPr>
            <w:tcW w:w="1500" w:type="dxa"/>
            <w:vAlign w:val="bottom"/>
            <w:tcBorders>
              <w:bottom w:val="single" w:sz="8" w:color="auto"/>
            </w:tcBorders>
            <w:gridSpan w:val="6"/>
            <w:shd w:val="clear" w:color="auto" w:fill="EAEAEA"/>
          </w:tcPr>
          <w:p>
            <w:pPr>
              <w:jc w:val="center"/>
              <w:ind w:left="32"/>
              <w:spacing w:after="0"/>
              <w:rPr>
                <w:sz w:val="20"/>
                <w:szCs w:val="20"/>
                <w:color w:val="auto"/>
              </w:rPr>
            </w:pPr>
            <w:r>
              <w:rPr>
                <w:rFonts w:ascii="Arial" w:cs="Arial" w:eastAsia="Arial" w:hAnsi="Arial"/>
                <w:sz w:val="10"/>
                <w:szCs w:val="10"/>
                <w:b w:val="1"/>
                <w:bCs w:val="1"/>
                <w:color w:val="auto"/>
                <w:w w:val="96"/>
              </w:rPr>
              <w:t>Nine Months Ended</w:t>
            </w:r>
          </w:p>
        </w:tc>
        <w:tc>
          <w:tcPr>
            <w:tcW w:w="160" w:type="dxa"/>
            <w:vAlign w:val="bottom"/>
            <w:tcBorders>
              <w:bottom w:val="single" w:sz="8" w:color="auto"/>
            </w:tcBorders>
            <w:shd w:val="clear" w:color="auto" w:fill="EAEAEA"/>
          </w:tcPr>
          <w:p>
            <w:pPr>
              <w:spacing w:after="0"/>
              <w:rPr>
                <w:sz w:val="10"/>
                <w:szCs w:val="10"/>
                <w:color w:val="auto"/>
              </w:rPr>
            </w:pPr>
          </w:p>
        </w:tc>
        <w:tc>
          <w:tcPr>
            <w:tcW w:w="80" w:type="dxa"/>
            <w:vAlign w:val="bottom"/>
            <w:tcBorders>
              <w:bottom w:val="single" w:sz="8" w:color="EAEAEA"/>
            </w:tcBorders>
            <w:shd w:val="clear" w:color="auto" w:fill="EAEAEA"/>
          </w:tcPr>
          <w:p>
            <w:pPr>
              <w:spacing w:after="0"/>
              <w:rPr>
                <w:sz w:val="10"/>
                <w:szCs w:val="10"/>
                <w:color w:val="auto"/>
              </w:rPr>
            </w:pPr>
          </w:p>
        </w:tc>
        <w:tc>
          <w:tcPr>
            <w:tcW w:w="760" w:type="dxa"/>
            <w:vAlign w:val="bottom"/>
            <w:tcBorders>
              <w:bottom w:val="single" w:sz="8" w:color="auto"/>
            </w:tcBorders>
            <w:gridSpan w:val="3"/>
            <w:shd w:val="clear" w:color="auto" w:fill="EAEAEA"/>
          </w:tcPr>
          <w:p>
            <w:pPr>
              <w:jc w:val="center"/>
              <w:spacing w:after="0"/>
              <w:rPr>
                <w:sz w:val="20"/>
                <w:szCs w:val="20"/>
                <w:color w:val="auto"/>
              </w:rPr>
            </w:pPr>
            <w:r>
              <w:rPr>
                <w:rFonts w:ascii="Arial" w:cs="Arial" w:eastAsia="Arial" w:hAnsi="Arial"/>
                <w:sz w:val="10"/>
                <w:szCs w:val="10"/>
                <w:b w:val="1"/>
                <w:bCs w:val="1"/>
                <w:color w:val="auto"/>
                <w:w w:val="98"/>
              </w:rPr>
              <w:t>Change</w:t>
            </w:r>
          </w:p>
        </w:tc>
        <w:tc>
          <w:tcPr>
            <w:tcW w:w="80" w:type="dxa"/>
            <w:vAlign w:val="bottom"/>
            <w:tcBorders>
              <w:bottom w:val="single" w:sz="8" w:color="auto"/>
              <w:right w:val="single" w:sz="8" w:color="EAEAEA"/>
            </w:tcBorders>
            <w:shd w:val="clear" w:color="auto" w:fill="EAEAEA"/>
          </w:tcPr>
          <w:p>
            <w:pPr>
              <w:spacing w:after="0"/>
              <w:rPr>
                <w:sz w:val="10"/>
                <w:szCs w:val="10"/>
                <w:color w:val="auto"/>
              </w:rPr>
            </w:pPr>
          </w:p>
        </w:tc>
        <w:tc>
          <w:tcPr>
            <w:tcW w:w="720" w:type="dxa"/>
            <w:vAlign w:val="bottom"/>
            <w:tcBorders>
              <w:left w:val="single" w:sz="8" w:color="EAEAEA"/>
            </w:tcBorders>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960" w:type="dxa"/>
            <w:vAlign w:val="bottom"/>
            <w:tcBorders>
              <w:right w:val="single" w:sz="8" w:color="EAEAEA"/>
            </w:tcBorders>
          </w:tcPr>
          <w:p>
            <w:pPr>
              <w:spacing w:after="0"/>
              <w:rPr>
                <w:sz w:val="10"/>
                <w:szCs w:val="10"/>
                <w:color w:val="auto"/>
              </w:rPr>
            </w:pPr>
          </w:p>
        </w:tc>
        <w:tc>
          <w:tcPr>
            <w:tcW w:w="1200" w:type="dxa"/>
            <w:vAlign w:val="bottom"/>
            <w:gridSpan w:val="3"/>
            <w:shd w:val="clear" w:color="auto" w:fill="EAEAEA"/>
          </w:tcPr>
          <w:p>
            <w:pPr>
              <w:spacing w:after="0"/>
              <w:rPr>
                <w:sz w:val="20"/>
                <w:szCs w:val="20"/>
                <w:color w:val="auto"/>
              </w:rPr>
            </w:pPr>
            <w:r>
              <w:rPr>
                <w:rFonts w:ascii="Arial" w:cs="Arial" w:eastAsia="Arial" w:hAnsi="Arial"/>
                <w:sz w:val="7"/>
                <w:szCs w:val="7"/>
                <w:color w:val="auto"/>
              </w:rPr>
              <w:t>(in millions, except per share data)</w:t>
            </w:r>
          </w:p>
        </w:tc>
        <w:tc>
          <w:tcPr>
            <w:tcW w:w="560" w:type="dxa"/>
            <w:vAlign w:val="bottom"/>
            <w:shd w:val="clear" w:color="auto" w:fill="EAEAEA"/>
          </w:tcPr>
          <w:p>
            <w:pPr>
              <w:spacing w:after="0"/>
              <w:rPr>
                <w:sz w:val="10"/>
                <w:szCs w:val="10"/>
                <w:color w:val="auto"/>
              </w:rPr>
            </w:pPr>
          </w:p>
        </w:tc>
        <w:tc>
          <w:tcPr>
            <w:tcW w:w="260" w:type="dxa"/>
            <w:vAlign w:val="bottom"/>
            <w:shd w:val="clear" w:color="auto" w:fill="EAEAEA"/>
          </w:tcPr>
          <w:p>
            <w:pPr>
              <w:spacing w:after="0"/>
              <w:rPr>
                <w:sz w:val="10"/>
                <w:szCs w:val="10"/>
                <w:color w:val="auto"/>
              </w:rPr>
            </w:pPr>
          </w:p>
        </w:tc>
        <w:tc>
          <w:tcPr>
            <w:tcW w:w="40" w:type="dxa"/>
            <w:vAlign w:val="bottom"/>
            <w:shd w:val="clear" w:color="auto" w:fill="EAEAEA"/>
          </w:tcPr>
          <w:p>
            <w:pPr>
              <w:spacing w:after="0"/>
              <w:rPr>
                <w:sz w:val="10"/>
                <w:szCs w:val="10"/>
                <w:color w:val="auto"/>
              </w:rPr>
            </w:pPr>
          </w:p>
        </w:tc>
        <w:tc>
          <w:tcPr>
            <w:tcW w:w="760" w:type="dxa"/>
            <w:vAlign w:val="bottom"/>
            <w:gridSpan w:val="3"/>
            <w:shd w:val="clear" w:color="auto" w:fill="EAEAEA"/>
          </w:tcPr>
          <w:p>
            <w:pPr>
              <w:jc w:val="center"/>
              <w:spacing w:after="0"/>
              <w:rPr>
                <w:sz w:val="20"/>
                <w:szCs w:val="20"/>
                <w:color w:val="auto"/>
              </w:rPr>
            </w:pPr>
            <w:r>
              <w:rPr>
                <w:rFonts w:ascii="Arial" w:cs="Arial" w:eastAsia="Arial" w:hAnsi="Arial"/>
                <w:sz w:val="10"/>
                <w:szCs w:val="10"/>
                <w:b w:val="1"/>
                <w:bCs w:val="1"/>
                <w:color w:val="auto"/>
                <w:w w:val="97"/>
              </w:rPr>
              <w:t>3Q26</w:t>
            </w:r>
          </w:p>
        </w:tc>
        <w:tc>
          <w:tcPr>
            <w:tcW w:w="420" w:type="dxa"/>
            <w:vAlign w:val="bottom"/>
            <w:shd w:val="clear" w:color="auto" w:fill="EAEAEA"/>
          </w:tcPr>
          <w:p>
            <w:pPr>
              <w:spacing w:after="0"/>
              <w:rPr>
                <w:sz w:val="10"/>
                <w:szCs w:val="10"/>
                <w:color w:val="auto"/>
              </w:rPr>
            </w:pPr>
          </w:p>
        </w:tc>
        <w:tc>
          <w:tcPr>
            <w:tcW w:w="500" w:type="dxa"/>
            <w:vAlign w:val="bottom"/>
            <w:shd w:val="clear" w:color="auto" w:fill="EAEAEA"/>
          </w:tcPr>
          <w:p>
            <w:pPr>
              <w:jc w:val="center"/>
              <w:ind w:right="212"/>
              <w:spacing w:after="0"/>
              <w:rPr>
                <w:sz w:val="20"/>
                <w:szCs w:val="20"/>
                <w:color w:val="auto"/>
              </w:rPr>
            </w:pPr>
            <w:r>
              <w:rPr>
                <w:rFonts w:ascii="Arial" w:cs="Arial" w:eastAsia="Arial" w:hAnsi="Arial"/>
                <w:sz w:val="10"/>
                <w:szCs w:val="10"/>
                <w:b w:val="1"/>
                <w:bCs w:val="1"/>
                <w:color w:val="auto"/>
                <w:w w:val="97"/>
              </w:rPr>
              <w:t>3Q25</w:t>
            </w:r>
          </w:p>
        </w:tc>
        <w:tc>
          <w:tcPr>
            <w:tcW w:w="4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860" w:type="dxa"/>
            <w:vAlign w:val="bottom"/>
            <w:gridSpan w:val="5"/>
            <w:shd w:val="clear" w:color="auto" w:fill="EAEAEA"/>
          </w:tcPr>
          <w:p>
            <w:pPr>
              <w:jc w:val="center"/>
              <w:ind w:right="100"/>
              <w:spacing w:after="0"/>
              <w:rPr>
                <w:sz w:val="20"/>
                <w:szCs w:val="20"/>
                <w:color w:val="auto"/>
              </w:rPr>
            </w:pPr>
            <w:r>
              <w:rPr>
                <w:rFonts w:ascii="Arial" w:cs="Arial" w:eastAsia="Arial" w:hAnsi="Arial"/>
                <w:sz w:val="10"/>
                <w:szCs w:val="10"/>
                <w:b w:val="1"/>
                <w:bCs w:val="1"/>
                <w:color w:val="auto"/>
                <w:w w:val="97"/>
              </w:rPr>
              <w:t>3Q26 vs 3Q25</w:t>
            </w:r>
          </w:p>
        </w:tc>
        <w:tc>
          <w:tcPr>
            <w:tcW w:w="80" w:type="dxa"/>
            <w:vAlign w:val="bottom"/>
            <w:shd w:val="clear" w:color="auto" w:fill="EAEAEA"/>
          </w:tcPr>
          <w:p>
            <w:pPr>
              <w:spacing w:after="0"/>
              <w:rPr>
                <w:sz w:val="10"/>
                <w:szCs w:val="10"/>
                <w:color w:val="auto"/>
              </w:rPr>
            </w:pPr>
          </w:p>
        </w:tc>
        <w:tc>
          <w:tcPr>
            <w:tcW w:w="500" w:type="dxa"/>
            <w:vAlign w:val="bottom"/>
            <w:gridSpan w:val="2"/>
            <w:shd w:val="clear" w:color="auto" w:fill="EAEAEA"/>
          </w:tcPr>
          <w:p>
            <w:pPr>
              <w:jc w:val="center"/>
              <w:ind w:left="112"/>
              <w:spacing w:after="0"/>
              <w:rPr>
                <w:sz w:val="20"/>
                <w:szCs w:val="20"/>
                <w:color w:val="auto"/>
              </w:rPr>
            </w:pPr>
            <w:r>
              <w:rPr>
                <w:rFonts w:ascii="Arial" w:cs="Arial" w:eastAsia="Arial" w:hAnsi="Arial"/>
                <w:sz w:val="10"/>
                <w:szCs w:val="10"/>
                <w:b w:val="1"/>
                <w:bCs w:val="1"/>
                <w:color w:val="auto"/>
                <w:w w:val="89"/>
              </w:rPr>
              <w:t>3Q26</w:t>
            </w:r>
          </w:p>
        </w:tc>
        <w:tc>
          <w:tcPr>
            <w:tcW w:w="220" w:type="dxa"/>
            <w:vAlign w:val="bottom"/>
            <w:shd w:val="clear" w:color="auto" w:fill="EAEAEA"/>
          </w:tcPr>
          <w:p>
            <w:pPr>
              <w:spacing w:after="0"/>
              <w:rPr>
                <w:sz w:val="10"/>
                <w:szCs w:val="10"/>
                <w:color w:val="auto"/>
              </w:rPr>
            </w:pPr>
          </w:p>
        </w:tc>
        <w:tc>
          <w:tcPr>
            <w:tcW w:w="780" w:type="dxa"/>
            <w:vAlign w:val="bottom"/>
            <w:gridSpan w:val="3"/>
            <w:shd w:val="clear" w:color="auto" w:fill="EAEAEA"/>
          </w:tcPr>
          <w:p>
            <w:pPr>
              <w:jc w:val="center"/>
              <w:ind w:left="212"/>
              <w:spacing w:after="0"/>
              <w:rPr>
                <w:sz w:val="20"/>
                <w:szCs w:val="20"/>
                <w:color w:val="auto"/>
              </w:rPr>
            </w:pPr>
            <w:r>
              <w:rPr>
                <w:rFonts w:ascii="Arial" w:cs="Arial" w:eastAsia="Arial" w:hAnsi="Arial"/>
                <w:sz w:val="10"/>
                <w:szCs w:val="10"/>
                <w:b w:val="1"/>
                <w:bCs w:val="1"/>
                <w:color w:val="auto"/>
                <w:w w:val="97"/>
              </w:rPr>
              <w:t>3Q25</w:t>
            </w:r>
          </w:p>
        </w:tc>
        <w:tc>
          <w:tcPr>
            <w:tcW w:w="160" w:type="dxa"/>
            <w:vAlign w:val="bottom"/>
            <w:shd w:val="clear" w:color="auto" w:fill="EAEAEA"/>
          </w:tcPr>
          <w:p>
            <w:pPr>
              <w:spacing w:after="0"/>
              <w:rPr>
                <w:sz w:val="10"/>
                <w:szCs w:val="10"/>
                <w:color w:val="auto"/>
              </w:rPr>
            </w:pPr>
          </w:p>
        </w:tc>
        <w:tc>
          <w:tcPr>
            <w:tcW w:w="80" w:type="dxa"/>
            <w:vAlign w:val="bottom"/>
            <w:shd w:val="clear" w:color="auto" w:fill="EAEAEA"/>
          </w:tcPr>
          <w:p>
            <w:pPr>
              <w:spacing w:after="0"/>
              <w:rPr>
                <w:sz w:val="10"/>
                <w:szCs w:val="10"/>
                <w:color w:val="auto"/>
              </w:rPr>
            </w:pPr>
          </w:p>
        </w:tc>
        <w:tc>
          <w:tcPr>
            <w:tcW w:w="760" w:type="dxa"/>
            <w:vAlign w:val="bottom"/>
            <w:gridSpan w:val="3"/>
            <w:shd w:val="clear" w:color="auto" w:fill="EAEAEA"/>
          </w:tcPr>
          <w:p>
            <w:pPr>
              <w:jc w:val="center"/>
              <w:spacing w:after="0"/>
              <w:rPr>
                <w:sz w:val="20"/>
                <w:szCs w:val="20"/>
                <w:color w:val="auto"/>
              </w:rPr>
            </w:pPr>
            <w:r>
              <w:rPr>
                <w:rFonts w:ascii="Arial" w:cs="Arial" w:eastAsia="Arial" w:hAnsi="Arial"/>
                <w:sz w:val="10"/>
                <w:szCs w:val="10"/>
                <w:b w:val="1"/>
                <w:bCs w:val="1"/>
                <w:color w:val="auto"/>
                <w:w w:val="97"/>
              </w:rPr>
              <w:t>3Q26 vs 3Q25</w:t>
            </w:r>
          </w:p>
        </w:tc>
        <w:tc>
          <w:tcPr>
            <w:tcW w:w="80" w:type="dxa"/>
            <w:vAlign w:val="bottom"/>
            <w:tcBorders>
              <w:right w:val="single" w:sz="8" w:color="EAEAEA"/>
            </w:tcBorders>
            <w:shd w:val="clear" w:color="auto" w:fill="EAEAEA"/>
          </w:tcPr>
          <w:p>
            <w:pPr>
              <w:spacing w:after="0"/>
              <w:rPr>
                <w:sz w:val="10"/>
                <w:szCs w:val="10"/>
                <w:color w:val="auto"/>
              </w:rPr>
            </w:pPr>
          </w:p>
        </w:tc>
        <w:tc>
          <w:tcPr>
            <w:tcW w:w="720" w:type="dxa"/>
            <w:vAlign w:val="bottom"/>
            <w:tcBorders>
              <w:left w:val="single" w:sz="8" w:color="EAEAEA"/>
            </w:tcBorders>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60" w:type="dxa"/>
            <w:vAlign w:val="bottom"/>
          </w:tcPr>
          <w:p>
            <w:pPr>
              <w:spacing w:after="0"/>
              <w:rPr>
                <w:sz w:val="9"/>
                <w:szCs w:val="9"/>
                <w:color w:val="auto"/>
              </w:rPr>
            </w:pPr>
          </w:p>
        </w:tc>
        <w:tc>
          <w:tcPr>
            <w:tcW w:w="1200" w:type="dxa"/>
            <w:vAlign w:val="bottom"/>
            <w:gridSpan w:val="3"/>
          </w:tcPr>
          <w:p>
            <w:pPr>
              <w:spacing w:after="0" w:line="113" w:lineRule="exact"/>
              <w:rPr>
                <w:sz w:val="20"/>
                <w:szCs w:val="20"/>
                <w:color w:val="auto"/>
              </w:rPr>
            </w:pPr>
            <w:r>
              <w:rPr>
                <w:rFonts w:ascii="Arial" w:cs="Arial" w:eastAsia="Arial" w:hAnsi="Arial"/>
                <w:sz w:val="10"/>
                <w:szCs w:val="10"/>
                <w:b w:val="1"/>
                <w:bCs w:val="1"/>
                <w:color w:val="auto"/>
              </w:rPr>
              <w:t>Earnings Summary</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vMerge w:val="restart"/>
          </w:tcPr>
          <w:p>
            <w:pPr>
              <w:jc w:val="center"/>
              <w:ind w:left="212"/>
              <w:spacing w:after="0"/>
              <w:rPr>
                <w:sz w:val="20"/>
                <w:szCs w:val="20"/>
                <w:color w:val="auto"/>
              </w:rPr>
            </w:pPr>
            <w:r>
              <w:rPr>
                <w:rFonts w:ascii="Arial" w:cs="Arial" w:eastAsia="Arial" w:hAnsi="Arial"/>
                <w:sz w:val="10"/>
                <w:szCs w:val="10"/>
                <w:b w:val="1"/>
                <w:bCs w:val="1"/>
                <w:color w:val="auto"/>
                <w:w w:val="95"/>
              </w:rPr>
              <w:t>$39.4</w:t>
            </w:r>
          </w:p>
        </w:tc>
        <w:tc>
          <w:tcPr>
            <w:tcW w:w="2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gridSpan w:val="3"/>
            <w:vMerge w:val="restart"/>
          </w:tcPr>
          <w:p>
            <w:pPr>
              <w:jc w:val="center"/>
              <w:ind w:left="172"/>
              <w:spacing w:after="0"/>
              <w:rPr>
                <w:sz w:val="20"/>
                <w:szCs w:val="20"/>
                <w:color w:val="auto"/>
              </w:rPr>
            </w:pPr>
            <w:r>
              <w:rPr>
                <w:rFonts w:ascii="Arial" w:cs="Arial" w:eastAsia="Arial" w:hAnsi="Arial"/>
                <w:sz w:val="10"/>
                <w:szCs w:val="10"/>
                <w:b w:val="1"/>
                <w:bCs w:val="1"/>
                <w:color w:val="auto"/>
                <w:w w:val="95"/>
              </w:rPr>
              <w:t>$41.0</w:t>
            </w:r>
          </w:p>
        </w:tc>
        <w:tc>
          <w:tcPr>
            <w:tcW w:w="2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200" w:type="dxa"/>
            <w:vAlign w:val="bottom"/>
            <w:gridSpan w:val="3"/>
          </w:tcPr>
          <w:p>
            <w:pPr>
              <w:spacing w:after="0"/>
              <w:rPr>
                <w:sz w:val="20"/>
                <w:szCs w:val="20"/>
                <w:color w:val="auto"/>
              </w:rPr>
            </w:pPr>
            <w:r>
              <w:rPr>
                <w:rFonts w:ascii="Arial" w:cs="Arial" w:eastAsia="Arial" w:hAnsi="Arial"/>
                <w:sz w:val="10"/>
                <w:szCs w:val="10"/>
                <w:color w:val="auto"/>
              </w:rPr>
              <w:t>Net Income</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left="112"/>
              <w:spacing w:after="0"/>
              <w:rPr>
                <w:sz w:val="20"/>
                <w:szCs w:val="20"/>
                <w:color w:val="auto"/>
              </w:rPr>
            </w:pPr>
            <w:r>
              <w:rPr>
                <w:rFonts w:ascii="Arial" w:cs="Arial" w:eastAsia="Arial" w:hAnsi="Arial"/>
                <w:sz w:val="10"/>
                <w:szCs w:val="10"/>
                <w:color w:val="auto"/>
                <w:w w:val="95"/>
              </w:rPr>
              <w:t>$42.1</w:t>
            </w:r>
          </w:p>
        </w:tc>
        <w:tc>
          <w:tcPr>
            <w:tcW w:w="720" w:type="dxa"/>
            <w:vAlign w:val="bottom"/>
            <w:gridSpan w:val="3"/>
          </w:tcPr>
          <w:p>
            <w:pPr>
              <w:jc w:val="center"/>
              <w:ind w:left="232"/>
              <w:spacing w:after="0"/>
              <w:rPr>
                <w:sz w:val="20"/>
                <w:szCs w:val="20"/>
                <w:color w:val="auto"/>
              </w:rPr>
            </w:pPr>
            <w:r>
              <w:rPr>
                <w:rFonts w:ascii="Arial" w:cs="Arial" w:eastAsia="Arial" w:hAnsi="Arial"/>
                <w:sz w:val="10"/>
                <w:szCs w:val="10"/>
                <w:color w:val="auto"/>
                <w:w w:val="94"/>
              </w:rPr>
              <w:t>(6.5)%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vMerge w:val="continue"/>
          </w:tcPr>
          <w:p>
            <w:pPr>
              <w:spacing w:after="0"/>
              <w:rPr>
                <w:sz w:val="11"/>
                <w:szCs w:val="11"/>
                <w:color w:val="auto"/>
              </w:rPr>
            </w:pPr>
          </w:p>
        </w:tc>
        <w:tc>
          <w:tcPr>
            <w:tcW w:w="920" w:type="dxa"/>
            <w:vAlign w:val="bottom"/>
            <w:gridSpan w:val="3"/>
          </w:tcPr>
          <w:p>
            <w:pPr>
              <w:jc w:val="center"/>
              <w:ind w:left="512"/>
              <w:spacing w:after="0"/>
              <w:rPr>
                <w:sz w:val="20"/>
                <w:szCs w:val="20"/>
                <w:color w:val="auto"/>
              </w:rPr>
            </w:pPr>
            <w:r>
              <w:rPr>
                <w:rFonts w:ascii="Arial" w:cs="Arial" w:eastAsia="Arial" w:hAnsi="Arial"/>
                <w:sz w:val="10"/>
                <w:szCs w:val="10"/>
                <w:color w:val="auto"/>
                <w:w w:val="95"/>
              </w:rPr>
              <w:t>$41.3</w:t>
            </w:r>
          </w:p>
        </w:tc>
        <w:tc>
          <w:tcPr>
            <w:tcW w:w="80" w:type="dxa"/>
            <w:vAlign w:val="bottom"/>
          </w:tcPr>
          <w:p>
            <w:pPr>
              <w:spacing w:after="0"/>
              <w:rPr>
                <w:sz w:val="11"/>
                <w:szCs w:val="11"/>
                <w:color w:val="auto"/>
              </w:rPr>
            </w:pPr>
          </w:p>
        </w:tc>
        <w:tc>
          <w:tcPr>
            <w:tcW w:w="920" w:type="dxa"/>
            <w:vAlign w:val="bottom"/>
            <w:gridSpan w:val="3"/>
          </w:tcPr>
          <w:p>
            <w:pPr>
              <w:jc w:val="right"/>
              <w:ind w:right="92"/>
              <w:spacing w:after="0"/>
              <w:rPr>
                <w:sz w:val="20"/>
                <w:szCs w:val="20"/>
                <w:color w:val="auto"/>
              </w:rPr>
            </w:pPr>
            <w:r>
              <w:rPr>
                <w:rFonts w:ascii="Arial" w:cs="Arial" w:eastAsia="Arial" w:hAnsi="Arial"/>
                <w:sz w:val="10"/>
                <w:szCs w:val="10"/>
                <w:color w:val="auto"/>
              </w:rPr>
              <w:t>(0.7)%</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200" w:type="dxa"/>
            <w:vAlign w:val="bottom"/>
            <w:gridSpan w:val="3"/>
          </w:tcPr>
          <w:p>
            <w:pPr>
              <w:spacing w:after="0"/>
              <w:rPr>
                <w:sz w:val="20"/>
                <w:szCs w:val="20"/>
                <w:color w:val="auto"/>
              </w:rPr>
            </w:pPr>
            <w:r>
              <w:rPr>
                <w:rFonts w:ascii="Arial" w:cs="Arial" w:eastAsia="Arial" w:hAnsi="Arial"/>
                <w:sz w:val="10"/>
                <w:szCs w:val="10"/>
                <w:color w:val="auto"/>
                <w:w w:val="96"/>
              </w:rPr>
              <w:t>Earnings per share - diluted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jc w:val="center"/>
              <w:ind w:left="212"/>
              <w:spacing w:after="0"/>
              <w:rPr>
                <w:sz w:val="20"/>
                <w:szCs w:val="20"/>
                <w:color w:val="auto"/>
              </w:rPr>
            </w:pPr>
            <w:r>
              <w:rPr>
                <w:rFonts w:ascii="Arial" w:cs="Arial" w:eastAsia="Arial" w:hAnsi="Arial"/>
                <w:sz w:val="10"/>
                <w:szCs w:val="10"/>
                <w:b w:val="1"/>
                <w:bCs w:val="1"/>
                <w:color w:val="auto"/>
                <w:w w:val="95"/>
              </w:rPr>
              <w:t>$2.40</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left="112"/>
              <w:spacing w:after="0"/>
              <w:rPr>
                <w:sz w:val="20"/>
                <w:szCs w:val="20"/>
                <w:color w:val="auto"/>
              </w:rPr>
            </w:pPr>
            <w:r>
              <w:rPr>
                <w:rFonts w:ascii="Arial" w:cs="Arial" w:eastAsia="Arial" w:hAnsi="Arial"/>
                <w:sz w:val="10"/>
                <w:szCs w:val="10"/>
                <w:color w:val="auto"/>
                <w:w w:val="95"/>
              </w:rPr>
              <w:t>$2.50</w:t>
            </w:r>
          </w:p>
        </w:tc>
        <w:tc>
          <w:tcPr>
            <w:tcW w:w="720" w:type="dxa"/>
            <w:vAlign w:val="bottom"/>
            <w:gridSpan w:val="3"/>
          </w:tcPr>
          <w:p>
            <w:pPr>
              <w:jc w:val="center"/>
              <w:ind w:left="232"/>
              <w:spacing w:after="0"/>
              <w:rPr>
                <w:sz w:val="20"/>
                <w:szCs w:val="20"/>
                <w:color w:val="auto"/>
              </w:rPr>
            </w:pPr>
            <w:r>
              <w:rPr>
                <w:rFonts w:ascii="Arial" w:cs="Arial" w:eastAsia="Arial" w:hAnsi="Arial"/>
                <w:sz w:val="10"/>
                <w:szCs w:val="10"/>
                <w:color w:val="auto"/>
                <w:w w:val="94"/>
              </w:rPr>
              <w:t>(4.0)%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tcPr>
          <w:p>
            <w:pPr>
              <w:jc w:val="center"/>
              <w:ind w:left="172"/>
              <w:spacing w:after="0"/>
              <w:rPr>
                <w:sz w:val="20"/>
                <w:szCs w:val="20"/>
                <w:color w:val="auto"/>
              </w:rPr>
            </w:pPr>
            <w:r>
              <w:rPr>
                <w:rFonts w:ascii="Arial" w:cs="Arial" w:eastAsia="Arial" w:hAnsi="Arial"/>
                <w:sz w:val="10"/>
                <w:szCs w:val="10"/>
                <w:b w:val="1"/>
                <w:bCs w:val="1"/>
                <w:color w:val="auto"/>
                <w:w w:val="95"/>
              </w:rPr>
              <w:t>$2.49</w:t>
            </w:r>
          </w:p>
        </w:tc>
        <w:tc>
          <w:tcPr>
            <w:tcW w:w="920" w:type="dxa"/>
            <w:vAlign w:val="bottom"/>
            <w:gridSpan w:val="3"/>
          </w:tcPr>
          <w:p>
            <w:pPr>
              <w:jc w:val="center"/>
              <w:ind w:left="512"/>
              <w:spacing w:after="0"/>
              <w:rPr>
                <w:sz w:val="20"/>
                <w:szCs w:val="20"/>
                <w:color w:val="auto"/>
              </w:rPr>
            </w:pPr>
            <w:r>
              <w:rPr>
                <w:rFonts w:ascii="Arial" w:cs="Arial" w:eastAsia="Arial" w:hAnsi="Arial"/>
                <w:sz w:val="10"/>
                <w:szCs w:val="10"/>
                <w:color w:val="auto"/>
                <w:w w:val="95"/>
              </w:rPr>
              <w:t>$2.45</w:t>
            </w:r>
          </w:p>
        </w:tc>
        <w:tc>
          <w:tcPr>
            <w:tcW w:w="80" w:type="dxa"/>
            <w:vAlign w:val="bottom"/>
          </w:tcPr>
          <w:p>
            <w:pPr>
              <w:spacing w:after="0"/>
              <w:rPr>
                <w:sz w:val="11"/>
                <w:szCs w:val="11"/>
                <w:color w:val="auto"/>
              </w:rPr>
            </w:pPr>
          </w:p>
        </w:tc>
        <w:tc>
          <w:tcPr>
            <w:tcW w:w="920" w:type="dxa"/>
            <w:vAlign w:val="bottom"/>
            <w:gridSpan w:val="3"/>
          </w:tcPr>
          <w:p>
            <w:pPr>
              <w:jc w:val="right"/>
              <w:ind w:right="132"/>
              <w:spacing w:after="0"/>
              <w:rPr>
                <w:sz w:val="20"/>
                <w:szCs w:val="20"/>
                <w:color w:val="auto"/>
              </w:rPr>
            </w:pPr>
            <w:r>
              <w:rPr>
                <w:rFonts w:ascii="Arial" w:cs="Arial" w:eastAsia="Arial" w:hAnsi="Arial"/>
                <w:sz w:val="10"/>
                <w:szCs w:val="10"/>
                <w:color w:val="auto"/>
              </w:rPr>
              <w:t>1.6%</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200" w:type="dxa"/>
            <w:vAlign w:val="bottom"/>
            <w:gridSpan w:val="3"/>
          </w:tcPr>
          <w:p>
            <w:pPr>
              <w:spacing w:after="0"/>
              <w:rPr>
                <w:sz w:val="20"/>
                <w:szCs w:val="20"/>
                <w:color w:val="auto"/>
              </w:rPr>
            </w:pPr>
            <w:r>
              <w:rPr>
                <w:rFonts w:ascii="Arial" w:cs="Arial" w:eastAsia="Arial" w:hAnsi="Arial"/>
                <w:sz w:val="10"/>
                <w:szCs w:val="10"/>
                <w:color w:val="auto"/>
              </w:rPr>
              <w:t>ROA</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left="12"/>
              <w:spacing w:after="0"/>
              <w:rPr>
                <w:sz w:val="20"/>
                <w:szCs w:val="20"/>
                <w:color w:val="auto"/>
              </w:rPr>
            </w:pPr>
            <w:r>
              <w:rPr>
                <w:rFonts w:ascii="Arial" w:cs="Arial" w:eastAsia="Arial" w:hAnsi="Arial"/>
                <w:sz w:val="10"/>
                <w:szCs w:val="10"/>
                <w:b w:val="1"/>
                <w:bCs w:val="1"/>
                <w:color w:val="auto"/>
                <w:w w:val="98"/>
              </w:rPr>
              <w:t>1.41%</w:t>
            </w:r>
          </w:p>
        </w:tc>
        <w:tc>
          <w:tcPr>
            <w:tcW w:w="60" w:type="dxa"/>
            <w:vAlign w:val="bottom"/>
          </w:tcPr>
          <w:p>
            <w:pPr>
              <w:spacing w:after="0"/>
              <w:rPr>
                <w:sz w:val="11"/>
                <w:szCs w:val="11"/>
                <w:color w:val="auto"/>
              </w:rPr>
            </w:pPr>
          </w:p>
        </w:tc>
        <w:tc>
          <w:tcPr>
            <w:tcW w:w="920" w:type="dxa"/>
            <w:vAlign w:val="bottom"/>
            <w:gridSpan w:val="2"/>
          </w:tcPr>
          <w:p>
            <w:pPr>
              <w:jc w:val="center"/>
              <w:ind w:left="112"/>
              <w:spacing w:after="0"/>
              <w:rPr>
                <w:sz w:val="20"/>
                <w:szCs w:val="20"/>
                <w:color w:val="auto"/>
              </w:rPr>
            </w:pPr>
            <w:r>
              <w:rPr>
                <w:rFonts w:ascii="Arial" w:cs="Arial" w:eastAsia="Arial" w:hAnsi="Arial"/>
                <w:sz w:val="10"/>
                <w:szCs w:val="10"/>
                <w:color w:val="auto"/>
                <w:w w:val="98"/>
              </w:rPr>
              <w:t>1.71%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5"/>
          </w:tcPr>
          <w:p>
            <w:pPr>
              <w:jc w:val="center"/>
              <w:ind w:right="100"/>
              <w:spacing w:after="0"/>
              <w:rPr>
                <w:sz w:val="20"/>
                <w:szCs w:val="20"/>
                <w:color w:val="auto"/>
              </w:rPr>
            </w:pPr>
            <w:r>
              <w:rPr>
                <w:rFonts w:ascii="Arial" w:cs="Arial" w:eastAsia="Arial" w:hAnsi="Arial"/>
                <w:sz w:val="10"/>
                <w:szCs w:val="10"/>
                <w:color w:val="auto"/>
                <w:w w:val="98"/>
              </w:rPr>
              <w:t>(30) bps</w:t>
            </w:r>
          </w:p>
        </w:tc>
        <w:tc>
          <w:tcPr>
            <w:tcW w:w="580" w:type="dxa"/>
            <w:vAlign w:val="bottom"/>
            <w:gridSpan w:val="3"/>
          </w:tcPr>
          <w:p>
            <w:pPr>
              <w:jc w:val="center"/>
              <w:ind w:left="192"/>
              <w:spacing w:after="0"/>
              <w:rPr>
                <w:sz w:val="20"/>
                <w:szCs w:val="20"/>
                <w:color w:val="auto"/>
              </w:rPr>
            </w:pPr>
            <w:r>
              <w:rPr>
                <w:rFonts w:ascii="Arial" w:cs="Arial" w:eastAsia="Arial" w:hAnsi="Arial"/>
                <w:sz w:val="10"/>
                <w:szCs w:val="10"/>
                <w:b w:val="1"/>
                <w:bCs w:val="1"/>
                <w:color w:val="auto"/>
                <w:w w:val="91"/>
              </w:rPr>
              <w:t>1.47%</w:t>
            </w:r>
          </w:p>
        </w:tc>
        <w:tc>
          <w:tcPr>
            <w:tcW w:w="920" w:type="dxa"/>
            <w:vAlign w:val="bottom"/>
            <w:gridSpan w:val="3"/>
          </w:tcPr>
          <w:p>
            <w:pPr>
              <w:jc w:val="center"/>
              <w:ind w:left="532"/>
              <w:spacing w:after="0"/>
              <w:rPr>
                <w:sz w:val="20"/>
                <w:szCs w:val="20"/>
                <w:color w:val="auto"/>
              </w:rPr>
            </w:pPr>
            <w:r>
              <w:rPr>
                <w:rFonts w:ascii="Arial" w:cs="Arial" w:eastAsia="Arial" w:hAnsi="Arial"/>
                <w:sz w:val="10"/>
                <w:szCs w:val="10"/>
                <w:color w:val="auto"/>
                <w:w w:val="91"/>
              </w:rPr>
              <w:t>1.67%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spacing w:after="0"/>
              <w:rPr>
                <w:sz w:val="20"/>
                <w:szCs w:val="20"/>
                <w:color w:val="auto"/>
              </w:rPr>
            </w:pPr>
            <w:r>
              <w:rPr>
                <w:rFonts w:ascii="Arial" w:cs="Arial" w:eastAsia="Arial" w:hAnsi="Arial"/>
                <w:sz w:val="10"/>
                <w:szCs w:val="10"/>
                <w:color w:val="auto"/>
                <w:w w:val="98"/>
              </w:rPr>
              <w:t>(20) bps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200" w:type="dxa"/>
            <w:vAlign w:val="bottom"/>
            <w:gridSpan w:val="3"/>
          </w:tcPr>
          <w:p>
            <w:pPr>
              <w:spacing w:after="0"/>
              <w:rPr>
                <w:sz w:val="20"/>
                <w:szCs w:val="20"/>
                <w:color w:val="auto"/>
              </w:rPr>
            </w:pPr>
            <w:r>
              <w:rPr>
                <w:rFonts w:ascii="Arial" w:cs="Arial" w:eastAsia="Arial" w:hAnsi="Arial"/>
                <w:sz w:val="10"/>
                <w:szCs w:val="10"/>
                <w:color w:val="auto"/>
              </w:rPr>
              <w:t>ROTCE</w:t>
            </w:r>
            <w:r>
              <w:rPr>
                <w:rFonts w:ascii="Arial" w:cs="Arial" w:eastAsia="Arial" w:hAnsi="Arial"/>
                <w:sz w:val="6"/>
                <w:szCs w:val="6"/>
                <w:color w:val="auto"/>
              </w:rPr>
              <w:t>(3)</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left="12"/>
              <w:spacing w:after="0"/>
              <w:rPr>
                <w:sz w:val="20"/>
                <w:szCs w:val="20"/>
                <w:color w:val="auto"/>
              </w:rPr>
            </w:pPr>
            <w:r>
              <w:rPr>
                <w:rFonts w:ascii="Arial" w:cs="Arial" w:eastAsia="Arial" w:hAnsi="Arial"/>
                <w:sz w:val="10"/>
                <w:szCs w:val="10"/>
                <w:b w:val="1"/>
                <w:bCs w:val="1"/>
                <w:color w:val="auto"/>
                <w:w w:val="94"/>
              </w:rPr>
              <w:t>14.24%</w:t>
            </w:r>
          </w:p>
        </w:tc>
        <w:tc>
          <w:tcPr>
            <w:tcW w:w="60" w:type="dxa"/>
            <w:vAlign w:val="bottom"/>
          </w:tcPr>
          <w:p>
            <w:pPr>
              <w:spacing w:after="0"/>
              <w:rPr>
                <w:sz w:val="11"/>
                <w:szCs w:val="11"/>
                <w:color w:val="auto"/>
              </w:rPr>
            </w:pPr>
          </w:p>
        </w:tc>
        <w:tc>
          <w:tcPr>
            <w:tcW w:w="920" w:type="dxa"/>
            <w:vAlign w:val="bottom"/>
            <w:gridSpan w:val="2"/>
          </w:tcPr>
          <w:p>
            <w:pPr>
              <w:jc w:val="center"/>
              <w:ind w:left="112"/>
              <w:spacing w:after="0"/>
              <w:rPr>
                <w:sz w:val="20"/>
                <w:szCs w:val="20"/>
                <w:color w:val="auto"/>
              </w:rPr>
            </w:pPr>
            <w:r>
              <w:rPr>
                <w:rFonts w:ascii="Arial" w:cs="Arial" w:eastAsia="Arial" w:hAnsi="Arial"/>
                <w:sz w:val="10"/>
                <w:szCs w:val="10"/>
                <w:color w:val="auto"/>
                <w:w w:val="94"/>
              </w:rPr>
              <w:t>17.06%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5"/>
          </w:tcPr>
          <w:p>
            <w:pPr>
              <w:jc w:val="center"/>
              <w:ind w:right="100"/>
              <w:spacing w:after="0"/>
              <w:rPr>
                <w:sz w:val="20"/>
                <w:szCs w:val="20"/>
                <w:color w:val="auto"/>
              </w:rPr>
            </w:pPr>
            <w:r>
              <w:rPr>
                <w:rFonts w:ascii="Arial" w:cs="Arial" w:eastAsia="Arial" w:hAnsi="Arial"/>
                <w:sz w:val="10"/>
                <w:szCs w:val="10"/>
                <w:color w:val="auto"/>
                <w:w w:val="94"/>
              </w:rPr>
              <w:t>(282) bps</w:t>
            </w:r>
          </w:p>
        </w:tc>
        <w:tc>
          <w:tcPr>
            <w:tcW w:w="580" w:type="dxa"/>
            <w:vAlign w:val="bottom"/>
            <w:gridSpan w:val="3"/>
          </w:tcPr>
          <w:p>
            <w:pPr>
              <w:jc w:val="center"/>
              <w:ind w:left="192"/>
              <w:spacing w:after="0"/>
              <w:rPr>
                <w:sz w:val="20"/>
                <w:szCs w:val="20"/>
                <w:color w:val="auto"/>
              </w:rPr>
            </w:pPr>
            <w:r>
              <w:rPr>
                <w:rFonts w:ascii="Arial" w:cs="Arial" w:eastAsia="Arial" w:hAnsi="Arial"/>
                <w:sz w:val="10"/>
                <w:szCs w:val="10"/>
                <w:b w:val="1"/>
                <w:bCs w:val="1"/>
                <w:color w:val="auto"/>
              </w:rPr>
              <w:t>14.80%</w:t>
            </w:r>
          </w:p>
        </w:tc>
        <w:tc>
          <w:tcPr>
            <w:tcW w:w="920" w:type="dxa"/>
            <w:vAlign w:val="bottom"/>
            <w:gridSpan w:val="3"/>
          </w:tcPr>
          <w:p>
            <w:pPr>
              <w:jc w:val="center"/>
              <w:ind w:left="512"/>
              <w:spacing w:after="0"/>
              <w:rPr>
                <w:sz w:val="20"/>
                <w:szCs w:val="20"/>
                <w:color w:val="auto"/>
              </w:rPr>
            </w:pPr>
            <w:r>
              <w:rPr>
                <w:rFonts w:ascii="Arial" w:cs="Arial" w:eastAsia="Arial" w:hAnsi="Arial"/>
                <w:sz w:val="10"/>
                <w:szCs w:val="10"/>
                <w:color w:val="auto"/>
                <w:w w:val="94"/>
              </w:rPr>
              <w:t>16.70%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spacing w:after="0"/>
              <w:rPr>
                <w:sz w:val="20"/>
                <w:szCs w:val="20"/>
                <w:color w:val="auto"/>
              </w:rPr>
            </w:pPr>
            <w:r>
              <w:rPr>
                <w:rFonts w:ascii="Arial" w:cs="Arial" w:eastAsia="Arial" w:hAnsi="Arial"/>
                <w:sz w:val="10"/>
                <w:szCs w:val="10"/>
                <w:color w:val="auto"/>
                <w:w w:val="94"/>
              </w:rPr>
              <w:t>(190) bps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Borders>
              <w:bottom w:val="single" w:sz="8" w:color="auto"/>
            </w:tcBorders>
            <w:gridSpan w:val="3"/>
          </w:tcPr>
          <w:p>
            <w:pPr>
              <w:jc w:val="center"/>
              <w:spacing w:after="0" w:line="110" w:lineRule="exact"/>
              <w:rPr>
                <w:sz w:val="20"/>
                <w:szCs w:val="20"/>
                <w:color w:val="auto"/>
              </w:rPr>
            </w:pPr>
            <w:r>
              <w:rPr>
                <w:rFonts w:ascii="Arial" w:cs="Arial" w:eastAsia="Arial" w:hAnsi="Arial"/>
                <w:sz w:val="10"/>
                <w:szCs w:val="10"/>
                <w:b w:val="1"/>
                <w:bCs w:val="1"/>
                <w:color w:val="auto"/>
                <w:w w:val="97"/>
              </w:rPr>
              <w:t>Including Card</w:t>
            </w: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auto"/>
            </w:tcBorders>
            <w:gridSpan w:val="3"/>
          </w:tcPr>
          <w:p>
            <w:pPr>
              <w:jc w:val="center"/>
              <w:spacing w:after="0" w:line="110" w:lineRule="exact"/>
              <w:rPr>
                <w:sz w:val="20"/>
                <w:szCs w:val="20"/>
                <w:color w:val="auto"/>
              </w:rPr>
            </w:pPr>
            <w:r>
              <w:rPr>
                <w:rFonts w:ascii="Arial" w:cs="Arial" w:eastAsia="Arial" w:hAnsi="Arial"/>
                <w:sz w:val="10"/>
                <w:szCs w:val="10"/>
                <w:b w:val="1"/>
                <w:bCs w:val="1"/>
                <w:color w:val="auto"/>
                <w:w w:val="95"/>
              </w:rPr>
              <w:t>Excluding Card</w:t>
            </w:r>
          </w:p>
        </w:tc>
        <w:tc>
          <w:tcPr>
            <w:tcW w:w="36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960" w:type="dxa"/>
            <w:vAlign w:val="bottom"/>
          </w:tcPr>
          <w:p>
            <w:pPr>
              <w:spacing w:after="0"/>
              <w:rPr>
                <w:sz w:val="7"/>
                <w:szCs w:val="7"/>
                <w:color w:val="auto"/>
              </w:rPr>
            </w:pPr>
          </w:p>
        </w:tc>
        <w:tc>
          <w:tcPr>
            <w:tcW w:w="1200" w:type="dxa"/>
            <w:vAlign w:val="bottom"/>
            <w:gridSpan w:val="3"/>
            <w:vMerge w:val="restart"/>
          </w:tcPr>
          <w:p>
            <w:pPr>
              <w:spacing w:after="0"/>
              <w:rPr>
                <w:sz w:val="20"/>
                <w:szCs w:val="20"/>
                <w:color w:val="auto"/>
              </w:rPr>
            </w:pPr>
            <w:r>
              <w:rPr>
                <w:rFonts w:ascii="Arial" w:cs="Arial" w:eastAsia="Arial" w:hAnsi="Arial"/>
                <w:sz w:val="10"/>
                <w:szCs w:val="10"/>
                <w:color w:val="auto"/>
              </w:rPr>
              <w:t>NIM</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restart"/>
          </w:tcPr>
          <w:p>
            <w:pPr>
              <w:jc w:val="center"/>
              <w:ind w:left="12"/>
              <w:spacing w:after="0"/>
              <w:rPr>
                <w:sz w:val="20"/>
                <w:szCs w:val="20"/>
                <w:color w:val="auto"/>
              </w:rPr>
            </w:pPr>
            <w:r>
              <w:rPr>
                <w:rFonts w:ascii="Arial" w:cs="Arial" w:eastAsia="Arial" w:hAnsi="Arial"/>
                <w:sz w:val="10"/>
                <w:szCs w:val="10"/>
                <w:b w:val="1"/>
                <w:bCs w:val="1"/>
                <w:color w:val="auto"/>
                <w:w w:val="98"/>
              </w:rPr>
              <w:t>5.72%</w:t>
            </w:r>
          </w:p>
        </w:tc>
        <w:tc>
          <w:tcPr>
            <w:tcW w:w="60" w:type="dxa"/>
            <w:vAlign w:val="bottom"/>
          </w:tcPr>
          <w:p>
            <w:pPr>
              <w:spacing w:after="0"/>
              <w:rPr>
                <w:sz w:val="7"/>
                <w:szCs w:val="7"/>
                <w:color w:val="auto"/>
              </w:rPr>
            </w:pPr>
          </w:p>
        </w:tc>
        <w:tc>
          <w:tcPr>
            <w:tcW w:w="920" w:type="dxa"/>
            <w:vAlign w:val="bottom"/>
            <w:gridSpan w:val="2"/>
            <w:vMerge w:val="restart"/>
          </w:tcPr>
          <w:p>
            <w:pPr>
              <w:jc w:val="center"/>
              <w:ind w:left="112"/>
              <w:spacing w:after="0"/>
              <w:rPr>
                <w:sz w:val="20"/>
                <w:szCs w:val="20"/>
                <w:color w:val="auto"/>
              </w:rPr>
            </w:pPr>
            <w:r>
              <w:rPr>
                <w:rFonts w:ascii="Arial" w:cs="Arial" w:eastAsia="Arial" w:hAnsi="Arial"/>
                <w:sz w:val="10"/>
                <w:szCs w:val="10"/>
                <w:color w:val="auto"/>
                <w:w w:val="98"/>
              </w:rPr>
              <w:t>6.15%</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5"/>
            <w:vMerge w:val="restart"/>
          </w:tcPr>
          <w:p>
            <w:pPr>
              <w:jc w:val="center"/>
              <w:ind w:right="100"/>
              <w:spacing w:after="0"/>
              <w:rPr>
                <w:sz w:val="20"/>
                <w:szCs w:val="20"/>
                <w:color w:val="auto"/>
              </w:rPr>
            </w:pPr>
            <w:r>
              <w:rPr>
                <w:rFonts w:ascii="Arial" w:cs="Arial" w:eastAsia="Arial" w:hAnsi="Arial"/>
                <w:sz w:val="10"/>
                <w:szCs w:val="10"/>
                <w:color w:val="auto"/>
                <w:w w:val="98"/>
              </w:rPr>
              <w:t>(43) bps</w:t>
            </w:r>
          </w:p>
        </w:tc>
        <w:tc>
          <w:tcPr>
            <w:tcW w:w="580" w:type="dxa"/>
            <w:vAlign w:val="bottom"/>
            <w:gridSpan w:val="3"/>
            <w:vMerge w:val="restart"/>
          </w:tcPr>
          <w:p>
            <w:pPr>
              <w:jc w:val="center"/>
              <w:ind w:left="192"/>
              <w:spacing w:after="0"/>
              <w:rPr>
                <w:sz w:val="20"/>
                <w:szCs w:val="20"/>
                <w:color w:val="auto"/>
              </w:rPr>
            </w:pPr>
            <w:r>
              <w:rPr>
                <w:rFonts w:ascii="Arial" w:cs="Arial" w:eastAsia="Arial" w:hAnsi="Arial"/>
                <w:sz w:val="10"/>
                <w:szCs w:val="10"/>
                <w:b w:val="1"/>
                <w:bCs w:val="1"/>
                <w:color w:val="auto"/>
                <w:w w:val="91"/>
              </w:rPr>
              <w:t>4.12%</w:t>
            </w:r>
          </w:p>
        </w:tc>
        <w:tc>
          <w:tcPr>
            <w:tcW w:w="920" w:type="dxa"/>
            <w:vAlign w:val="bottom"/>
            <w:gridSpan w:val="3"/>
            <w:vMerge w:val="restart"/>
          </w:tcPr>
          <w:p>
            <w:pPr>
              <w:jc w:val="center"/>
              <w:ind w:left="532"/>
              <w:spacing w:after="0"/>
              <w:rPr>
                <w:sz w:val="20"/>
                <w:szCs w:val="20"/>
                <w:color w:val="auto"/>
              </w:rPr>
            </w:pPr>
            <w:r>
              <w:rPr>
                <w:rFonts w:ascii="Arial" w:cs="Arial" w:eastAsia="Arial" w:hAnsi="Arial"/>
                <w:sz w:val="10"/>
                <w:szCs w:val="10"/>
                <w:color w:val="auto"/>
                <w:w w:val="91"/>
              </w:rPr>
              <w:t>4.48%</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vMerge w:val="restart"/>
          </w:tcPr>
          <w:p>
            <w:pPr>
              <w:jc w:val="center"/>
              <w:spacing w:after="0"/>
              <w:rPr>
                <w:sz w:val="20"/>
                <w:szCs w:val="20"/>
                <w:color w:val="auto"/>
              </w:rPr>
            </w:pPr>
            <w:r>
              <w:rPr>
                <w:rFonts w:ascii="Arial" w:cs="Arial" w:eastAsia="Arial" w:hAnsi="Arial"/>
                <w:sz w:val="10"/>
                <w:szCs w:val="10"/>
                <w:color w:val="auto"/>
                <w:w w:val="98"/>
              </w:rPr>
              <w:t>(36) bps</w:t>
            </w:r>
          </w:p>
        </w:tc>
        <w:tc>
          <w:tcPr>
            <w:tcW w:w="80" w:type="dxa"/>
            <w:vAlign w:val="bottom"/>
          </w:tcPr>
          <w:p>
            <w:pPr>
              <w:jc w:val="right"/>
              <w:spacing w:after="0"/>
              <w:rPr>
                <w:sz w:val="20"/>
                <w:szCs w:val="20"/>
                <w:color w:val="auto"/>
              </w:rPr>
            </w:pPr>
            <w:r>
              <w:rPr>
                <w:rFonts w:ascii="Times New Roman" w:cs="Times New Roman" w:eastAsia="Times New Roman" w:hAnsi="Times New Roman"/>
                <w:sz w:val="6"/>
                <w:szCs w:val="6"/>
                <w:color w:val="auto"/>
              </w:rPr>
              <w:t>1</w:t>
            </w: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960" w:type="dxa"/>
            <w:vAlign w:val="bottom"/>
          </w:tcPr>
          <w:p>
            <w:pPr>
              <w:spacing w:after="0"/>
              <w:rPr>
                <w:sz w:val="4"/>
                <w:szCs w:val="4"/>
                <w:color w:val="auto"/>
              </w:rPr>
            </w:pPr>
          </w:p>
        </w:tc>
        <w:tc>
          <w:tcPr>
            <w:tcW w:w="1200" w:type="dxa"/>
            <w:vAlign w:val="bottom"/>
            <w:tcBorders>
              <w:bottom w:val="single" w:sz="8" w:color="auto"/>
            </w:tcBorders>
            <w:gridSpan w:val="3"/>
            <w:vMerge w:val="continue"/>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gridSpan w:val="2"/>
            <w:vMerge w:val="continue"/>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vMerge w:val="continue"/>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5"/>
            <w:vMerge w:val="continue"/>
          </w:tcPr>
          <w:p>
            <w:pPr>
              <w:spacing w:after="0"/>
              <w:rPr>
                <w:sz w:val="4"/>
                <w:szCs w:val="4"/>
                <w:color w:val="auto"/>
              </w:rPr>
            </w:pPr>
          </w:p>
        </w:tc>
        <w:tc>
          <w:tcPr>
            <w:tcW w:w="580" w:type="dxa"/>
            <w:vAlign w:val="bottom"/>
            <w:tcBorders>
              <w:bottom w:val="single" w:sz="8" w:color="auto"/>
            </w:tcBorders>
            <w:gridSpan w:val="3"/>
            <w:vMerge w:val="continue"/>
          </w:tcPr>
          <w:p>
            <w:pPr>
              <w:spacing w:after="0"/>
              <w:rPr>
                <w:sz w:val="4"/>
                <w:szCs w:val="4"/>
                <w:color w:val="auto"/>
              </w:rPr>
            </w:pPr>
          </w:p>
        </w:tc>
        <w:tc>
          <w:tcPr>
            <w:tcW w:w="920" w:type="dxa"/>
            <w:vAlign w:val="bottom"/>
            <w:tcBorders>
              <w:bottom w:val="single" w:sz="8" w:color="auto"/>
            </w:tcBorders>
            <w:gridSpan w:val="3"/>
            <w:vMerge w:val="continue"/>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3"/>
            <w:vMerge w:val="continue"/>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8"/>
        <w:spacing w:after="0" w:line="223" w:lineRule="auto"/>
        <w:rPr>
          <w:sz w:val="20"/>
          <w:szCs w:val="20"/>
          <w:color w:val="auto"/>
        </w:rPr>
      </w:pPr>
      <w:r>
        <w:rPr>
          <w:rFonts w:ascii="Arial" w:cs="Arial" w:eastAsia="Arial" w:hAnsi="Arial"/>
          <w:sz w:val="11"/>
          <w:szCs w:val="11"/>
          <w:color w:val="auto"/>
        </w:rPr>
        <w:t>“This was indeed a very busy quarter with the announcements of the merger with Peoples Bank and the sale of our Chicago branch,” said Steven J. Schwartz, Chairman of the Company. “However, it is also important to note our continued steady net interest margin and tangible net book value</w:t>
      </w:r>
      <w:r>
        <w:rPr>
          <w:rFonts w:ascii="Arial" w:cs="Arial" w:eastAsia="Arial" w:hAnsi="Arial"/>
          <w:sz w:val="14"/>
          <w:szCs w:val="14"/>
          <w:color w:val="auto"/>
          <w:vertAlign w:val="superscript"/>
        </w:rPr>
        <w:t>(3)</w:t>
      </w:r>
      <w:r>
        <w:rPr>
          <w:rFonts w:ascii="Arial" w:cs="Arial" w:eastAsia="Arial" w:hAnsi="Arial"/>
          <w:sz w:val="11"/>
          <w:szCs w:val="11"/>
          <w:color w:val="auto"/>
        </w:rPr>
        <w:t xml:space="preserve"> growth, along with sustained double-digit loan growth and the quarter-over-quarter increase in core earnings per share. The Board is excited about both the synergistic opportunities the merger provides as well as our independent organic growth and performance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761365</wp:posOffset>
            </wp:positionV>
            <wp:extent cx="11430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 w:hanging="68"/>
        <w:spacing w:after="0"/>
        <w:tabs>
          <w:tab w:leader="none" w:pos="68" w:val="left"/>
        </w:tabs>
        <w:numPr>
          <w:ilvl w:val="0"/>
          <w:numId w:val="2"/>
        </w:numPr>
        <w:rPr>
          <w:rFonts w:ascii="Arial" w:cs="Arial" w:eastAsia="Arial" w:hAnsi="Arial"/>
          <w:sz w:val="8"/>
          <w:szCs w:val="8"/>
          <w:color w:val="auto"/>
          <w:vertAlign w:val="superscript"/>
        </w:rPr>
      </w:pPr>
      <w:r>
        <w:rPr>
          <w:rFonts w:ascii="Arial" w:cs="Arial" w:eastAsia="Arial" w:hAnsi="Arial"/>
          <w:sz w:val="6"/>
          <w:szCs w:val="6"/>
          <w:color w:val="auto"/>
        </w:rPr>
        <w:t>Gross loans represent portfolio loans receivable, net of deferred fees and costs.</w:t>
      </w:r>
    </w:p>
    <w:p>
      <w:pPr>
        <w:spacing w:after="0" w:line="4" w:lineRule="exact"/>
        <w:rPr>
          <w:rFonts w:ascii="Arial" w:cs="Arial" w:eastAsia="Arial" w:hAnsi="Arial"/>
          <w:sz w:val="8"/>
          <w:szCs w:val="8"/>
          <w:color w:val="auto"/>
          <w:vertAlign w:val="superscript"/>
        </w:rPr>
      </w:pPr>
    </w:p>
    <w:p>
      <w:pPr>
        <w:ind w:left="68" w:hanging="68"/>
        <w:spacing w:after="0" w:line="211" w:lineRule="auto"/>
        <w:tabs>
          <w:tab w:leader="none" w:pos="68" w:val="left"/>
        </w:tabs>
        <w:numPr>
          <w:ilvl w:val="0"/>
          <w:numId w:val="2"/>
        </w:numPr>
        <w:rPr>
          <w:rFonts w:ascii="Arial" w:cs="Arial" w:eastAsia="Arial" w:hAnsi="Arial"/>
          <w:sz w:val="8"/>
          <w:szCs w:val="8"/>
          <w:color w:val="auto"/>
          <w:vertAlign w:val="superscript"/>
        </w:rPr>
      </w:pPr>
      <w:r>
        <w:rPr>
          <w:rFonts w:ascii="Arial" w:cs="Arial" w:eastAsia="Arial" w:hAnsi="Arial"/>
          <w:sz w:val="6"/>
          <w:szCs w:val="6"/>
          <w:color w:val="auto"/>
        </w:rPr>
        <w:t>Customer deposits represent total deposits excluding brokered deposits.</w:t>
      </w:r>
    </w:p>
    <w:p>
      <w:pPr>
        <w:ind w:left="68" w:hanging="68"/>
        <w:spacing w:after="0" w:line="227" w:lineRule="auto"/>
        <w:tabs>
          <w:tab w:leader="none" w:pos="68" w:val="left"/>
        </w:tabs>
        <w:numPr>
          <w:ilvl w:val="0"/>
          <w:numId w:val="2"/>
        </w:numPr>
        <w:rPr>
          <w:rFonts w:ascii="Arial" w:cs="Arial" w:eastAsia="Arial" w:hAnsi="Arial"/>
          <w:sz w:val="8"/>
          <w:szCs w:val="8"/>
          <w:color w:val="auto"/>
          <w:vertAlign w:val="superscript"/>
        </w:rPr>
      </w:pPr>
      <w:r>
        <w:rPr>
          <w:rFonts w:ascii="Arial" w:cs="Arial" w:eastAsia="Arial" w:hAnsi="Arial"/>
          <w:sz w:val="6"/>
          <w:szCs w:val="6"/>
          <w:color w:val="auto"/>
        </w:rPr>
        <w:t>As used in this press release, Core net income, Core earnings per share - diluted, Core ROA, Core ROTCE, Tangible Book Value per share are non-GAAP financial metrics. These non-GAAP financial metrics exclude the impact of merger-related expenses and certain other pre-tax adjustments which are not indicative of operating performance and the</w:t>
      </w:r>
    </w:p>
    <w:p>
      <w:pPr>
        <w:spacing w:after="0" w:line="3" w:lineRule="exact"/>
        <w:rPr>
          <w:sz w:val="20"/>
          <w:szCs w:val="20"/>
          <w:color w:val="auto"/>
        </w:rPr>
      </w:pPr>
    </w:p>
    <w:p>
      <w:pPr>
        <w:ind w:left="8"/>
        <w:spacing w:after="0"/>
        <w:rPr>
          <w:sz w:val="20"/>
          <w:szCs w:val="20"/>
          <w:color w:val="auto"/>
        </w:rPr>
      </w:pPr>
      <w:r>
        <w:rPr>
          <w:rFonts w:ascii="Arial" w:cs="Arial" w:eastAsia="Arial" w:hAnsi="Arial"/>
          <w:sz w:val="7"/>
          <w:szCs w:val="7"/>
          <w:color w:val="auto"/>
        </w:rPr>
        <w:t>tax impacts of such adjustments. Reconciliations of this and other non-GAAP measures to their comparable GAAP measures are set forth in the Appendix at the end of this press release.</w:t>
      </w:r>
    </w:p>
    <w:p>
      <w:pPr>
        <w:spacing w:after="0" w:line="200" w:lineRule="exact"/>
        <w:rPr>
          <w:sz w:val="20"/>
          <w:szCs w:val="20"/>
          <w:color w:val="auto"/>
        </w:rPr>
      </w:pP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288"/>
          </w:cols>
          <w:pgMar w:left="292" w:top="1295" w:right="319" w:bottom="1440" w:gutter="0" w:footer="0" w:header="0"/>
        </w:sectPr>
      </w:pPr>
    </w:p>
    <w:bookmarkStart w:id="4" w:name="page5"/>
    <w:bookmarkEnd w:id="4"/>
    <w:p>
      <w:pPr>
        <w:ind w:left="8"/>
        <w:spacing w:after="0"/>
        <w:rPr>
          <w:sz w:val="20"/>
          <w:szCs w:val="20"/>
          <w:color w:val="auto"/>
        </w:rPr>
      </w:pPr>
      <w:r>
        <w:rPr>
          <w:rFonts w:ascii="Arial" w:cs="Arial" w:eastAsia="Arial" w:hAnsi="Arial"/>
          <w:sz w:val="11"/>
          <w:szCs w:val="11"/>
          <w:b w:val="1"/>
          <w:bCs w:val="1"/>
          <w:u w:val="single" w:color="auto"/>
          <w:color w:val="auto"/>
        </w:rPr>
        <w:t>Third Quarter 2026 Highlights</w:t>
      </w:r>
    </w:p>
    <w:p>
      <w:pPr>
        <w:spacing w:after="0" w:line="99" w:lineRule="exact"/>
        <w:rPr>
          <w:sz w:val="20"/>
          <w:szCs w:val="20"/>
          <w:color w:val="auto"/>
        </w:rPr>
      </w:pPr>
    </w:p>
    <w:p>
      <w:pPr>
        <w:jc w:val="both"/>
        <w:ind w:left="208" w:hanging="208"/>
        <w:spacing w:after="0" w:line="226" w:lineRule="auto"/>
        <w:tabs>
          <w:tab w:leader="none" w:pos="201" w:val="left"/>
        </w:tabs>
        <w:numPr>
          <w:ilvl w:val="0"/>
          <w:numId w:val="3"/>
        </w:numPr>
        <w:rPr>
          <w:rFonts w:ascii="Arial" w:cs="Arial" w:eastAsia="Arial" w:hAnsi="Arial"/>
          <w:sz w:val="11"/>
          <w:szCs w:val="11"/>
          <w:color w:val="auto"/>
        </w:rPr>
      </w:pPr>
      <w:r>
        <w:rPr>
          <w:rFonts w:ascii="Arial" w:cs="Arial" w:eastAsia="Arial" w:hAnsi="Arial"/>
          <w:sz w:val="11"/>
          <w:szCs w:val="11"/>
          <w:color w:val="auto"/>
        </w:rPr>
        <w:t>On September 29, 2026 the Company announced it has entered into a definitive merger agreement under which Peoples Bancorp, Inc. ("Peoples") will acquire Capital Bancorp, Inc. in an all-stock transaction. Under the terms of the agreement, shareholders will receive 1.11 shares of Peoples common stock for each share of the Company's common stock, representing an implied value of $43.75 per share and an approximate 22.7% premium over the Company's closing stock price on September 29, 2026. The implied value represented a 1.9x tangible book value per share</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and 12.9x last-twelve-month earnings per share - diluted for the quarter ended June 30, 2026. The transaction is subject to receipt of required regulatory approvals, shareholder approval, and other customary closing conditions</w:t>
      </w:r>
    </w:p>
    <w:p>
      <w:pPr>
        <w:spacing w:after="0" w:line="76" w:lineRule="exact"/>
        <w:rPr>
          <w:rFonts w:ascii="Arial" w:cs="Arial" w:eastAsia="Arial" w:hAnsi="Arial"/>
          <w:sz w:val="11"/>
          <w:szCs w:val="11"/>
          <w:color w:val="auto"/>
        </w:rPr>
      </w:pPr>
    </w:p>
    <w:p>
      <w:pPr>
        <w:jc w:val="both"/>
        <w:ind w:left="208" w:hanging="208"/>
        <w:spacing w:after="0" w:line="245" w:lineRule="auto"/>
        <w:tabs>
          <w:tab w:leader="none" w:pos="201" w:val="left"/>
        </w:tabs>
        <w:numPr>
          <w:ilvl w:val="0"/>
          <w:numId w:val="3"/>
        </w:numPr>
        <w:rPr>
          <w:rFonts w:ascii="Arial" w:cs="Arial" w:eastAsia="Arial" w:hAnsi="Arial"/>
          <w:sz w:val="11"/>
          <w:szCs w:val="11"/>
          <w:color w:val="auto"/>
        </w:rPr>
      </w:pPr>
      <w:r>
        <w:rPr>
          <w:rFonts w:ascii="Arial" w:cs="Arial" w:eastAsia="Arial" w:hAnsi="Arial"/>
          <w:sz w:val="11"/>
          <w:szCs w:val="11"/>
          <w:color w:val="auto"/>
        </w:rPr>
        <w:t>On September 29, 2026 the Company announced it has entered into a purchase and assumption agreement with respect to the Bank's branch office located in North Riverside, Illinois ("Chicago branch"), subject to regulatory approvals and other customary closing conditions. Based on the composition of deposits at September 30, 2026, the Bank would have received a deposit premium of approximately $3.2 million had the transaction closed at that date. The Bank will also receive a payment equal to the unpaid principal balance of loans transferred in the transaction, which could result in an additional gain at the time of closing</w:t>
      </w:r>
    </w:p>
    <w:p>
      <w:pPr>
        <w:spacing w:after="0" w:line="80" w:lineRule="exact"/>
        <w:rPr>
          <w:rFonts w:ascii="Arial" w:cs="Arial" w:eastAsia="Arial" w:hAnsi="Arial"/>
          <w:sz w:val="11"/>
          <w:szCs w:val="11"/>
          <w:color w:val="auto"/>
        </w:rPr>
      </w:pPr>
    </w:p>
    <w:p>
      <w:pPr>
        <w:jc w:val="both"/>
        <w:ind w:left="208" w:right="20" w:hanging="208"/>
        <w:spacing w:after="0" w:line="253" w:lineRule="auto"/>
        <w:tabs>
          <w:tab w:leader="none" w:pos="201" w:val="left"/>
        </w:tabs>
        <w:numPr>
          <w:ilvl w:val="0"/>
          <w:numId w:val="3"/>
        </w:numPr>
        <w:rPr>
          <w:rFonts w:ascii="Arial" w:cs="Arial" w:eastAsia="Arial" w:hAnsi="Arial"/>
          <w:sz w:val="11"/>
          <w:szCs w:val="11"/>
          <w:color w:val="auto"/>
        </w:rPr>
      </w:pPr>
      <w:r>
        <w:rPr>
          <w:rFonts w:ascii="Arial" w:cs="Arial" w:eastAsia="Arial" w:hAnsi="Arial"/>
          <w:sz w:val="11"/>
          <w:szCs w:val="11"/>
          <w:color w:val="auto"/>
        </w:rPr>
        <w:t>Total deposits decreased $52.0 million or 6.1% (annualized) from 2Q 2026, primarily driven by decreases of $89.3 million from DDA products associated with our Title business, consistent with regular seasonality. The decrease in deposits also included a $45.2 million reduction associated with a single customer relationship that had grown significantly throughout the year and which was noted in the 2Q 2026 earnings release. Excluding deposits from title companies and the single customer relationship, deposits increased $82.5 million or 11.8% (annualized)</w:t>
      </w:r>
    </w:p>
    <w:p>
      <w:pPr>
        <w:spacing w:after="0" w:line="76" w:lineRule="exact"/>
        <w:rPr>
          <w:rFonts w:ascii="Arial" w:cs="Arial" w:eastAsia="Arial" w:hAnsi="Arial"/>
          <w:sz w:val="11"/>
          <w:szCs w:val="11"/>
          <w:color w:val="auto"/>
        </w:rPr>
      </w:pPr>
    </w:p>
    <w:p>
      <w:pPr>
        <w:ind w:left="208" w:hanging="208"/>
        <w:spacing w:after="0" w:line="267" w:lineRule="auto"/>
        <w:tabs>
          <w:tab w:leader="none" w:pos="201" w:val="left"/>
        </w:tabs>
        <w:numPr>
          <w:ilvl w:val="0"/>
          <w:numId w:val="3"/>
        </w:numPr>
        <w:rPr>
          <w:rFonts w:ascii="Arial" w:cs="Arial" w:eastAsia="Arial" w:hAnsi="Arial"/>
          <w:sz w:val="11"/>
          <w:szCs w:val="11"/>
          <w:color w:val="auto"/>
        </w:rPr>
      </w:pPr>
      <w:r>
        <w:rPr>
          <w:rFonts w:ascii="Arial" w:cs="Arial" w:eastAsia="Arial" w:hAnsi="Arial"/>
          <w:sz w:val="11"/>
          <w:szCs w:val="11"/>
          <w:color w:val="auto"/>
        </w:rPr>
        <w:t>Noninterest expenses increased $2.5 million or 23.3% (annualized) from 2Q 2026 as we continued to execute on strategic growth initiatives and incurred merger-related expenses related to the pending merger with Peoples. Excluding the impact of merger-related expenses, Core noninterest expenses</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increased $1.0 million or 8.8% (annualized) from 2Q 2026</w:t>
      </w:r>
    </w:p>
    <w:p>
      <w:pPr>
        <w:spacing w:after="0" w:line="11" w:lineRule="exact"/>
        <w:rPr>
          <w:rFonts w:ascii="Arial" w:cs="Arial" w:eastAsia="Arial" w:hAnsi="Arial"/>
          <w:sz w:val="11"/>
          <w:szCs w:val="11"/>
          <w:color w:val="auto"/>
        </w:rPr>
      </w:pPr>
    </w:p>
    <w:p>
      <w:pPr>
        <w:ind w:left="208" w:hanging="208"/>
        <w:spacing w:after="0" w:line="288" w:lineRule="auto"/>
        <w:tabs>
          <w:tab w:leader="none" w:pos="201" w:val="left"/>
        </w:tabs>
        <w:numPr>
          <w:ilvl w:val="0"/>
          <w:numId w:val="3"/>
        </w:numPr>
        <w:rPr>
          <w:rFonts w:ascii="Arial" w:cs="Arial" w:eastAsia="Arial" w:hAnsi="Arial"/>
          <w:sz w:val="11"/>
          <w:szCs w:val="11"/>
          <w:color w:val="auto"/>
        </w:rPr>
      </w:pPr>
      <w:r>
        <w:rPr>
          <w:rFonts w:ascii="Arial" w:cs="Arial" w:eastAsia="Arial" w:hAnsi="Arial"/>
          <w:sz w:val="11"/>
          <w:szCs w:val="11"/>
          <w:color w:val="auto"/>
        </w:rPr>
        <w:t>Generated $80.2 million</w:t>
      </w: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or 10.2% (annualized) growth in total gross loans from 2Q 2026, largely driven by commercial and industrial ("C&amp;I"), which grew $47.1 million, or 25.6% (annualized), across both held for sale and held for investment portfolios, and residential real estate, which grew $26.1 million, or 13.0% (annualized), across both held for sale and held for investment portfolios</w:t>
      </w:r>
    </w:p>
    <w:p>
      <w:pPr>
        <w:spacing w:after="0" w:line="49" w:lineRule="exact"/>
        <w:rPr>
          <w:rFonts w:ascii="Arial" w:cs="Arial" w:eastAsia="Arial" w:hAnsi="Arial"/>
          <w:sz w:val="11"/>
          <w:szCs w:val="11"/>
          <w:color w:val="auto"/>
        </w:rPr>
      </w:pPr>
    </w:p>
    <w:p>
      <w:pPr>
        <w:ind w:left="208" w:hanging="208"/>
        <w:spacing w:after="0"/>
        <w:tabs>
          <w:tab w:leader="none" w:pos="208" w:val="left"/>
        </w:tabs>
        <w:numPr>
          <w:ilvl w:val="0"/>
          <w:numId w:val="3"/>
        </w:numPr>
        <w:rPr>
          <w:rFonts w:ascii="Arial" w:cs="Arial" w:eastAsia="Arial" w:hAnsi="Arial"/>
          <w:sz w:val="11"/>
          <w:szCs w:val="11"/>
          <w:color w:val="auto"/>
        </w:rPr>
      </w:pPr>
      <w:r>
        <w:rPr>
          <w:rFonts w:ascii="Arial" w:cs="Arial" w:eastAsia="Arial" w:hAnsi="Arial"/>
          <w:sz w:val="11"/>
          <w:szCs w:val="11"/>
          <w:color w:val="auto"/>
        </w:rPr>
        <w:t>Continued tangible book value compounding, with tangible book value per share</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increasing 9.0% (annualized) from 2Q 2026</w:t>
      </w:r>
    </w:p>
    <w:p>
      <w:pPr>
        <w:spacing w:after="0" w:line="55" w:lineRule="exact"/>
        <w:rPr>
          <w:rFonts w:ascii="Arial" w:cs="Arial" w:eastAsia="Arial" w:hAnsi="Arial"/>
          <w:sz w:val="11"/>
          <w:szCs w:val="11"/>
          <w:color w:val="auto"/>
        </w:rPr>
      </w:pPr>
    </w:p>
    <w:p>
      <w:pPr>
        <w:ind w:left="208" w:hanging="208"/>
        <w:spacing w:after="0" w:line="223" w:lineRule="auto"/>
        <w:tabs>
          <w:tab w:leader="none" w:pos="201" w:val="left"/>
        </w:tabs>
        <w:numPr>
          <w:ilvl w:val="0"/>
          <w:numId w:val="3"/>
        </w:numPr>
        <w:rPr>
          <w:rFonts w:ascii="Arial" w:cs="Arial" w:eastAsia="Arial" w:hAnsi="Arial"/>
          <w:sz w:val="11"/>
          <w:szCs w:val="11"/>
          <w:color w:val="auto"/>
        </w:rPr>
      </w:pPr>
      <w:r>
        <w:rPr>
          <w:rFonts w:ascii="Arial" w:cs="Arial" w:eastAsia="Arial" w:hAnsi="Arial"/>
          <w:sz w:val="11"/>
          <w:szCs w:val="11"/>
          <w:color w:val="auto"/>
        </w:rPr>
        <w:t>NIM of 5.81% increased 17 bps from 2Q 2026, driven by 14 bps from the Commercial Bank loan portfolio and 4 bps increased contribution from OpenSky</w:t>
      </w:r>
      <w:r>
        <w:rPr>
          <w:rFonts w:ascii="Arial" w:cs="Arial" w:eastAsia="Arial" w:hAnsi="Arial"/>
          <w:sz w:val="14"/>
          <w:szCs w:val="14"/>
          <w:color w:val="auto"/>
          <w:vertAlign w:val="superscript"/>
        </w:rPr>
        <w:t>TM</w:t>
      </w:r>
      <w:r>
        <w:rPr>
          <w:rFonts w:ascii="Arial" w:cs="Arial" w:eastAsia="Arial" w:hAnsi="Arial"/>
          <w:sz w:val="11"/>
          <w:szCs w:val="11"/>
          <w:color w:val="auto"/>
        </w:rPr>
        <w:t xml:space="preserve"> due to higher balances, partially offset by 1 bp from other Commercial Bank activity. Core NIM of 4.18% increased 14 bps from 2Q 2026, primarily driven by 11 bps from organic growth from Commercial Bank portfolio.</w:t>
      </w:r>
    </w:p>
    <w:p>
      <w:pPr>
        <w:spacing w:after="0" w:line="74" w:lineRule="exact"/>
        <w:rPr>
          <w:rFonts w:ascii="Arial" w:cs="Arial" w:eastAsia="Arial" w:hAnsi="Arial"/>
          <w:sz w:val="11"/>
          <w:szCs w:val="11"/>
          <w:color w:val="auto"/>
        </w:rPr>
      </w:pPr>
    </w:p>
    <w:p>
      <w:pPr>
        <w:ind w:left="208" w:hanging="208"/>
        <w:spacing w:after="0"/>
        <w:tabs>
          <w:tab w:leader="none" w:pos="208" w:val="left"/>
        </w:tabs>
        <w:numPr>
          <w:ilvl w:val="0"/>
          <w:numId w:val="3"/>
        </w:numPr>
        <w:rPr>
          <w:rFonts w:ascii="Arial" w:cs="Arial" w:eastAsia="Arial" w:hAnsi="Arial"/>
          <w:sz w:val="11"/>
          <w:szCs w:val="11"/>
          <w:color w:val="auto"/>
        </w:rPr>
      </w:pPr>
      <w:r>
        <w:rPr>
          <w:rFonts w:ascii="Arial" w:cs="Arial" w:eastAsia="Arial" w:hAnsi="Arial"/>
          <w:sz w:val="11"/>
          <w:szCs w:val="11"/>
          <w:color w:val="auto"/>
        </w:rPr>
        <w:t>Diluted earnings per share of $0.80, down 8.0% from 2Q 2026. Core earnings per share</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increased $0.02, or 2.3% from 2Q 2026</w:t>
      </w:r>
    </w:p>
    <w:p>
      <w:pPr>
        <w:spacing w:after="0" w:line="55" w:lineRule="exact"/>
        <w:rPr>
          <w:rFonts w:ascii="Arial" w:cs="Arial" w:eastAsia="Arial" w:hAnsi="Arial"/>
          <w:sz w:val="11"/>
          <w:szCs w:val="11"/>
          <w:color w:val="auto"/>
        </w:rPr>
      </w:pPr>
    </w:p>
    <w:p>
      <w:pPr>
        <w:ind w:left="208" w:hanging="208"/>
        <w:spacing w:after="0"/>
        <w:tabs>
          <w:tab w:leader="none" w:pos="208" w:val="left"/>
        </w:tabs>
        <w:numPr>
          <w:ilvl w:val="0"/>
          <w:numId w:val="3"/>
        </w:numPr>
        <w:rPr>
          <w:rFonts w:ascii="Arial" w:cs="Arial" w:eastAsia="Arial" w:hAnsi="Arial"/>
          <w:sz w:val="11"/>
          <w:szCs w:val="11"/>
          <w:color w:val="auto"/>
        </w:rPr>
      </w:pPr>
      <w:r>
        <w:rPr>
          <w:rFonts w:ascii="Arial" w:cs="Arial" w:eastAsia="Arial" w:hAnsi="Arial"/>
          <w:sz w:val="11"/>
          <w:szCs w:val="11"/>
          <w:color w:val="auto"/>
        </w:rPr>
        <w:t>Produced 18.7% (annualized) fee income growth, led by government lending revenue, loan servicing rights income, credit card fees and USDA fees. Fee revenue represented 22.1% of total revenue</w:t>
      </w:r>
    </w:p>
    <w:p>
      <w:pPr>
        <w:spacing w:after="0" w:line="89" w:lineRule="exact"/>
        <w:rPr>
          <w:rFonts w:ascii="Arial" w:cs="Arial" w:eastAsia="Arial" w:hAnsi="Arial"/>
          <w:sz w:val="11"/>
          <w:szCs w:val="11"/>
          <w:color w:val="auto"/>
        </w:rPr>
      </w:pPr>
    </w:p>
    <w:p>
      <w:pPr>
        <w:ind w:left="208" w:hanging="208"/>
        <w:spacing w:after="0"/>
        <w:tabs>
          <w:tab w:leader="none" w:pos="208" w:val="left"/>
        </w:tabs>
        <w:numPr>
          <w:ilvl w:val="0"/>
          <w:numId w:val="3"/>
        </w:numPr>
        <w:rPr>
          <w:rFonts w:ascii="Arial" w:cs="Arial" w:eastAsia="Arial" w:hAnsi="Arial"/>
          <w:sz w:val="11"/>
          <w:szCs w:val="11"/>
          <w:b w:val="1"/>
          <w:bCs w:val="1"/>
          <w:color w:val="auto"/>
        </w:rPr>
      </w:pPr>
      <w:r>
        <w:rPr>
          <w:rFonts w:ascii="Arial" w:cs="Arial" w:eastAsia="Arial" w:hAnsi="Arial"/>
          <w:sz w:val="11"/>
          <w:szCs w:val="11"/>
          <w:color w:val="auto"/>
        </w:rPr>
        <w:t>The Company also declared a cash dividend on its common stock of $0.14 per share. The dividend is payable on November 25, 2026 to shareholders of record on November 9, 2026.</w:t>
      </w:r>
    </w:p>
    <w:p>
      <w:pPr>
        <w:spacing w:after="0" w:line="99" w:lineRule="exact"/>
        <w:rPr>
          <w:sz w:val="20"/>
          <w:szCs w:val="20"/>
          <w:color w:val="auto"/>
        </w:rPr>
      </w:pPr>
    </w:p>
    <w:p>
      <w:pPr>
        <w:ind w:left="8"/>
        <w:spacing w:after="0" w:line="302" w:lineRule="auto"/>
        <w:rPr>
          <w:sz w:val="20"/>
          <w:szCs w:val="20"/>
          <w:color w:val="auto"/>
        </w:rPr>
      </w:pPr>
      <w:r>
        <w:rPr>
          <w:rFonts w:ascii="Arial" w:cs="Arial" w:eastAsia="Arial" w:hAnsi="Arial"/>
          <w:sz w:val="11"/>
          <w:szCs w:val="11"/>
          <w:color w:val="auto"/>
        </w:rPr>
        <w:t>“We are excited about our combination with Peoples Bank and what it will bring to our franchises" said Ed Barry, CEO of the Company. "Our current quarter results reflect work on the merger and continued progress on our strategic plan. Prudent and disciplined financial management is demonstrated in our ability to deliver strong profitability in a volatile operating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11430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39" w:lineRule="exact"/>
        <w:rPr>
          <w:sz w:val="20"/>
          <w:szCs w:val="20"/>
          <w:color w:val="auto"/>
        </w:rPr>
      </w:pPr>
    </w:p>
    <w:p>
      <w:pPr>
        <w:ind w:left="8" w:right="100" w:hanging="8"/>
        <w:spacing w:after="0" w:line="227" w:lineRule="auto"/>
        <w:tabs>
          <w:tab w:leader="none" w:pos="78" w:val="left"/>
        </w:tabs>
        <w:numPr>
          <w:ilvl w:val="0"/>
          <w:numId w:val="4"/>
        </w:numPr>
        <w:rPr>
          <w:rFonts w:ascii="Arial" w:cs="Arial" w:eastAsia="Arial" w:hAnsi="Arial"/>
          <w:sz w:val="9"/>
          <w:szCs w:val="9"/>
          <w:color w:val="auto"/>
          <w:vertAlign w:val="superscript"/>
        </w:rPr>
      </w:pPr>
      <w:r>
        <w:rPr>
          <w:rFonts w:ascii="Arial" w:cs="Arial" w:eastAsia="Arial" w:hAnsi="Arial"/>
          <w:sz w:val="7"/>
          <w:szCs w:val="7"/>
          <w:color w:val="auto"/>
        </w:rPr>
        <w:t>As used in this press release, Core noninterest expense, Core net income, Core earnings per share - diluted, Core ROA, Core ROTCE, Tangible Book Value per share are non-GAAP financial measures. These non-GAAP financial metrics exclude the impact of merger-related expenses and certain other pre-tax adjustments which are not indicative of operating performance and the tax impacts of such adjustments. Reconciliations of this and other non–GAAP measures to their comparable GAAP measures are set forth in the Appendix at the end of this press release.</w:t>
      </w:r>
    </w:p>
    <w:p>
      <w:pPr>
        <w:spacing w:after="0" w:line="28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8"/>
          </w:cols>
          <w:pgMar w:left="292" w:top="563" w:right="299" w:bottom="1440" w:gutter="0" w:footer="0" w:header="0"/>
        </w:sectPr>
      </w:pPr>
    </w:p>
    <w:bookmarkStart w:id="5" w:name="page6"/>
    <w:bookmarkEnd w:id="5"/>
    <w:p>
      <w:pPr>
        <w:ind w:left="8"/>
        <w:spacing w:after="0"/>
        <w:rPr>
          <w:sz w:val="20"/>
          <w:szCs w:val="20"/>
          <w:color w:val="auto"/>
        </w:rPr>
      </w:pPr>
      <w:r>
        <w:rPr>
          <w:rFonts w:ascii="Arial" w:cs="Arial" w:eastAsia="Arial" w:hAnsi="Arial"/>
          <w:sz w:val="12"/>
          <w:szCs w:val="12"/>
          <w:b w:val="1"/>
          <w:bCs w:val="1"/>
          <w:u w:val="single" w:color="auto"/>
          <w:color w:val="auto"/>
        </w:rPr>
        <w:t>Reconciliation of GAAP Net Income to Core (Non-GAAP) Net Income</w:t>
      </w:r>
    </w:p>
    <w:p>
      <w:pPr>
        <w:spacing w:after="0" w:line="159" w:lineRule="exact"/>
        <w:rPr>
          <w:sz w:val="20"/>
          <w:szCs w:val="20"/>
          <w:color w:val="auto"/>
        </w:rPr>
      </w:pPr>
    </w:p>
    <w:p>
      <w:pPr>
        <w:jc w:val="both"/>
        <w:ind w:left="8"/>
        <w:spacing w:after="0" w:line="317" w:lineRule="auto"/>
        <w:rPr>
          <w:sz w:val="20"/>
          <w:szCs w:val="20"/>
          <w:color w:val="auto"/>
        </w:rPr>
      </w:pPr>
      <w:r>
        <w:rPr>
          <w:rFonts w:ascii="Arial" w:cs="Arial" w:eastAsia="Arial" w:hAnsi="Arial"/>
          <w:sz w:val="12"/>
          <w:szCs w:val="12"/>
          <w:color w:val="auto"/>
        </w:rPr>
        <w:t>The following table provides a reconciliation of the Company's net income under GAAP to Core net income (non-GAAP) results excluding brokered time deposit call, merger-related expenses and other one-time non-recurring transactions.</w:t>
      </w:r>
    </w:p>
    <w:p>
      <w:pPr>
        <w:spacing w:after="0" w:line="73"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3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0"/>
                <w:szCs w:val="10"/>
                <w:b w:val="1"/>
                <w:bCs w:val="1"/>
                <w:color w:val="auto"/>
                <w:w w:val="96"/>
              </w:rPr>
              <w:t>Third Quarter 2026</w:t>
            </w: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0"/>
                <w:szCs w:val="10"/>
                <w:b w:val="1"/>
                <w:bCs w:val="1"/>
                <w:color w:val="auto"/>
                <w:w w:val="95"/>
              </w:rPr>
              <w:t>Second Quarter 2026</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rPr>
              <w:t>Third Quarter 2025</w:t>
            </w: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1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gridSpan w:val="3"/>
            <w:vMerge w:val="restart"/>
          </w:tcPr>
          <w:p>
            <w:pPr>
              <w:jc w:val="center"/>
              <w:spacing w:after="0"/>
              <w:rPr>
                <w:sz w:val="20"/>
                <w:szCs w:val="20"/>
                <w:color w:val="auto"/>
              </w:rPr>
            </w:pPr>
            <w:r>
              <w:rPr>
                <w:rFonts w:ascii="Arial" w:cs="Arial" w:eastAsia="Arial" w:hAnsi="Arial"/>
                <w:sz w:val="10"/>
                <w:szCs w:val="10"/>
                <w:b w:val="1"/>
                <w:bCs w:val="1"/>
                <w:color w:val="auto"/>
                <w:w w:val="97"/>
              </w:rPr>
              <w:t>Income Before</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3"/>
          </w:tcPr>
          <w:p>
            <w:pPr>
              <w:jc w:val="center"/>
              <w:ind w:right="160"/>
              <w:spacing w:after="0" w:line="89" w:lineRule="exact"/>
              <w:rPr>
                <w:sz w:val="20"/>
                <w:szCs w:val="20"/>
                <w:color w:val="auto"/>
              </w:rPr>
            </w:pPr>
            <w:r>
              <w:rPr>
                <w:rFonts w:ascii="Arial" w:cs="Arial" w:eastAsia="Arial" w:hAnsi="Arial"/>
                <w:sz w:val="10"/>
                <w:szCs w:val="10"/>
                <w:b w:val="1"/>
                <w:bCs w:val="1"/>
                <w:color w:val="auto"/>
                <w:w w:val="94"/>
              </w:rPr>
              <w:t>Income Tax</w:t>
            </w: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4"/>
              </w:rPr>
              <w:t>Income Before</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4"/>
              </w:rPr>
              <w:t>Income Tax</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97"/>
              </w:rPr>
              <w:t>Income Before</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tcPr>
          <w:p>
            <w:pPr>
              <w:jc w:val="center"/>
              <w:ind w:right="160"/>
              <w:spacing w:after="0" w:line="89" w:lineRule="exact"/>
              <w:rPr>
                <w:sz w:val="20"/>
                <w:szCs w:val="20"/>
                <w:color w:val="auto"/>
              </w:rPr>
            </w:pPr>
            <w:r>
              <w:rPr>
                <w:rFonts w:ascii="Arial" w:cs="Arial" w:eastAsia="Arial" w:hAnsi="Arial"/>
                <w:sz w:val="10"/>
                <w:szCs w:val="10"/>
                <w:b w:val="1"/>
                <w:bCs w:val="1"/>
                <w:color w:val="auto"/>
                <w:w w:val="94"/>
              </w:rPr>
              <w:t>Income Tax</w:t>
            </w: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3"/>
          </w:tcPr>
          <w:p>
            <w:pPr>
              <w:jc w:val="center"/>
              <w:ind w:right="160"/>
              <w:spacing w:after="0" w:line="99" w:lineRule="exact"/>
              <w:rPr>
                <w:sz w:val="20"/>
                <w:szCs w:val="20"/>
                <w:color w:val="auto"/>
              </w:rPr>
            </w:pPr>
            <w:r>
              <w:rPr>
                <w:rFonts w:ascii="Arial" w:cs="Arial" w:eastAsia="Arial" w:hAnsi="Arial"/>
                <w:sz w:val="10"/>
                <w:szCs w:val="10"/>
                <w:b w:val="1"/>
                <w:bCs w:val="1"/>
                <w:color w:val="auto"/>
                <w:w w:val="97"/>
              </w:rPr>
              <w:t>Expense</w:t>
            </w:r>
          </w:p>
        </w:tc>
        <w:tc>
          <w:tcPr>
            <w:tcW w:w="80" w:type="dxa"/>
            <w:vAlign w:val="bottom"/>
          </w:tcPr>
          <w:p>
            <w:pPr>
              <w:spacing w:after="0"/>
              <w:rPr>
                <w:sz w:val="8"/>
                <w:szCs w:val="8"/>
                <w:color w:val="auto"/>
              </w:rPr>
            </w:pPr>
          </w:p>
        </w:tc>
        <w:tc>
          <w:tcPr>
            <w:tcW w:w="600" w:type="dxa"/>
            <w:vAlign w:val="bottom"/>
            <w:vMerge w:val="restart"/>
          </w:tcPr>
          <w:p>
            <w:pPr>
              <w:jc w:val="right"/>
              <w:ind w:right="33"/>
              <w:spacing w:after="0"/>
              <w:rPr>
                <w:sz w:val="20"/>
                <w:szCs w:val="20"/>
                <w:color w:val="auto"/>
              </w:rPr>
            </w:pPr>
            <w:r>
              <w:rPr>
                <w:rFonts w:ascii="Arial" w:cs="Arial" w:eastAsia="Arial" w:hAnsi="Arial"/>
                <w:sz w:val="9"/>
                <w:szCs w:val="9"/>
                <w:b w:val="1"/>
                <w:bCs w:val="1"/>
                <w:color w:val="auto"/>
              </w:rPr>
              <w:t>Net Income</w:t>
            </w:r>
          </w:p>
        </w:tc>
        <w:tc>
          <w:tcPr>
            <w:tcW w:w="80" w:type="dxa"/>
            <w:vAlign w:val="bottom"/>
            <w:vMerge w:val="restart"/>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jc w:val="right"/>
              <w:ind w:right="73"/>
              <w:spacing w:after="0"/>
              <w:rPr>
                <w:sz w:val="20"/>
                <w:szCs w:val="20"/>
                <w:color w:val="auto"/>
              </w:rPr>
            </w:pPr>
            <w:r>
              <w:rPr>
                <w:rFonts w:ascii="Arial" w:cs="Arial" w:eastAsia="Arial" w:hAnsi="Arial"/>
                <w:sz w:val="9"/>
                <w:szCs w:val="9"/>
                <w:b w:val="1"/>
                <w:bCs w:val="1"/>
                <w:color w:val="auto"/>
                <w:w w:val="94"/>
              </w:rPr>
              <w:t>Net Income</w:t>
            </w:r>
          </w:p>
        </w:tc>
        <w:tc>
          <w:tcPr>
            <w:tcW w:w="60" w:type="dxa"/>
            <w:vAlign w:val="bottom"/>
            <w:vMerge w:val="restart"/>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92"/>
              </w:rPr>
              <w:t>Expense</w:t>
            </w:r>
          </w:p>
        </w:tc>
        <w:tc>
          <w:tcPr>
            <w:tcW w:w="80" w:type="dxa"/>
            <w:vAlign w:val="bottom"/>
          </w:tcPr>
          <w:p>
            <w:pPr>
              <w:spacing w:after="0"/>
              <w:rPr>
                <w:sz w:val="8"/>
                <w:szCs w:val="8"/>
                <w:color w:val="auto"/>
              </w:rPr>
            </w:pPr>
          </w:p>
        </w:tc>
        <w:tc>
          <w:tcPr>
            <w:tcW w:w="600" w:type="dxa"/>
            <w:vAlign w:val="bottom"/>
            <w:vMerge w:val="restart"/>
          </w:tcPr>
          <w:p>
            <w:pPr>
              <w:jc w:val="right"/>
              <w:ind w:right="53"/>
              <w:spacing w:after="0"/>
              <w:rPr>
                <w:sz w:val="20"/>
                <w:szCs w:val="20"/>
                <w:color w:val="auto"/>
              </w:rPr>
            </w:pPr>
            <w:r>
              <w:rPr>
                <w:rFonts w:ascii="Arial" w:cs="Arial" w:eastAsia="Arial" w:hAnsi="Arial"/>
                <w:sz w:val="9"/>
                <w:szCs w:val="9"/>
                <w:b w:val="1"/>
                <w:bCs w:val="1"/>
                <w:color w:val="auto"/>
                <w:w w:val="98"/>
              </w:rPr>
              <w:t>Net Income</w:t>
            </w:r>
          </w:p>
        </w:tc>
        <w:tc>
          <w:tcPr>
            <w:tcW w:w="0" w:type="dxa"/>
            <w:vAlign w:val="bottom"/>
          </w:tcPr>
          <w:p>
            <w:pPr>
              <w:spacing w:after="0"/>
              <w:rPr>
                <w:sz w:val="1"/>
                <w:szCs w:val="1"/>
                <w:color w:val="auto"/>
              </w:rPr>
            </w:pPr>
          </w:p>
        </w:tc>
      </w:tr>
      <w:tr>
        <w:trPr>
          <w:trHeight w:val="126"/>
        </w:trPr>
        <w:tc>
          <w:tcPr>
            <w:tcW w:w="3160" w:type="dxa"/>
            <w:vAlign w:val="bottom"/>
            <w:tcBorders>
              <w:bottom w:val="single" w:sz="8" w:color="CCEEFF"/>
            </w:tcBorders>
          </w:tcPr>
          <w:p>
            <w:pPr>
              <w:spacing w:after="0"/>
              <w:rPr>
                <w:sz w:val="20"/>
                <w:szCs w:val="20"/>
                <w:color w:val="auto"/>
              </w:rPr>
            </w:pPr>
            <w:r>
              <w:rPr>
                <w:rFonts w:ascii="Arial" w:cs="Arial" w:eastAsia="Arial" w:hAnsi="Arial"/>
                <w:sz w:val="6"/>
                <w:szCs w:val="6"/>
                <w:color w:val="auto"/>
              </w:rPr>
              <w:t>(in thousands)</w:t>
            </w:r>
          </w:p>
        </w:tc>
        <w:tc>
          <w:tcPr>
            <w:tcW w:w="2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6"/>
              </w:rPr>
              <w:t>Income Taxes</w:t>
            </w: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0"/>
                <w:szCs w:val="10"/>
                <w:b w:val="1"/>
                <w:bCs w:val="1"/>
                <w:color w:val="auto"/>
                <w:w w:val="98"/>
              </w:rPr>
              <w:t>(Benefit)</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3"/>
              </w:rPr>
              <w:t>Income Taxes</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92"/>
              <w:spacing w:after="0"/>
              <w:rPr>
                <w:sz w:val="20"/>
                <w:szCs w:val="20"/>
                <w:color w:val="auto"/>
              </w:rPr>
            </w:pPr>
            <w:r>
              <w:rPr>
                <w:rFonts w:ascii="Arial" w:cs="Arial" w:eastAsia="Arial" w:hAnsi="Arial"/>
                <w:sz w:val="10"/>
                <w:szCs w:val="10"/>
                <w:b w:val="1"/>
                <w:bCs w:val="1"/>
                <w:color w:val="auto"/>
                <w:w w:val="97"/>
              </w:rPr>
              <w:t>Expense</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7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w w:val="99"/>
              </w:rPr>
              <w:t>Income Taxes</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52"/>
              <w:spacing w:after="0"/>
              <w:rPr>
                <w:sz w:val="20"/>
                <w:szCs w:val="20"/>
                <w:color w:val="auto"/>
              </w:rPr>
            </w:pPr>
            <w:r>
              <w:rPr>
                <w:rFonts w:ascii="Arial" w:cs="Arial" w:eastAsia="Arial" w:hAnsi="Arial"/>
                <w:sz w:val="10"/>
                <w:szCs w:val="10"/>
                <w:b w:val="1"/>
                <w:bCs w:val="1"/>
                <w:color w:val="auto"/>
                <w:w w:val="93"/>
              </w:rPr>
              <w:t>(Benefit)</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1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GAAP Net Income</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17,546</w:t>
            </w:r>
          </w:p>
        </w:tc>
        <w:tc>
          <w:tcPr>
            <w:tcW w:w="40" w:type="dxa"/>
            <w:vAlign w:val="bottom"/>
            <w:shd w:val="clear" w:color="auto" w:fill="CCEEFF"/>
          </w:tcPr>
          <w:p>
            <w:pPr>
              <w:spacing w:after="0"/>
              <w:rPr>
                <w:sz w:val="10"/>
                <w:szCs w:val="10"/>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4,424</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13,122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18,454</w:t>
            </w:r>
          </w:p>
        </w:tc>
        <w:tc>
          <w:tcPr>
            <w:tcW w:w="220" w:type="dxa"/>
            <w:vAlign w:val="bottom"/>
            <w:gridSpan w:val="4"/>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4,204</w:t>
            </w:r>
          </w:p>
        </w:tc>
        <w:tc>
          <w:tcPr>
            <w:tcW w:w="6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6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0"/>
                <w:szCs w:val="10"/>
                <w:color w:val="auto"/>
              </w:rPr>
              <w:t>14,250</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19,867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4,802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15,065</w:t>
            </w:r>
          </w:p>
        </w:tc>
        <w:tc>
          <w:tcPr>
            <w:tcW w:w="0" w:type="dxa"/>
            <w:vAlign w:val="bottom"/>
          </w:tcPr>
          <w:p>
            <w:pPr>
              <w:spacing w:after="0"/>
              <w:rPr>
                <w:sz w:val="1"/>
                <w:szCs w:val="1"/>
                <w:color w:val="auto"/>
              </w:rPr>
            </w:pPr>
          </w:p>
        </w:tc>
      </w:tr>
      <w:tr>
        <w:trPr>
          <w:trHeight w:val="132"/>
        </w:trPr>
        <w:tc>
          <w:tcPr>
            <w:tcW w:w="3160" w:type="dxa"/>
            <w:vAlign w:val="bottom"/>
          </w:tcPr>
          <w:p>
            <w:pPr>
              <w:spacing w:after="0"/>
              <w:rPr>
                <w:sz w:val="20"/>
                <w:szCs w:val="20"/>
                <w:color w:val="auto"/>
              </w:rPr>
            </w:pPr>
            <w:r>
              <w:rPr>
                <w:rFonts w:ascii="Arial" w:cs="Arial" w:eastAsia="Arial" w:hAnsi="Arial"/>
                <w:sz w:val="10"/>
                <w:szCs w:val="10"/>
                <w:color w:val="auto"/>
              </w:rPr>
              <w:t>Deduct: Income from the Call of Brokered Time Deposits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(4,618)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(1,129)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(3,489)</w:t>
            </w: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rPr>
                <w:sz w:val="20"/>
                <w:szCs w:val="20"/>
                <w:color w:val="auto"/>
              </w:rPr>
            </w:pPr>
            <w:r>
              <w:rPr>
                <w:rFonts w:ascii="Arial" w:cs="Arial" w:eastAsia="Arial" w:hAnsi="Arial"/>
                <w:sz w:val="10"/>
                <w:szCs w:val="10"/>
                <w:color w:val="auto"/>
              </w:rPr>
              <w:t>Add: Merger-Related Expenses</w:t>
            </w:r>
          </w:p>
        </w:tc>
        <w:tc>
          <w:tcPr>
            <w:tcW w:w="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1,577</w:t>
            </w:r>
          </w:p>
        </w:tc>
        <w:tc>
          <w:tcPr>
            <w:tcW w:w="40" w:type="dxa"/>
            <w:vAlign w:val="bottom"/>
            <w:tcBorders>
              <w:bottom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1,577</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CCEEFF"/>
            </w:tcBorders>
            <w:shd w:val="clear" w:color="auto" w:fill="CCEEFF"/>
          </w:tcPr>
          <w:p>
            <w:pPr>
              <w:jc w:val="right"/>
              <w:ind w:right="13"/>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697</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122</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575</w:t>
            </w:r>
          </w:p>
        </w:tc>
        <w:tc>
          <w:tcPr>
            <w:tcW w:w="0" w:type="dxa"/>
            <w:vAlign w:val="bottom"/>
          </w:tcPr>
          <w:p>
            <w:pPr>
              <w:spacing w:after="0"/>
              <w:rPr>
                <w:sz w:val="1"/>
                <w:szCs w:val="1"/>
                <w:color w:val="auto"/>
              </w:rPr>
            </w:pPr>
          </w:p>
        </w:tc>
      </w:tr>
      <w:tr>
        <w:trPr>
          <w:trHeight w:val="127"/>
        </w:trPr>
        <w:tc>
          <w:tcPr>
            <w:tcW w:w="3160" w:type="dxa"/>
            <w:vAlign w:val="bottom"/>
          </w:tcPr>
          <w:p>
            <w:pPr>
              <w:spacing w:after="0" w:line="127" w:lineRule="exact"/>
              <w:rPr>
                <w:sz w:val="20"/>
                <w:szCs w:val="20"/>
                <w:color w:val="auto"/>
              </w:rPr>
            </w:pPr>
            <w:r>
              <w:rPr>
                <w:rFonts w:ascii="Arial" w:cs="Arial" w:eastAsia="Arial" w:hAnsi="Arial"/>
                <w:sz w:val="10"/>
                <w:szCs w:val="10"/>
                <w:b w:val="1"/>
                <w:bCs w:val="1"/>
                <w:color w:val="auto"/>
              </w:rPr>
              <w:t>Core Net Income</w:t>
            </w:r>
            <w:r>
              <w:rPr>
                <w:rFonts w:ascii="Arial" w:cs="Arial" w:eastAsia="Arial" w:hAnsi="Arial"/>
                <w:sz w:val="12"/>
                <w:szCs w:val="12"/>
                <w:b w:val="1"/>
                <w:bCs w:val="1"/>
                <w:color w:val="auto"/>
                <w:vertAlign w:val="superscript"/>
              </w:rPr>
              <w:t>(1)</w:t>
            </w:r>
          </w:p>
        </w:tc>
        <w:tc>
          <w:tcPr>
            <w:tcW w:w="20" w:type="dxa"/>
            <w:vAlign w:val="bottom"/>
          </w:tcPr>
          <w:p>
            <w:pPr>
              <w:spacing w:after="0"/>
              <w:rPr>
                <w:sz w:val="11"/>
                <w:szCs w:val="11"/>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19,123</w:t>
            </w:r>
          </w:p>
        </w:tc>
        <w:tc>
          <w:tcPr>
            <w:tcW w:w="40" w:type="dxa"/>
            <w:vAlign w:val="bottom"/>
            <w:tcBorders>
              <w:bottom w:val="single" w:sz="8" w:color="auto"/>
            </w:tcBorders>
          </w:tcPr>
          <w:p>
            <w:pPr>
              <w:spacing w:after="0"/>
              <w:rPr>
                <w:sz w:val="11"/>
                <w:szCs w:val="11"/>
                <w:color w:val="auto"/>
              </w:rPr>
            </w:pPr>
          </w:p>
        </w:tc>
        <w:tc>
          <w:tcPr>
            <w:tcW w:w="60" w:type="dxa"/>
            <w:vAlign w:val="bottom"/>
            <w:gridSpan w:val="2"/>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4,424</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14,699</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18,454</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4,204</w:t>
            </w:r>
          </w:p>
        </w:tc>
        <w:tc>
          <w:tcPr>
            <w:tcW w:w="60" w:type="dxa"/>
            <w:vAlign w:val="bottom"/>
          </w:tcPr>
          <w:p>
            <w:pPr>
              <w:spacing w:after="0"/>
              <w:rPr>
                <w:sz w:val="11"/>
                <w:szCs w:val="11"/>
                <w:color w:val="auto"/>
              </w:rPr>
            </w:pPr>
          </w:p>
        </w:tc>
        <w:tc>
          <w:tcPr>
            <w:tcW w:w="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0"/>
                <w:szCs w:val="10"/>
                <w:color w:val="auto"/>
              </w:rPr>
              <w:t>14,250</w:t>
            </w:r>
          </w:p>
        </w:tc>
        <w:tc>
          <w:tcPr>
            <w:tcW w:w="60" w:type="dxa"/>
            <w:vAlign w:val="bottom"/>
          </w:tcPr>
          <w:p>
            <w:pPr>
              <w:spacing w:after="0"/>
              <w:rPr>
                <w:sz w:val="11"/>
                <w:szCs w:val="11"/>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15,946</w:t>
            </w:r>
          </w:p>
        </w:tc>
        <w:tc>
          <w:tcPr>
            <w:tcW w:w="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3,795</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12,151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11"/>
          </w:tcPr>
          <w:p>
            <w:pPr>
              <w:ind w:left="100"/>
              <w:spacing w:after="0"/>
              <w:rPr>
                <w:sz w:val="20"/>
                <w:szCs w:val="20"/>
                <w:color w:val="auto"/>
              </w:rPr>
            </w:pPr>
            <w:r>
              <w:rPr>
                <w:rFonts w:ascii="Arial" w:cs="Arial" w:eastAsia="Arial" w:hAnsi="Arial"/>
                <w:sz w:val="10"/>
                <w:szCs w:val="10"/>
                <w:b w:val="1"/>
                <w:bCs w:val="1"/>
                <w:color w:val="auto"/>
              </w:rPr>
              <w:t>Nine Months Ended September 30, 2026</w:t>
            </w:r>
          </w:p>
        </w:tc>
        <w:tc>
          <w:tcPr>
            <w:tcW w:w="180" w:type="dxa"/>
            <w:vAlign w:val="bottom"/>
          </w:tcPr>
          <w:p>
            <w:pPr>
              <w:spacing w:after="0"/>
              <w:rPr>
                <w:sz w:val="24"/>
                <w:szCs w:val="24"/>
                <w:color w:val="auto"/>
              </w:rPr>
            </w:pPr>
          </w:p>
        </w:tc>
        <w:tc>
          <w:tcPr>
            <w:tcW w:w="2280" w:type="dxa"/>
            <w:vAlign w:val="bottom"/>
            <w:gridSpan w:val="11"/>
          </w:tcPr>
          <w:p>
            <w:pPr>
              <w:jc w:val="center"/>
              <w:ind w:right="220"/>
              <w:spacing w:after="0"/>
              <w:rPr>
                <w:sz w:val="20"/>
                <w:szCs w:val="20"/>
                <w:color w:val="auto"/>
              </w:rPr>
            </w:pPr>
            <w:r>
              <w:rPr>
                <w:rFonts w:ascii="Arial" w:cs="Arial" w:eastAsia="Arial" w:hAnsi="Arial"/>
                <w:sz w:val="10"/>
                <w:szCs w:val="10"/>
                <w:b w:val="1"/>
                <w:bCs w:val="1"/>
                <w:color w:val="auto"/>
                <w:w w:val="96"/>
              </w:rPr>
              <w:t>Nine Months Ended September 30, 2025</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316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0"/>
                <w:szCs w:val="10"/>
                <w:b w:val="1"/>
                <w:bCs w:val="1"/>
                <w:color w:val="auto"/>
              </w:rPr>
              <w:t>Income Before</w:t>
            </w:r>
          </w:p>
        </w:tc>
        <w:tc>
          <w:tcPr>
            <w:tcW w:w="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3"/>
          </w:tcPr>
          <w:p>
            <w:pPr>
              <w:jc w:val="center"/>
              <w:ind w:right="200"/>
              <w:spacing w:after="0" w:line="92" w:lineRule="exact"/>
              <w:rPr>
                <w:sz w:val="20"/>
                <w:szCs w:val="20"/>
                <w:color w:val="auto"/>
              </w:rPr>
            </w:pPr>
            <w:r>
              <w:rPr>
                <w:rFonts w:ascii="Arial" w:cs="Arial" w:eastAsia="Arial" w:hAnsi="Arial"/>
                <w:sz w:val="10"/>
                <w:szCs w:val="10"/>
                <w:b w:val="1"/>
                <w:bCs w:val="1"/>
                <w:color w:val="auto"/>
                <w:w w:val="94"/>
              </w:rPr>
              <w:t>Income Tax</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0"/>
                <w:szCs w:val="10"/>
                <w:b w:val="1"/>
                <w:bCs w:val="1"/>
                <w:color w:val="auto"/>
                <w:w w:val="94"/>
              </w:rPr>
              <w:t>Income Before</w:t>
            </w:r>
          </w:p>
        </w:tc>
        <w:tc>
          <w:tcPr>
            <w:tcW w:w="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4"/>
              </w:rPr>
              <w:t>Income Tax</w:t>
            </w:r>
          </w:p>
        </w:tc>
        <w:tc>
          <w:tcPr>
            <w:tcW w:w="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31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3"/>
          </w:tcPr>
          <w:p>
            <w:pPr>
              <w:jc w:val="center"/>
              <w:ind w:right="200"/>
              <w:spacing w:after="0" w:line="97" w:lineRule="exact"/>
              <w:rPr>
                <w:sz w:val="20"/>
                <w:szCs w:val="20"/>
                <w:color w:val="auto"/>
              </w:rPr>
            </w:pPr>
            <w:r>
              <w:rPr>
                <w:rFonts w:ascii="Arial" w:cs="Arial" w:eastAsia="Arial" w:hAnsi="Arial"/>
                <w:sz w:val="10"/>
                <w:szCs w:val="10"/>
                <w:b w:val="1"/>
                <w:bCs w:val="1"/>
                <w:color w:val="auto"/>
                <w:w w:val="97"/>
              </w:rPr>
              <w:t>Expense</w:t>
            </w: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160" w:type="dxa"/>
            <w:vAlign w:val="bottom"/>
            <w:tcBorders>
              <w:bottom w:val="single" w:sz="8" w:color="CCEEFF"/>
            </w:tcBorders>
          </w:tcPr>
          <w:p>
            <w:pPr>
              <w:spacing w:after="0"/>
              <w:rPr>
                <w:sz w:val="20"/>
                <w:szCs w:val="20"/>
                <w:color w:val="auto"/>
              </w:rPr>
            </w:pPr>
            <w:r>
              <w:rPr>
                <w:rFonts w:ascii="Arial" w:cs="Arial" w:eastAsia="Arial" w:hAnsi="Arial"/>
                <w:sz w:val="6"/>
                <w:szCs w:val="6"/>
                <w:color w:val="auto"/>
              </w:rPr>
              <w:t>(in thousands)</w:t>
            </w:r>
          </w:p>
        </w:tc>
        <w:tc>
          <w:tcPr>
            <w:tcW w:w="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w w:val="96"/>
              </w:rPr>
              <w:t>Income Taxes</w:t>
            </w: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72"/>
              <w:spacing w:after="0"/>
              <w:rPr>
                <w:sz w:val="20"/>
                <w:szCs w:val="20"/>
                <w:color w:val="auto"/>
              </w:rPr>
            </w:pPr>
            <w:r>
              <w:rPr>
                <w:rFonts w:ascii="Arial" w:cs="Arial" w:eastAsia="Arial" w:hAnsi="Arial"/>
                <w:sz w:val="10"/>
                <w:szCs w:val="10"/>
                <w:b w:val="1"/>
                <w:bCs w:val="1"/>
                <w:color w:val="auto"/>
                <w:w w:val="98"/>
              </w:rPr>
              <w:t>(Benefit)</w:t>
            </w:r>
          </w:p>
        </w:tc>
        <w:tc>
          <w:tcPr>
            <w:tcW w:w="80" w:type="dxa"/>
            <w:vAlign w:val="bottom"/>
            <w:tcBorders>
              <w:bottom w:val="single" w:sz="8" w:color="CCEEFF"/>
            </w:tcBorders>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b w:val="1"/>
                <w:bCs w:val="1"/>
                <w:color w:val="auto"/>
                <w:w w:val="98"/>
              </w:rPr>
              <w:t>Net Income</w:t>
            </w:r>
          </w:p>
        </w:tc>
        <w:tc>
          <w:tcPr>
            <w:tcW w:w="8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3"/>
              </w:rPr>
              <w:t>Income Taxes</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52"/>
              <w:spacing w:after="0"/>
              <w:rPr>
                <w:sz w:val="20"/>
                <w:szCs w:val="20"/>
                <w:color w:val="auto"/>
              </w:rPr>
            </w:pPr>
            <w:r>
              <w:rPr>
                <w:rFonts w:ascii="Arial" w:cs="Arial" w:eastAsia="Arial" w:hAnsi="Arial"/>
                <w:sz w:val="10"/>
                <w:szCs w:val="10"/>
                <w:b w:val="1"/>
                <w:bCs w:val="1"/>
                <w:color w:val="auto"/>
                <w:w w:val="97"/>
              </w:rPr>
              <w:t>Expense</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b w:val="1"/>
                <w:bCs w:val="1"/>
                <w:color w:val="auto"/>
                <w:w w:val="98"/>
              </w:rPr>
              <w:t>Net Income</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1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GAAP Net Income</w:t>
            </w:r>
          </w:p>
        </w:tc>
        <w:tc>
          <w:tcPr>
            <w:tcW w:w="200" w:type="dxa"/>
            <w:vAlign w:val="bottom"/>
            <w:gridSpan w:val="2"/>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51,871</w:t>
            </w:r>
          </w:p>
        </w:tc>
        <w:tc>
          <w:tcPr>
            <w:tcW w:w="40" w:type="dxa"/>
            <w:vAlign w:val="bottom"/>
            <w:shd w:val="clear" w:color="auto" w:fill="CCEEFF"/>
          </w:tcPr>
          <w:p>
            <w:pPr>
              <w:spacing w:after="0"/>
              <w:rPr>
                <w:sz w:val="10"/>
                <w:szCs w:val="10"/>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12,481</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39,390</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55,263</w:t>
            </w:r>
          </w:p>
        </w:tc>
        <w:tc>
          <w:tcPr>
            <w:tcW w:w="220" w:type="dxa"/>
            <w:vAlign w:val="bottom"/>
            <w:gridSpan w:val="4"/>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13,130</w:t>
            </w:r>
          </w:p>
        </w:tc>
        <w:tc>
          <w:tcPr>
            <w:tcW w:w="6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42,133</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160" w:type="dxa"/>
            <w:vAlign w:val="bottom"/>
          </w:tcPr>
          <w:p>
            <w:pPr>
              <w:spacing w:after="0"/>
              <w:rPr>
                <w:sz w:val="20"/>
                <w:szCs w:val="20"/>
                <w:color w:val="auto"/>
              </w:rPr>
            </w:pPr>
            <w:r>
              <w:rPr>
                <w:rFonts w:ascii="Arial" w:cs="Arial" w:eastAsia="Arial" w:hAnsi="Arial"/>
                <w:sz w:val="10"/>
                <w:szCs w:val="10"/>
                <w:color w:val="auto"/>
              </w:rPr>
              <w:t>Deduct: Income from the Call of Brokered Time Deposits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(4,618)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(1,129)</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(3,489)</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shd w:val="clear" w:color="auto" w:fill="CCEEFF"/>
          </w:tcPr>
          <w:p>
            <w:pPr>
              <w:spacing w:after="0"/>
              <w:rPr>
                <w:sz w:val="20"/>
                <w:szCs w:val="20"/>
                <w:color w:val="auto"/>
              </w:rPr>
            </w:pPr>
            <w:r>
              <w:rPr>
                <w:rFonts w:ascii="Arial" w:cs="Arial" w:eastAsia="Arial" w:hAnsi="Arial"/>
                <w:sz w:val="10"/>
                <w:szCs w:val="10"/>
                <w:color w:val="auto"/>
              </w:rPr>
              <w:t>Add: Merger-Related Expenses</w:t>
            </w:r>
          </w:p>
        </w:tc>
        <w:tc>
          <w:tcPr>
            <w:tcW w:w="2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1,577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gridSpan w:val="2"/>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1,577</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3,361</w:t>
            </w:r>
          </w:p>
        </w:tc>
        <w:tc>
          <w:tcPr>
            <w:tcW w:w="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752</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2,609</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160" w:type="dxa"/>
            <w:vAlign w:val="bottom"/>
          </w:tcPr>
          <w:p>
            <w:pPr>
              <w:spacing w:after="0" w:line="127" w:lineRule="exact"/>
              <w:rPr>
                <w:sz w:val="20"/>
                <w:szCs w:val="20"/>
                <w:color w:val="auto"/>
              </w:rPr>
            </w:pPr>
            <w:r>
              <w:rPr>
                <w:rFonts w:ascii="Arial" w:cs="Arial" w:eastAsia="Arial" w:hAnsi="Arial"/>
                <w:sz w:val="10"/>
                <w:szCs w:val="10"/>
                <w:b w:val="1"/>
                <w:bCs w:val="1"/>
                <w:color w:val="auto"/>
              </w:rPr>
              <w:t>Core Net Income</w:t>
            </w:r>
            <w:r>
              <w:rPr>
                <w:rFonts w:ascii="Arial" w:cs="Arial" w:eastAsia="Arial" w:hAnsi="Arial"/>
                <w:sz w:val="12"/>
                <w:szCs w:val="12"/>
                <w:b w:val="1"/>
                <w:bCs w:val="1"/>
                <w:color w:val="auto"/>
                <w:vertAlign w:val="superscript"/>
              </w:rPr>
              <w:t>(1)</w:t>
            </w:r>
          </w:p>
        </w:tc>
        <w:tc>
          <w:tcPr>
            <w:tcW w:w="200" w:type="dxa"/>
            <w:vAlign w:val="bottom"/>
            <w:gridSpan w:val="2"/>
          </w:tcPr>
          <w:p>
            <w:pPr>
              <w:jc w:val="right"/>
              <w:ind w:right="9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53,448</w:t>
            </w:r>
          </w:p>
        </w:tc>
        <w:tc>
          <w:tcPr>
            <w:tcW w:w="40" w:type="dxa"/>
            <w:vAlign w:val="bottom"/>
          </w:tcPr>
          <w:p>
            <w:pPr>
              <w:spacing w:after="0"/>
              <w:rPr>
                <w:sz w:val="11"/>
                <w:szCs w:val="11"/>
                <w:color w:val="auto"/>
              </w:rPr>
            </w:pPr>
          </w:p>
        </w:tc>
        <w:tc>
          <w:tcPr>
            <w:tcW w:w="16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12,481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40,967</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0"/>
                <w:szCs w:val="10"/>
                <w:color w:val="auto"/>
              </w:rPr>
              <w:t>54,006</w:t>
            </w:r>
          </w:p>
        </w:tc>
        <w:tc>
          <w:tcPr>
            <w:tcW w:w="220" w:type="dxa"/>
            <w:vAlign w:val="bottom"/>
            <w:gridSpan w:val="4"/>
          </w:tcPr>
          <w:p>
            <w:pPr>
              <w:jc w:val="right"/>
              <w:ind w:right="40"/>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12,753</w:t>
            </w:r>
          </w:p>
        </w:tc>
        <w:tc>
          <w:tcPr>
            <w:tcW w:w="60" w:type="dxa"/>
            <w:vAlign w:val="bottom"/>
          </w:tcPr>
          <w:p>
            <w:pPr>
              <w:spacing w:after="0"/>
              <w:rPr>
                <w:sz w:val="11"/>
                <w:szCs w:val="11"/>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41,253</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8"/>
        <w:spacing w:after="0"/>
        <w:rPr>
          <w:sz w:val="20"/>
          <w:szCs w:val="20"/>
          <w:color w:val="auto"/>
        </w:rPr>
      </w:pPr>
      <w:r>
        <w:rPr>
          <w:rFonts w:ascii="Arial" w:cs="Arial" w:eastAsia="Arial" w:hAnsi="Arial"/>
          <w:sz w:val="8"/>
          <w:szCs w:val="8"/>
          <w:color w:val="auto"/>
        </w:rPr>
        <w:t>Note: The income tax expense reflects the non-deductibility of certain merger-related expenses.</w:t>
      </w:r>
    </w:p>
    <w:p>
      <w:pPr>
        <w:spacing w:after="0" w:line="143" w:lineRule="exact"/>
        <w:rPr>
          <w:sz w:val="20"/>
          <w:szCs w:val="20"/>
          <w:color w:val="auto"/>
        </w:rPr>
      </w:pPr>
    </w:p>
    <w:p>
      <w:pPr>
        <w:jc w:val="both"/>
        <w:ind w:left="8"/>
        <w:spacing w:after="0" w:line="253" w:lineRule="auto"/>
        <w:rPr>
          <w:sz w:val="20"/>
          <w:szCs w:val="20"/>
          <w:color w:val="auto"/>
        </w:rPr>
      </w:pPr>
      <w:r>
        <w:rPr>
          <w:rFonts w:ascii="Arial" w:cs="Arial" w:eastAsia="Arial" w:hAnsi="Arial"/>
          <w:sz w:val="12"/>
          <w:szCs w:val="12"/>
          <w:color w:val="auto"/>
        </w:rPr>
        <w:t>Net income of $13.1 million decreased $1.1 million compared to 2Q 2026, and earnings per share - diluted of $0.80 decreased $0.07 per share from 2Q 2026. Net income decreased $1.9 million, or 12.9%, compared to $15.1 million, or $0.89 per diluted share, for 3Q 2025. 3Q 2026 Core net income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$14.7 million, or $0.89 per diluted share, increased $0.4 million, or 3.2%, compared to 2Q 2026 Core net income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$14.3 million, or $0.87 per diluted share. 3Q 2026 Core net income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increased $2.5 million from 3Q 2025 Core net income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$12.2 million. 3Q 2026 Core net income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excluding purchase accounting accretion ("PAA") was $14.4 million, an increase of $2.9 million, or 25.2%</w:t>
      </w:r>
      <w:r>
        <w:rPr>
          <w:rFonts w:ascii="Times New Roman" w:cs="Times New Roman" w:eastAsia="Times New Roman" w:hAnsi="Times New Roman"/>
          <w:sz w:val="12"/>
          <w:szCs w:val="12"/>
          <w:color w:val="auto"/>
        </w:rPr>
        <w:t>,</w:t>
      </w:r>
      <w:r>
        <w:rPr>
          <w:rFonts w:ascii="Arial" w:cs="Arial" w:eastAsia="Arial" w:hAnsi="Arial"/>
          <w:sz w:val="12"/>
          <w:szCs w:val="12"/>
          <w:color w:val="auto"/>
        </w:rPr>
        <w:t xml:space="preserve"> from 3Q 2025 Core net income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$11.5 million excluding PAA.</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Consolidated Financial Performance</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Quarterly net interest income:</w:t>
      </w:r>
    </w:p>
    <w:p>
      <w:pPr>
        <w:spacing w:after="0" w:line="105" w:lineRule="exact"/>
        <w:rPr>
          <w:sz w:val="20"/>
          <w:szCs w:val="20"/>
          <w:color w:val="auto"/>
        </w:rPr>
      </w:pPr>
    </w:p>
    <w:p>
      <w:pPr>
        <w:ind w:left="428" w:hanging="212"/>
        <w:spacing w:after="0"/>
        <w:tabs>
          <w:tab w:leader="none" w:pos="428" w:val="left"/>
        </w:tabs>
        <w:numPr>
          <w:ilvl w:val="1"/>
          <w:numId w:val="5"/>
        </w:numPr>
        <w:rPr>
          <w:rFonts w:ascii="Arial" w:cs="Arial" w:eastAsia="Arial" w:hAnsi="Arial"/>
          <w:sz w:val="12"/>
          <w:szCs w:val="12"/>
          <w:b w:val="1"/>
          <w:bCs w:val="1"/>
          <w:color w:val="auto"/>
        </w:rPr>
      </w:pPr>
      <w:r>
        <w:rPr>
          <w:rFonts w:ascii="Arial" w:cs="Arial" w:eastAsia="Arial" w:hAnsi="Arial"/>
          <w:sz w:val="12"/>
          <w:szCs w:val="12"/>
          <w:color w:val="auto"/>
        </w:rPr>
        <w:t>Net interest income of $53.1 million increased $2.1 million, or 4.2% (not annualized), compared to 2Q 2026, and increased $1.1 million, or 2.0%, year-over-year.</w:t>
      </w:r>
    </w:p>
    <w:p>
      <w:pPr>
        <w:spacing w:after="0" w:line="105" w:lineRule="exact"/>
        <w:rPr>
          <w:rFonts w:ascii="Arial" w:cs="Arial" w:eastAsia="Arial" w:hAnsi="Arial"/>
          <w:sz w:val="12"/>
          <w:szCs w:val="12"/>
          <w:b w:val="1"/>
          <w:bCs w:val="1"/>
          <w:color w:val="auto"/>
        </w:rPr>
      </w:pPr>
    </w:p>
    <w:p>
      <w:pPr>
        <w:jc w:val="both"/>
        <w:ind w:left="648" w:hanging="216"/>
        <w:spacing w:after="0" w:line="266" w:lineRule="auto"/>
        <w:tabs>
          <w:tab w:leader="none" w:pos="645" w:val="left"/>
        </w:tabs>
        <w:numPr>
          <w:ilvl w:val="2"/>
          <w:numId w:val="5"/>
        </w:numPr>
        <w:rPr>
          <w:rFonts w:ascii="Arial" w:cs="Arial" w:eastAsia="Arial" w:hAnsi="Arial"/>
          <w:sz w:val="12"/>
          <w:szCs w:val="12"/>
          <w:color w:val="auto"/>
        </w:rPr>
      </w:pPr>
      <w:r>
        <w:rPr>
          <w:rFonts w:ascii="Arial" w:cs="Arial" w:eastAsia="Arial" w:hAnsi="Arial"/>
          <w:sz w:val="12"/>
          <w:szCs w:val="12"/>
          <w:color w:val="auto"/>
        </w:rPr>
        <w:t>Interest income of $72.3 million increased $2.3 million, or 3.3% (not annualized), compared to 2Q 2026, and increased $7.4 million, or 11.4%, year-over-year. The increase from 2Q 2026 was primarily driven by a $2.4 million increase from Commercial Bank loan growth and $0.5 million increase from 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due to higher balances and higher yields, slightly offset by a $0.5 million decrease in interest bearing cash income due to lower balances of interest-bearing deposits from other financial institutions. The increase year-over-year was primarily driven by $6.5 million from the Commercial Bank due to strong organic loan growth, and $0.9 million from 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due to strong growth from the unsecured loan product.</w:t>
      </w:r>
    </w:p>
    <w:p>
      <w:pPr>
        <w:spacing w:after="0" w:line="13" w:lineRule="exact"/>
        <w:rPr>
          <w:rFonts w:ascii="Arial" w:cs="Arial" w:eastAsia="Arial" w:hAnsi="Arial"/>
          <w:sz w:val="12"/>
          <w:szCs w:val="12"/>
          <w:color w:val="auto"/>
        </w:rPr>
      </w:pPr>
    </w:p>
    <w:p>
      <w:pPr>
        <w:ind w:left="648"/>
        <w:spacing w:after="0"/>
        <w:rPr>
          <w:rFonts w:ascii="Arial" w:cs="Arial" w:eastAsia="Arial" w:hAnsi="Arial"/>
          <w:sz w:val="12"/>
          <w:szCs w:val="12"/>
          <w:color w:val="auto"/>
        </w:rPr>
      </w:pPr>
      <w:r>
        <w:rPr>
          <w:rFonts w:ascii="Arial" w:cs="Arial" w:eastAsia="Arial" w:hAnsi="Arial"/>
          <w:sz w:val="12"/>
          <w:szCs w:val="12"/>
          <w:color w:val="auto"/>
        </w:rPr>
        <w:t>▪   Interest income included $0.3 million from net PAA in 3Q 2026, compared to $0.2 million in 2Q 2026 and $0.2 million in net PAA in 3Q 2025.</w:t>
      </w:r>
    </w:p>
    <w:p>
      <w:pPr>
        <w:spacing w:after="0" w:line="105" w:lineRule="exact"/>
        <w:rPr>
          <w:rFonts w:ascii="Arial" w:cs="Arial" w:eastAsia="Arial" w:hAnsi="Arial"/>
          <w:sz w:val="12"/>
          <w:szCs w:val="12"/>
          <w:color w:val="auto"/>
        </w:rPr>
      </w:pPr>
    </w:p>
    <w:p>
      <w:pPr>
        <w:jc w:val="both"/>
        <w:ind w:left="648" w:hanging="216"/>
        <w:spacing w:after="0" w:line="291" w:lineRule="auto"/>
        <w:tabs>
          <w:tab w:leader="none" w:pos="645" w:val="left"/>
        </w:tabs>
        <w:numPr>
          <w:ilvl w:val="2"/>
          <w:numId w:val="5"/>
        </w:numPr>
        <w:rPr>
          <w:rFonts w:ascii="Arial" w:cs="Arial" w:eastAsia="Arial" w:hAnsi="Arial"/>
          <w:sz w:val="12"/>
          <w:szCs w:val="12"/>
          <w:color w:val="auto"/>
        </w:rPr>
      </w:pPr>
      <w:r>
        <w:rPr>
          <w:rFonts w:ascii="Arial" w:cs="Arial" w:eastAsia="Arial" w:hAnsi="Arial"/>
          <w:sz w:val="12"/>
          <w:szCs w:val="12"/>
          <w:color w:val="auto"/>
        </w:rPr>
        <w:t>Interest expense of $19.2 million increased $0.2 million, or 1.0% (not annualized), compared to 2Q 2026, and increased $6.3 million, or 49.3%, year-over-year. The increase of $0.2 million, compared to 2Q 2026, was primarily driven by growth in money market accounts, offset by a decrease in borrowed funds. The increase of $6.3 million year-over-year was driven by $1.0 million from higher balances and a shift in deposit mix, $5.2 million of decreased benefit from net PAA, and $0.1 million of higher borrowing costs.</w:t>
      </w:r>
    </w:p>
    <w:p>
      <w:pPr>
        <w:spacing w:after="0" w:line="150" w:lineRule="exact"/>
        <w:rPr>
          <w:rFonts w:ascii="Arial" w:cs="Arial" w:eastAsia="Arial" w:hAnsi="Arial"/>
          <w:sz w:val="12"/>
          <w:szCs w:val="12"/>
          <w:color w:val="auto"/>
        </w:rPr>
      </w:pPr>
    </w:p>
    <w:p>
      <w:pPr>
        <w:ind w:left="8" w:right="140" w:hanging="8"/>
        <w:spacing w:after="0" w:line="306" w:lineRule="auto"/>
        <w:tabs>
          <w:tab w:leader="none" w:pos="85" w:val="left"/>
        </w:tabs>
        <w:numPr>
          <w:ilvl w:val="0"/>
          <w:numId w:val="5"/>
        </w:numPr>
        <w:rPr>
          <w:rFonts w:ascii="Arial" w:cs="Arial" w:eastAsia="Arial" w:hAnsi="Arial"/>
          <w:sz w:val="5"/>
          <w:szCs w:val="5"/>
          <w:color w:val="auto"/>
        </w:rPr>
      </w:pPr>
      <w:r>
        <w:rPr>
          <w:rFonts w:ascii="Arial" w:cs="Arial" w:eastAsia="Arial" w:hAnsi="Arial"/>
          <w:sz w:val="7"/>
          <w:szCs w:val="7"/>
          <w:color w:val="auto"/>
        </w:rPr>
        <w:t>As used in this press release, Core net income and Core noninterest expense are non-GAAP financial measures. These non-GAAP financial metrics exclude the impact of merger-related expenses and certain other pre-tax adjustments which are not indicative of operating performance and the tax impacts of such adjustments. Reconciliations of this and other non–GAAP measures to their comparable GAAP measures are set forth in the Appendix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11430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8"/>
          </w:cols>
          <w:pgMar w:left="292" w:top="568" w:right="299" w:bottom="1440" w:gutter="0" w:footer="0" w:header="0"/>
        </w:sectPr>
      </w:pPr>
    </w:p>
    <w:bookmarkStart w:id="6" w:name="page7"/>
    <w:bookmarkEnd w:id="6"/>
    <w:p>
      <w:pPr>
        <w:ind w:left="8"/>
        <w:spacing w:after="0"/>
        <w:rPr>
          <w:sz w:val="20"/>
          <w:szCs w:val="20"/>
          <w:color w:val="auto"/>
        </w:rPr>
      </w:pPr>
      <w:r>
        <w:rPr>
          <w:rFonts w:ascii="Arial" w:cs="Arial" w:eastAsia="Arial" w:hAnsi="Arial"/>
          <w:sz w:val="12"/>
          <w:szCs w:val="12"/>
          <w:b w:val="1"/>
          <w:bCs w:val="1"/>
          <w:u w:val="single" w:color="auto"/>
          <w:color w:val="auto"/>
        </w:rPr>
        <w:t>Consolidated Financial Performance (continued)</w:t>
      </w:r>
    </w:p>
    <w:p>
      <w:pPr>
        <w:spacing w:after="0" w:line="105" w:lineRule="exact"/>
        <w:rPr>
          <w:sz w:val="20"/>
          <w:szCs w:val="20"/>
          <w:color w:val="auto"/>
        </w:rPr>
      </w:pPr>
    </w:p>
    <w:p>
      <w:pPr>
        <w:ind w:left="868" w:hanging="220"/>
        <w:spacing w:after="0" w:line="301" w:lineRule="auto"/>
        <w:tabs>
          <w:tab w:leader="none" w:pos="865" w:val="left"/>
        </w:tabs>
        <w:numPr>
          <w:ilvl w:val="0"/>
          <w:numId w:val="6"/>
        </w:numPr>
        <w:rPr>
          <w:rFonts w:ascii="Arial" w:cs="Arial" w:eastAsia="Arial" w:hAnsi="Arial"/>
          <w:sz w:val="12"/>
          <w:szCs w:val="12"/>
          <w:color w:val="auto"/>
        </w:rPr>
      </w:pPr>
      <w:r>
        <w:rPr>
          <w:rFonts w:ascii="Arial" w:cs="Arial" w:eastAsia="Arial" w:hAnsi="Arial"/>
          <w:sz w:val="12"/>
          <w:szCs w:val="12"/>
          <w:color w:val="auto"/>
        </w:rPr>
        <w:t>Interest expense included a $0.1 million benefit from net PAA in both 3Q 2026 and 2Q 2026. There was a $5.3 million benefit from net PAA in 3Q 2025, which included $4.6 million from the call of brokered time deposits acquired from the IFH transaction ("Call of Brokered Time Deposits").</w:t>
      </w:r>
    </w:p>
    <w:p>
      <w:pPr>
        <w:spacing w:after="0" w:line="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Quarterly provision:</w:t>
      </w:r>
    </w:p>
    <w:p>
      <w:pPr>
        <w:spacing w:after="0" w:line="96" w:lineRule="exact"/>
        <w:rPr>
          <w:sz w:val="20"/>
          <w:szCs w:val="20"/>
          <w:color w:val="auto"/>
        </w:rPr>
      </w:pPr>
    </w:p>
    <w:p>
      <w:pPr>
        <w:jc w:val="both"/>
        <w:ind w:left="428" w:hanging="212"/>
        <w:spacing w:after="0" w:line="291" w:lineRule="auto"/>
        <w:tabs>
          <w:tab w:leader="none" w:pos="425"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3Q 2026 provision for credit losses was $4.9 million, an increase of $1.3 million from 2Q 2026. The increase was primarily driven by $1.3 million of increased provision for the Commercial Bank from 2Q 2026, primarily due to a $1.0 million increased reserve requirement largely attributable to loan growth and $0.3 million decrease in net charge-offs. Net charge-offs totaled $3.8 million, or 0.49% of portfolio loans (annualized), consistent with $3.8 million or 0.50% of portfolio loans (annualized), in 2Q 2026.</w:t>
      </w:r>
    </w:p>
    <w:p>
      <w:pPr>
        <w:spacing w:after="0" w:line="55" w:lineRule="exact"/>
        <w:rPr>
          <w:rFonts w:ascii="Arial" w:cs="Arial" w:eastAsia="Arial" w:hAnsi="Arial"/>
          <w:sz w:val="12"/>
          <w:szCs w:val="12"/>
          <w:color w:val="auto"/>
        </w:rPr>
      </w:pPr>
    </w:p>
    <w:p>
      <w:pPr>
        <w:ind w:left="868" w:hanging="220"/>
        <w:spacing w:after="0" w:line="259" w:lineRule="auto"/>
        <w:tabs>
          <w:tab w:leader="none" w:pos="865" w:val="left"/>
        </w:tabs>
        <w:numPr>
          <w:ilvl w:val="1"/>
          <w:numId w:val="7"/>
        </w:numPr>
        <w:rPr>
          <w:rFonts w:ascii="Arial" w:cs="Arial" w:eastAsia="Arial" w:hAnsi="Arial"/>
          <w:sz w:val="12"/>
          <w:szCs w:val="12"/>
          <w:color w:val="auto"/>
        </w:rPr>
      </w:pPr>
      <w:r>
        <w:rPr>
          <w:rFonts w:ascii="Arial" w:cs="Arial" w:eastAsia="Arial" w:hAnsi="Arial"/>
          <w:sz w:val="12"/>
          <w:szCs w:val="12"/>
          <w:color w:val="auto"/>
        </w:rPr>
        <w:t>Net charge-offs in the quarter included $3.2 million from 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loans and $0.6 million from Commercial Bank loans. Net charge-offs for the Commercial Bank decreased $0.3 million quarter-over-quarter. 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net charge-offs increased $0.3 million quarter-over-quarter, driven by the secured product.</w:t>
      </w:r>
    </w:p>
    <w:p>
      <w:pPr>
        <w:spacing w:after="0" w:line="24" w:lineRule="exact"/>
        <w:rPr>
          <w:rFonts w:ascii="Arial" w:cs="Arial" w:eastAsia="Arial" w:hAnsi="Arial"/>
          <w:sz w:val="12"/>
          <w:szCs w:val="12"/>
          <w:color w:val="auto"/>
        </w:rPr>
      </w:pPr>
    </w:p>
    <w:p>
      <w:pPr>
        <w:ind w:left="868" w:hanging="220"/>
        <w:spacing w:after="0"/>
        <w:tabs>
          <w:tab w:leader="none" w:pos="868" w:val="left"/>
        </w:tabs>
        <w:numPr>
          <w:ilvl w:val="1"/>
          <w:numId w:val="7"/>
        </w:numPr>
        <w:rPr>
          <w:rFonts w:ascii="Arial" w:cs="Arial" w:eastAsia="Arial" w:hAnsi="Arial"/>
          <w:sz w:val="12"/>
          <w:szCs w:val="12"/>
          <w:color w:val="auto"/>
        </w:rPr>
      </w:pPr>
      <w:r>
        <w:rPr>
          <w:rFonts w:ascii="Arial" w:cs="Arial" w:eastAsia="Arial" w:hAnsi="Arial"/>
          <w:sz w:val="12"/>
          <w:szCs w:val="12"/>
          <w:color w:val="auto"/>
        </w:rPr>
        <w:t>At September 30, 2026, the ACL Coverage Ratio was 1.78%, an increase of 2 bps from June 30, 2026.</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Quarterly fee revenue:</w:t>
      </w:r>
    </w:p>
    <w:p>
      <w:pPr>
        <w:spacing w:after="0" w:line="105" w:lineRule="exact"/>
        <w:rPr>
          <w:sz w:val="20"/>
          <w:szCs w:val="20"/>
          <w:color w:val="auto"/>
        </w:rPr>
      </w:pPr>
    </w:p>
    <w:p>
      <w:pPr>
        <w:jc w:val="both"/>
        <w:ind w:left="428" w:hanging="212"/>
        <w:spacing w:after="0" w:line="254" w:lineRule="auto"/>
        <w:tabs>
          <w:tab w:leader="none" w:pos="425" w:val="left"/>
        </w:tabs>
        <w:numPr>
          <w:ilvl w:val="0"/>
          <w:numId w:val="8"/>
        </w:numPr>
        <w:rPr>
          <w:rFonts w:ascii="Arial" w:cs="Arial" w:eastAsia="Arial" w:hAnsi="Arial"/>
          <w:sz w:val="12"/>
          <w:szCs w:val="12"/>
          <w:color w:val="auto"/>
        </w:rPr>
      </w:pPr>
      <w:r>
        <w:rPr>
          <w:rFonts w:ascii="Arial" w:cs="Arial" w:eastAsia="Arial" w:hAnsi="Arial"/>
          <w:sz w:val="12"/>
          <w:szCs w:val="12"/>
          <w:color w:val="auto"/>
        </w:rPr>
        <w:t>Fee Revenue of $15.0 million increased $0.7 million, compared to 2Q 2026 and increased $4.0 million year-over-year. The increase of $0.7 million during 3Q 2026 was primarily driven by a $0.4 million increase in other income from fees associated with USDA transactions that did not close and an increase in small business investment company ("SBIC") income, and a $0.3 million increase in government lending revenue from both USDA and SBA gain on sale. The year-over-year fee revenue increase of $4.0 million was primarily driven by a $1.5 million increase in government lending revenue mostly from USDA gain on sale, $1.2 million from SBIC income, $0.8 million from government loan servicing and packaging revenue (Windsor</w:t>
      </w:r>
      <w:r>
        <w:rPr>
          <w:rFonts w:ascii="Arial" w:cs="Arial" w:eastAsia="Arial" w:hAnsi="Arial"/>
          <w:sz w:val="15"/>
          <w:szCs w:val="15"/>
          <w:color w:val="auto"/>
          <w:vertAlign w:val="superscript"/>
        </w:rPr>
        <w:t>™</w:t>
      </w:r>
      <w:r>
        <w:rPr>
          <w:rFonts w:ascii="Arial" w:cs="Arial" w:eastAsia="Arial" w:hAnsi="Arial"/>
          <w:sz w:val="12"/>
          <w:szCs w:val="12"/>
          <w:color w:val="auto"/>
        </w:rPr>
        <w:t>) driven by growth in servicing income from organic growth in the servicing portfolio, and $0.3 million from fees earned from USDA deals which were not executed. Fee revenue mix</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was 22.1% of total revenue for 3Q 2026, compared to 22.0% during 2Q 2026, and 17.5% during 3Q 2025. Core fee revenue mix was 22.1% for 3Q 2026, compared to 22.0% during 2Q 2026, and 18.9% during 3Q 2025.</w:t>
      </w:r>
    </w:p>
    <w:p>
      <w:pPr>
        <w:spacing w:after="0" w:line="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Quarterly noninterest expense:</w:t>
      </w:r>
    </w:p>
    <w:p>
      <w:pPr>
        <w:spacing w:after="0" w:line="104" w:lineRule="exact"/>
        <w:rPr>
          <w:sz w:val="20"/>
          <w:szCs w:val="20"/>
          <w:color w:val="auto"/>
        </w:rPr>
      </w:pPr>
    </w:p>
    <w:p>
      <w:pPr>
        <w:ind w:left="428" w:hanging="212"/>
        <w:spacing w:after="0" w:line="243" w:lineRule="auto"/>
        <w:tabs>
          <w:tab w:leader="none" w:pos="425" w:val="left"/>
        </w:tabs>
        <w:numPr>
          <w:ilvl w:val="0"/>
          <w:numId w:val="9"/>
        </w:numPr>
        <w:rPr>
          <w:rFonts w:ascii="Arial" w:cs="Arial" w:eastAsia="Arial" w:hAnsi="Arial"/>
          <w:sz w:val="12"/>
          <w:szCs w:val="12"/>
          <w:color w:val="auto"/>
        </w:rPr>
      </w:pPr>
      <w:r>
        <w:rPr>
          <w:rFonts w:ascii="Arial" w:cs="Arial" w:eastAsia="Arial" w:hAnsi="Arial"/>
          <w:sz w:val="12"/>
          <w:szCs w:val="12"/>
          <w:color w:val="auto"/>
        </w:rPr>
        <w:t>Noninterest expense of $45.7 million increased $2.5 million compared to 2Q 2026 and increased $7.4 million compared to 3Q 2025. Core noninterest expense</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of $44.1 million increased $1.0 million compared to 2Q 2026 and increased $6.5 million compared to 3Q 2025. Core comparisons include:</w:t>
      </w:r>
    </w:p>
    <w:p>
      <w:pPr>
        <w:spacing w:after="0" w:line="82" w:lineRule="exact"/>
        <w:rPr>
          <w:rFonts w:ascii="Arial" w:cs="Arial" w:eastAsia="Arial" w:hAnsi="Arial"/>
          <w:sz w:val="12"/>
          <w:szCs w:val="12"/>
          <w:color w:val="auto"/>
        </w:rPr>
      </w:pPr>
    </w:p>
    <w:p>
      <w:pPr>
        <w:ind w:left="648" w:hanging="216"/>
        <w:spacing w:after="0"/>
        <w:tabs>
          <w:tab w:leader="none" w:pos="648" w:val="left"/>
        </w:tabs>
        <w:numPr>
          <w:ilvl w:val="1"/>
          <w:numId w:val="9"/>
        </w:numPr>
        <w:rPr>
          <w:rFonts w:ascii="Arial" w:cs="Arial" w:eastAsia="Arial" w:hAnsi="Arial"/>
          <w:sz w:val="12"/>
          <w:szCs w:val="12"/>
          <w:color w:val="auto"/>
        </w:rPr>
      </w:pPr>
      <w:r>
        <w:rPr>
          <w:rFonts w:ascii="Arial" w:cs="Arial" w:eastAsia="Arial" w:hAnsi="Arial"/>
          <w:sz w:val="12"/>
          <w:szCs w:val="12"/>
          <w:color w:val="auto"/>
        </w:rPr>
        <w:t>The increase of $1.0 million quarter-over-quarter was primarily driven by $1.0 million higher personnel costs primarily due to planned investment in headcount</w:t>
      </w:r>
    </w:p>
    <w:p>
      <w:pPr>
        <w:spacing w:after="0" w:line="105" w:lineRule="exact"/>
        <w:rPr>
          <w:rFonts w:ascii="Arial" w:cs="Arial" w:eastAsia="Arial" w:hAnsi="Arial"/>
          <w:sz w:val="12"/>
          <w:szCs w:val="12"/>
          <w:color w:val="auto"/>
        </w:rPr>
      </w:pPr>
    </w:p>
    <w:p>
      <w:pPr>
        <w:ind w:left="648" w:right="20" w:hanging="216"/>
        <w:spacing w:after="0" w:line="299" w:lineRule="auto"/>
        <w:tabs>
          <w:tab w:leader="none" w:pos="645" w:val="left"/>
        </w:tabs>
        <w:numPr>
          <w:ilvl w:val="1"/>
          <w:numId w:val="9"/>
        </w:numPr>
        <w:rPr>
          <w:rFonts w:ascii="Arial" w:cs="Arial" w:eastAsia="Arial" w:hAnsi="Arial"/>
          <w:sz w:val="12"/>
          <w:szCs w:val="12"/>
          <w:color w:val="auto"/>
        </w:rPr>
      </w:pPr>
      <w:r>
        <w:rPr>
          <w:rFonts w:ascii="Arial" w:cs="Arial" w:eastAsia="Arial" w:hAnsi="Arial"/>
          <w:sz w:val="12"/>
          <w:szCs w:val="12"/>
          <w:color w:val="auto"/>
        </w:rPr>
        <w:t>Year-over-year expense growth of $6.5 million was primarily driven by planned expansion and investment in headcount across the organization, and an increase in professional fees associated with investments in shared services areas and OpenSky</w:t>
      </w:r>
      <w:r>
        <w:rPr>
          <w:rFonts w:ascii="Arial" w:cs="Arial" w:eastAsia="Arial" w:hAnsi="Arial"/>
          <w:sz w:val="15"/>
          <w:szCs w:val="15"/>
          <w:color w:val="auto"/>
          <w:vertAlign w:val="superscript"/>
        </w:rPr>
        <w:t>™</w:t>
      </w:r>
      <w:r>
        <w:rPr>
          <w:rFonts w:ascii="Arial" w:cs="Arial" w:eastAsia="Arial" w:hAnsi="Arial"/>
          <w:sz w:val="12"/>
          <w:szCs w:val="12"/>
          <w:color w:val="auto"/>
        </w:rPr>
        <w:t>.</w:t>
      </w:r>
    </w:p>
    <w:p>
      <w:pPr>
        <w:ind w:left="8"/>
        <w:spacing w:after="0"/>
        <w:rPr>
          <w:sz w:val="20"/>
          <w:szCs w:val="20"/>
          <w:color w:val="auto"/>
        </w:rPr>
      </w:pPr>
      <w:r>
        <w:rPr>
          <w:rFonts w:ascii="Arial" w:cs="Arial" w:eastAsia="Arial" w:hAnsi="Arial"/>
          <w:sz w:val="12"/>
          <w:szCs w:val="12"/>
          <w:b w:val="1"/>
          <w:bCs w:val="1"/>
          <w:color w:val="auto"/>
        </w:rPr>
        <w:t>Quarterly income taxes:</w:t>
      </w:r>
    </w:p>
    <w:p>
      <w:pPr>
        <w:spacing w:after="0" w:line="105" w:lineRule="exact"/>
        <w:rPr>
          <w:sz w:val="20"/>
          <w:szCs w:val="20"/>
          <w:color w:val="auto"/>
        </w:rPr>
      </w:pPr>
    </w:p>
    <w:p>
      <w:pPr>
        <w:ind w:left="428" w:hanging="212"/>
        <w:spacing w:after="0" w:line="301" w:lineRule="auto"/>
        <w:tabs>
          <w:tab w:leader="none" w:pos="425"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Income tax expense of $4.4 million, or 25.2% of pre-tax income for 3Q 2026, increased $0.2 million from $4.2 million, or 22.8% of pre-tax income for 2Q 2026. The effective income tax rate change quarter-over-quarter primarily reflects $1.6 million of non-deductible merger costs. Our Core effective income tax rate excluding non-deductible merger costs was 23.1% for 3Q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525145</wp:posOffset>
            </wp:positionV>
            <wp:extent cx="11430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8" w:hanging="68"/>
        <w:spacing w:after="0"/>
        <w:tabs>
          <w:tab w:leader="none" w:pos="68" w:val="left"/>
        </w:tabs>
        <w:numPr>
          <w:ilvl w:val="0"/>
          <w:numId w:val="11"/>
        </w:numPr>
        <w:rPr>
          <w:rFonts w:ascii="Arial" w:cs="Arial" w:eastAsia="Arial" w:hAnsi="Arial"/>
          <w:sz w:val="8"/>
          <w:szCs w:val="8"/>
          <w:color w:val="auto"/>
          <w:vertAlign w:val="superscript"/>
        </w:rPr>
      </w:pPr>
      <w:r>
        <w:rPr>
          <w:rFonts w:ascii="Arial" w:cs="Arial" w:eastAsia="Arial" w:hAnsi="Arial"/>
          <w:sz w:val="6"/>
          <w:szCs w:val="6"/>
          <w:color w:val="auto"/>
        </w:rPr>
        <w:t>Fee revenue mix equals fee revenue divided by the sum of fee revenue and net interest income before provision for credit losses.</w:t>
      </w:r>
    </w:p>
    <w:p>
      <w:pPr>
        <w:spacing w:after="0" w:line="4" w:lineRule="exact"/>
        <w:rPr>
          <w:rFonts w:ascii="Arial" w:cs="Arial" w:eastAsia="Arial" w:hAnsi="Arial"/>
          <w:sz w:val="8"/>
          <w:szCs w:val="8"/>
          <w:color w:val="auto"/>
          <w:vertAlign w:val="superscript"/>
        </w:rPr>
      </w:pPr>
    </w:p>
    <w:p>
      <w:pPr>
        <w:ind w:left="8" w:right="100" w:hanging="8"/>
        <w:spacing w:after="0" w:line="219" w:lineRule="auto"/>
        <w:tabs>
          <w:tab w:leader="none" w:pos="78" w:val="left"/>
        </w:tabs>
        <w:numPr>
          <w:ilvl w:val="0"/>
          <w:numId w:val="11"/>
        </w:numPr>
        <w:rPr>
          <w:rFonts w:ascii="Arial" w:cs="Arial" w:eastAsia="Arial" w:hAnsi="Arial"/>
          <w:sz w:val="9"/>
          <w:szCs w:val="9"/>
          <w:color w:val="auto"/>
          <w:vertAlign w:val="superscript"/>
        </w:rPr>
      </w:pPr>
      <w:r>
        <w:rPr>
          <w:rFonts w:ascii="Arial" w:cs="Arial" w:eastAsia="Arial" w:hAnsi="Arial"/>
          <w:sz w:val="7"/>
          <w:szCs w:val="7"/>
          <w:color w:val="auto"/>
        </w:rPr>
        <w:t>As used in this press release, Core noninterest expense, Core net income, Core earnings per share - diluted, Core ROA, Core ROTCE, Tangible Book Value per share are non-GAAP financial measures. These non-GAAP financial metrics exclude the impact of merger-related expenses and certain other pre-tax adjustments which are not indicative of operating performance and the tax impacts of such adjustments. Reconciliations of this and other non–GAAP measures to their comparable GAAP measures are set forth in the Appendix at the end of this press release.</w:t>
      </w:r>
    </w:p>
    <w:p>
      <w:pPr>
        <w:spacing w:after="0" w:line="28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8"/>
          </w:cols>
          <w:pgMar w:left="292" w:top="568" w:right="299" w:bottom="1440" w:gutter="0" w:footer="0" w:header="0"/>
        </w:sectPr>
      </w:pPr>
    </w:p>
    <w:bookmarkStart w:id="7" w:name="page8"/>
    <w:bookmarkEnd w:id="7"/>
    <w:p>
      <w:pPr>
        <w:ind w:left="8"/>
        <w:spacing w:after="0"/>
        <w:rPr>
          <w:sz w:val="20"/>
          <w:szCs w:val="20"/>
          <w:color w:val="auto"/>
        </w:rPr>
      </w:pPr>
      <w:r>
        <w:rPr>
          <w:rFonts w:ascii="Arial" w:cs="Arial" w:eastAsia="Arial" w:hAnsi="Arial"/>
          <w:sz w:val="12"/>
          <w:szCs w:val="12"/>
          <w:b w:val="1"/>
          <w:bCs w:val="1"/>
          <w:u w:val="single" w:color="auto"/>
          <w:color w:val="auto"/>
        </w:rPr>
        <w:t>Consolidated Financial Performance (continued)</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Total assets:</w:t>
      </w:r>
    </w:p>
    <w:p>
      <w:pPr>
        <w:spacing w:after="0" w:line="96" w:lineRule="exact"/>
        <w:rPr>
          <w:sz w:val="20"/>
          <w:szCs w:val="20"/>
          <w:color w:val="auto"/>
        </w:rPr>
      </w:pPr>
    </w:p>
    <w:p>
      <w:pPr>
        <w:ind w:left="8" w:right="80"/>
        <w:spacing w:after="0" w:line="291" w:lineRule="auto"/>
        <w:rPr>
          <w:sz w:val="20"/>
          <w:szCs w:val="20"/>
          <w:color w:val="auto"/>
        </w:rPr>
      </w:pPr>
      <w:r>
        <w:rPr>
          <w:rFonts w:ascii="Arial" w:cs="Arial" w:eastAsia="Arial" w:hAnsi="Arial"/>
          <w:sz w:val="12"/>
          <w:szCs w:val="12"/>
          <w:color w:val="auto"/>
        </w:rPr>
        <w:t>Total assets of $3.8 billion at September 30, 2026 decreased $87.4 million, or 8.9% (annualized) from June 30, 2026. The $87.4 million decrease was primarily driven by $156.2 million of decreased cash and cash equivalents, offset by total loan growth of $80.2 million (inclusive of portfolio loans receivable and loans held for sale). Total assets growth year-over-year was $413.1 million, or 12.2%. The growth year-over-year was primarily driven by increases in portfolio loans and cash balances.</w:t>
      </w:r>
    </w:p>
    <w:p>
      <w:pPr>
        <w:spacing w:after="0" w:line="5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Gross Loans:</w:t>
      </w:r>
    </w:p>
    <w:p>
      <w:pPr>
        <w:spacing w:after="0" w:line="96" w:lineRule="exact"/>
        <w:rPr>
          <w:sz w:val="20"/>
          <w:szCs w:val="20"/>
          <w:color w:val="auto"/>
        </w:rPr>
      </w:pPr>
    </w:p>
    <w:p>
      <w:pPr>
        <w:ind w:left="428" w:hanging="212"/>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Total loans increased $80.2 million driven by increases in loans held for sale of $51.9 million and loans held for investment of $28.3 million</w:t>
      </w:r>
    </w:p>
    <w:p>
      <w:pPr>
        <w:spacing w:after="0" w:line="105" w:lineRule="exact"/>
        <w:rPr>
          <w:rFonts w:ascii="Arial" w:cs="Arial" w:eastAsia="Arial" w:hAnsi="Arial"/>
          <w:sz w:val="12"/>
          <w:szCs w:val="12"/>
          <w:color w:val="auto"/>
        </w:rPr>
      </w:pPr>
    </w:p>
    <w:p>
      <w:pPr>
        <w:ind w:left="428" w:right="20" w:hanging="212"/>
        <w:spacing w:after="0" w:line="301" w:lineRule="auto"/>
        <w:tabs>
          <w:tab w:leader="none" w:pos="425" w:val="left"/>
        </w:tabs>
        <w:numPr>
          <w:ilvl w:val="0"/>
          <w:numId w:val="12"/>
        </w:numPr>
        <w:rPr>
          <w:rFonts w:ascii="Arial" w:cs="Arial" w:eastAsia="Arial" w:hAnsi="Arial"/>
          <w:sz w:val="12"/>
          <w:szCs w:val="12"/>
          <w:color w:val="auto"/>
        </w:rPr>
      </w:pPr>
      <w:r>
        <w:rPr>
          <w:rFonts w:ascii="Arial" w:cs="Arial" w:eastAsia="Arial" w:hAnsi="Arial"/>
          <w:sz w:val="12"/>
          <w:szCs w:val="12"/>
          <w:color w:val="auto"/>
        </w:rPr>
        <w:t>Loans held for sale increased $51.9 million, primarily driven by a reclassification of $60.2 million of loans from held for investment to held for sale due to the pending Chicago branch sale, subject to mutual agreement with the buyer on the loan population.</w:t>
      </w:r>
    </w:p>
    <w:p>
      <w:pPr>
        <w:spacing w:after="0" w:line="49" w:lineRule="exact"/>
        <w:rPr>
          <w:rFonts w:ascii="Arial" w:cs="Arial" w:eastAsia="Arial" w:hAnsi="Arial"/>
          <w:sz w:val="12"/>
          <w:szCs w:val="12"/>
          <w:color w:val="auto"/>
        </w:rPr>
      </w:pPr>
    </w:p>
    <w:p>
      <w:pPr>
        <w:ind w:left="428" w:hanging="212"/>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Gross Loans held for investment of $3.1 billion at September 30, 2026 increased $28.3 million, or 3.6% (annualized), from June 30, 2026 and increased $292.3 million, or 10.4%, year-over-year.</w:t>
      </w:r>
    </w:p>
    <w:p>
      <w:pPr>
        <w:spacing w:after="0" w:line="105" w:lineRule="exact"/>
        <w:rPr>
          <w:rFonts w:ascii="Arial" w:cs="Arial" w:eastAsia="Arial" w:hAnsi="Arial"/>
          <w:sz w:val="12"/>
          <w:szCs w:val="12"/>
          <w:color w:val="auto"/>
        </w:rPr>
      </w:pPr>
    </w:p>
    <w:p>
      <w:pPr>
        <w:ind w:left="648" w:hanging="216"/>
        <w:spacing w:after="0"/>
        <w:tabs>
          <w:tab w:leader="none" w:pos="648" w:val="left"/>
        </w:tabs>
        <w:numPr>
          <w:ilvl w:val="1"/>
          <w:numId w:val="12"/>
        </w:numPr>
        <w:rPr>
          <w:rFonts w:ascii="Arial" w:cs="Arial" w:eastAsia="Arial" w:hAnsi="Arial"/>
          <w:sz w:val="12"/>
          <w:szCs w:val="12"/>
          <w:color w:val="auto"/>
        </w:rPr>
      </w:pPr>
      <w:r>
        <w:rPr>
          <w:rFonts w:ascii="Arial" w:cs="Arial" w:eastAsia="Arial" w:hAnsi="Arial"/>
          <w:sz w:val="12"/>
          <w:szCs w:val="12"/>
          <w:color w:val="auto"/>
        </w:rPr>
        <w:t>Excluding the impact of $60.2 million of loans reclassified to held for sale, gross loans held for investment increased $88.5 million, or 11.4% (annualized) from June 30, 2026.</w:t>
      </w:r>
    </w:p>
    <w:p>
      <w:pPr>
        <w:spacing w:after="0" w:line="96" w:lineRule="exact"/>
        <w:rPr>
          <w:rFonts w:ascii="Arial" w:cs="Arial" w:eastAsia="Arial" w:hAnsi="Arial"/>
          <w:sz w:val="12"/>
          <w:szCs w:val="12"/>
          <w:color w:val="auto"/>
        </w:rPr>
      </w:pPr>
    </w:p>
    <w:p>
      <w:pPr>
        <w:ind w:left="648" w:hanging="216"/>
        <w:spacing w:after="0"/>
        <w:tabs>
          <w:tab w:leader="none" w:pos="648" w:val="left"/>
        </w:tabs>
        <w:numPr>
          <w:ilvl w:val="1"/>
          <w:numId w:val="12"/>
        </w:numPr>
        <w:rPr>
          <w:rFonts w:ascii="Arial" w:cs="Arial" w:eastAsia="Arial" w:hAnsi="Arial"/>
          <w:sz w:val="12"/>
          <w:szCs w:val="12"/>
          <w:color w:val="auto"/>
        </w:rPr>
      </w:pPr>
      <w:r>
        <w:rPr>
          <w:rFonts w:ascii="Arial" w:cs="Arial" w:eastAsia="Arial" w:hAnsi="Arial"/>
          <w:sz w:val="12"/>
          <w:szCs w:val="12"/>
          <w:color w:val="auto"/>
        </w:rPr>
        <w:t>Compared to June 30, 2026, growth was primarily driven by $42.7 million from C&amp;I and $10.0 million from construction real estate, slightly offset by a $21.1 million decrease in commercial real estate.</w:t>
      </w:r>
    </w:p>
    <w:p>
      <w:pPr>
        <w:spacing w:after="0" w:line="105" w:lineRule="exact"/>
        <w:rPr>
          <w:rFonts w:ascii="Arial" w:cs="Arial" w:eastAsia="Arial" w:hAnsi="Arial"/>
          <w:sz w:val="12"/>
          <w:szCs w:val="12"/>
          <w:color w:val="auto"/>
        </w:rPr>
      </w:pPr>
    </w:p>
    <w:p>
      <w:pPr>
        <w:ind w:left="1068" w:hanging="204"/>
        <w:spacing w:after="0"/>
        <w:tabs>
          <w:tab w:leader="none" w:pos="1068" w:val="left"/>
        </w:tabs>
        <w:numPr>
          <w:ilvl w:val="2"/>
          <w:numId w:val="12"/>
        </w:numPr>
        <w:rPr>
          <w:rFonts w:ascii="Arial" w:cs="Arial" w:eastAsia="Arial" w:hAnsi="Arial"/>
          <w:sz w:val="12"/>
          <w:szCs w:val="12"/>
          <w:color w:val="auto"/>
        </w:rPr>
      </w:pPr>
      <w:r>
        <w:rPr>
          <w:rFonts w:ascii="Arial" w:cs="Arial" w:eastAsia="Arial" w:hAnsi="Arial"/>
          <w:sz w:val="12"/>
          <w:szCs w:val="12"/>
          <w:color w:val="auto"/>
        </w:rPr>
        <w:t>The $42.7 million growth from C&amp;I was driven by $20.1 million SBA, $14.7 million legacy, and $7.9 million USDA.</w:t>
      </w:r>
    </w:p>
    <w:p>
      <w:pPr>
        <w:spacing w:after="0" w:line="105" w:lineRule="exact"/>
        <w:rPr>
          <w:rFonts w:ascii="Arial" w:cs="Arial" w:eastAsia="Arial" w:hAnsi="Arial"/>
          <w:sz w:val="12"/>
          <w:szCs w:val="12"/>
          <w:color w:val="auto"/>
        </w:rPr>
      </w:pPr>
    </w:p>
    <w:p>
      <w:pPr>
        <w:ind w:left="648" w:hanging="216"/>
        <w:spacing w:after="0"/>
        <w:tabs>
          <w:tab w:leader="none" w:pos="648" w:val="left"/>
        </w:tabs>
        <w:numPr>
          <w:ilvl w:val="1"/>
          <w:numId w:val="12"/>
        </w:numPr>
        <w:rPr>
          <w:rFonts w:ascii="Arial" w:cs="Arial" w:eastAsia="Arial" w:hAnsi="Arial"/>
          <w:sz w:val="12"/>
          <w:szCs w:val="12"/>
          <w:color w:val="auto"/>
        </w:rPr>
      </w:pPr>
      <w:r>
        <w:rPr>
          <w:rFonts w:ascii="Arial" w:cs="Arial" w:eastAsia="Arial" w:hAnsi="Arial"/>
          <w:sz w:val="12"/>
          <w:szCs w:val="12"/>
          <w:color w:val="auto"/>
        </w:rPr>
        <w:t>C&amp;I loans, plus owner-occupied CRE loans, totaled 38.3% of total portfolio loans at September 30, 2026, 37.4% at June 30, 2026, and 37.6% at September 30, 2025.</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Deposits:</w:t>
      </w:r>
    </w:p>
    <w:p>
      <w:pPr>
        <w:spacing w:after="0" w:line="105" w:lineRule="exact"/>
        <w:rPr>
          <w:sz w:val="20"/>
          <w:szCs w:val="20"/>
          <w:color w:val="auto"/>
        </w:rPr>
      </w:pPr>
    </w:p>
    <w:p>
      <w:pPr>
        <w:ind w:left="428" w:hanging="212"/>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Total deposits of $3.3 billion at September 30, 2026 decreased $52.0 million, or 6.1% (annualized), from June 30, 2026, and increased $407.1 million, or 14.0% from September 30, 2025.</w:t>
      </w:r>
    </w:p>
    <w:p>
      <w:pPr>
        <w:spacing w:after="0" w:line="105" w:lineRule="exact"/>
        <w:rPr>
          <w:rFonts w:ascii="Arial" w:cs="Arial" w:eastAsia="Arial" w:hAnsi="Arial"/>
          <w:sz w:val="12"/>
          <w:szCs w:val="12"/>
          <w:color w:val="auto"/>
        </w:rPr>
      </w:pPr>
    </w:p>
    <w:p>
      <w:pPr>
        <w:jc w:val="both"/>
        <w:ind w:left="868" w:hanging="220"/>
        <w:spacing w:after="0" w:line="284" w:lineRule="auto"/>
        <w:tabs>
          <w:tab w:leader="none" w:pos="865" w:val="left"/>
        </w:tabs>
        <w:numPr>
          <w:ilvl w:val="2"/>
          <w:numId w:val="13"/>
        </w:numPr>
        <w:rPr>
          <w:rFonts w:ascii="Arial" w:cs="Arial" w:eastAsia="Arial" w:hAnsi="Arial"/>
          <w:sz w:val="12"/>
          <w:szCs w:val="12"/>
          <w:color w:val="auto"/>
        </w:rPr>
      </w:pPr>
      <w:r>
        <w:rPr>
          <w:rFonts w:ascii="Arial" w:cs="Arial" w:eastAsia="Arial" w:hAnsi="Arial"/>
          <w:sz w:val="12"/>
          <w:szCs w:val="12"/>
          <w:color w:val="auto"/>
        </w:rPr>
        <w:t>Excluding a $99.9 million increase in brokered time deposits, customer deposits decreased $151.8 million or 19.2% (annualized), which was driven by an $89.3 million decrease from DDA products associated with our Title business due to typical seasonality, a $35.6 million increase from organic activity, and a $26.9 million decrease from customer time deposits which were not renewed or extended.</w:t>
      </w:r>
    </w:p>
    <w:p>
      <w:pPr>
        <w:spacing w:after="0" w:line="59" w:lineRule="exact"/>
        <w:rPr>
          <w:rFonts w:ascii="Arial" w:cs="Arial" w:eastAsia="Arial" w:hAnsi="Arial"/>
          <w:sz w:val="12"/>
          <w:szCs w:val="12"/>
          <w:color w:val="auto"/>
        </w:rPr>
      </w:pPr>
    </w:p>
    <w:p>
      <w:pPr>
        <w:ind w:left="1288" w:hanging="208"/>
        <w:spacing w:after="0" w:line="301" w:lineRule="auto"/>
        <w:tabs>
          <w:tab w:leader="none" w:pos="1294" w:val="left"/>
        </w:tabs>
        <w:numPr>
          <w:ilvl w:val="3"/>
          <w:numId w:val="13"/>
        </w:numPr>
        <w:rPr>
          <w:rFonts w:ascii="Arial" w:cs="Arial" w:eastAsia="Arial" w:hAnsi="Arial"/>
          <w:sz w:val="12"/>
          <w:szCs w:val="12"/>
          <w:color w:val="auto"/>
        </w:rPr>
      </w:pPr>
      <w:r>
        <w:rPr>
          <w:rFonts w:ascii="Arial" w:cs="Arial" w:eastAsia="Arial" w:hAnsi="Arial"/>
          <w:sz w:val="12"/>
          <w:szCs w:val="12"/>
          <w:color w:val="auto"/>
        </w:rPr>
        <w:t>The $151.8 million decrease includes $68.4 million from interest-bearing demand accounts, $52.8 million from noninterest-bearing deposits, $11.2 million from customer money market deposits, and $26.9 million from customer time deposits, partially offset by $7.5 million of growth from savings accounts.</w:t>
      </w:r>
    </w:p>
    <w:p>
      <w:pPr>
        <w:spacing w:after="0" w:line="49" w:lineRule="exact"/>
        <w:rPr>
          <w:rFonts w:ascii="Arial" w:cs="Arial" w:eastAsia="Arial" w:hAnsi="Arial"/>
          <w:sz w:val="12"/>
          <w:szCs w:val="12"/>
          <w:color w:val="auto"/>
        </w:rPr>
      </w:pPr>
    </w:p>
    <w:p>
      <w:pPr>
        <w:ind w:left="868" w:hanging="220"/>
        <w:spacing w:after="0" w:line="300" w:lineRule="auto"/>
        <w:tabs>
          <w:tab w:leader="none" w:pos="874" w:val="left"/>
        </w:tabs>
        <w:numPr>
          <w:ilvl w:val="2"/>
          <w:numId w:val="13"/>
        </w:numPr>
        <w:rPr>
          <w:rFonts w:ascii="Arial" w:cs="Arial" w:eastAsia="Arial" w:hAnsi="Arial"/>
          <w:sz w:val="12"/>
          <w:szCs w:val="12"/>
          <w:color w:val="auto"/>
        </w:rPr>
      </w:pPr>
      <w:r>
        <w:rPr>
          <w:rFonts w:ascii="Arial" w:cs="Arial" w:eastAsia="Arial" w:hAnsi="Arial"/>
          <w:sz w:val="12"/>
          <w:szCs w:val="12"/>
          <w:color w:val="auto"/>
        </w:rPr>
        <w:t>The increase in total deposits of $407.1 million year-over-year was primarily driven by $390.4 million in growth from customer money market deposits and $17.7 million from high yield savings accounts</w:t>
      </w:r>
      <w:r>
        <w:rPr>
          <w:rFonts w:ascii="Times New Roman" w:cs="Times New Roman" w:eastAsia="Times New Roman" w:hAnsi="Times New Roman"/>
          <w:sz w:val="12"/>
          <w:szCs w:val="12"/>
          <w:color w:val="auto"/>
        </w:rPr>
        <w:t>,</w:t>
      </w:r>
      <w:r>
        <w:rPr>
          <w:rFonts w:ascii="Arial" w:cs="Arial" w:eastAsia="Arial" w:hAnsi="Arial"/>
          <w:sz w:val="12"/>
          <w:szCs w:val="12"/>
          <w:color w:val="auto"/>
        </w:rPr>
        <w:t xml:space="preserve"> with offsetting activity across other deposit products.</w:t>
      </w:r>
    </w:p>
    <w:p>
      <w:pPr>
        <w:spacing w:after="0" w:line="50" w:lineRule="exact"/>
        <w:rPr>
          <w:rFonts w:ascii="Arial" w:cs="Arial" w:eastAsia="Arial" w:hAnsi="Arial"/>
          <w:sz w:val="12"/>
          <w:szCs w:val="12"/>
          <w:color w:val="auto"/>
        </w:rPr>
      </w:pPr>
    </w:p>
    <w:p>
      <w:pPr>
        <w:ind w:left="868" w:hanging="220"/>
        <w:spacing w:after="0"/>
        <w:tabs>
          <w:tab w:leader="none" w:pos="868" w:val="left"/>
        </w:tabs>
        <w:numPr>
          <w:ilvl w:val="2"/>
          <w:numId w:val="13"/>
        </w:numPr>
        <w:rPr>
          <w:rFonts w:ascii="Arial" w:cs="Arial" w:eastAsia="Arial" w:hAnsi="Arial"/>
          <w:sz w:val="12"/>
          <w:szCs w:val="12"/>
          <w:color w:val="auto"/>
        </w:rPr>
      </w:pPr>
      <w:r>
        <w:rPr>
          <w:rFonts w:ascii="Arial" w:cs="Arial" w:eastAsia="Arial" w:hAnsi="Arial"/>
          <w:sz w:val="12"/>
          <w:szCs w:val="12"/>
          <w:color w:val="auto"/>
        </w:rPr>
        <w:t>Total deposits include $111.1 million of deposits expected to be assumed in connection with the pending Chicago branch sale, subject to finalization of the purchase and assumption agreement.</w:t>
      </w:r>
    </w:p>
    <w:p>
      <w:pPr>
        <w:spacing w:after="0" w:line="96" w:lineRule="exact"/>
        <w:rPr>
          <w:rFonts w:ascii="Arial" w:cs="Arial" w:eastAsia="Arial" w:hAnsi="Arial"/>
          <w:sz w:val="12"/>
          <w:szCs w:val="12"/>
          <w:color w:val="auto"/>
        </w:rPr>
      </w:pPr>
    </w:p>
    <w:p>
      <w:pPr>
        <w:ind w:left="648" w:hanging="216"/>
        <w:spacing w:after="0"/>
        <w:tabs>
          <w:tab w:leader="none" w:pos="648" w:val="left"/>
        </w:tabs>
        <w:numPr>
          <w:ilvl w:val="1"/>
          <w:numId w:val="13"/>
        </w:numPr>
        <w:rPr>
          <w:rFonts w:ascii="Arial" w:cs="Arial" w:eastAsia="Arial" w:hAnsi="Arial"/>
          <w:sz w:val="12"/>
          <w:szCs w:val="12"/>
          <w:color w:val="auto"/>
        </w:rPr>
      </w:pPr>
      <w:r>
        <w:rPr>
          <w:rFonts w:ascii="Arial" w:cs="Arial" w:eastAsia="Arial" w:hAnsi="Arial"/>
          <w:sz w:val="12"/>
          <w:szCs w:val="12"/>
          <w:color w:val="auto"/>
        </w:rPr>
        <w:t>Insured and protected</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deposits were approximately $2.2 billion as of September 30, 2026 representing 66.6% of the Company's deposit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384175</wp:posOffset>
            </wp:positionV>
            <wp:extent cx="11430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8" w:hanging="68"/>
        <w:spacing w:after="0"/>
        <w:tabs>
          <w:tab w:leader="none" w:pos="68" w:val="left"/>
        </w:tabs>
        <w:numPr>
          <w:ilvl w:val="0"/>
          <w:numId w:val="14"/>
        </w:numPr>
        <w:rPr>
          <w:rFonts w:ascii="Arial" w:cs="Arial" w:eastAsia="Arial" w:hAnsi="Arial"/>
          <w:sz w:val="8"/>
          <w:szCs w:val="8"/>
          <w:color w:val="auto"/>
          <w:vertAlign w:val="superscript"/>
        </w:rPr>
      </w:pPr>
      <w:r>
        <w:rPr>
          <w:rFonts w:ascii="Arial" w:cs="Arial" w:eastAsia="Arial" w:hAnsi="Arial"/>
          <w:sz w:val="6"/>
          <w:szCs w:val="6"/>
          <w:color w:val="auto"/>
        </w:rPr>
        <w:t>Protected deposits include deposits that are indirectly protected under the product terms.</w:t>
      </w:r>
    </w:p>
    <w:p>
      <w:pPr>
        <w:spacing w:after="0" w:line="27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8"/>
          </w:cols>
          <w:pgMar w:left="292" w:top="568" w:right="299" w:bottom="1440" w:gutter="0" w:footer="0" w:header="0"/>
        </w:sectPr>
      </w:pPr>
    </w:p>
    <w:bookmarkStart w:id="8" w:name="page9"/>
    <w:bookmarkEnd w:id="8"/>
    <w:p>
      <w:pPr>
        <w:ind w:left="8"/>
        <w:spacing w:after="0"/>
        <w:rPr>
          <w:sz w:val="20"/>
          <w:szCs w:val="20"/>
          <w:color w:val="auto"/>
        </w:rPr>
      </w:pPr>
      <w:r>
        <w:rPr>
          <w:rFonts w:ascii="Arial" w:cs="Arial" w:eastAsia="Arial" w:hAnsi="Arial"/>
          <w:sz w:val="12"/>
          <w:szCs w:val="12"/>
          <w:b w:val="1"/>
          <w:bCs w:val="1"/>
          <w:u w:val="single" w:color="auto"/>
          <w:color w:val="auto"/>
        </w:rPr>
        <w:t>Consolidated Financial Performance (continued)</w:t>
      </w:r>
    </w:p>
    <w:p>
      <w:pPr>
        <w:spacing w:after="0" w:line="104" w:lineRule="exact"/>
        <w:rPr>
          <w:sz w:val="20"/>
          <w:szCs w:val="20"/>
          <w:color w:val="auto"/>
        </w:rPr>
      </w:pPr>
    </w:p>
    <w:p>
      <w:pPr>
        <w:ind w:left="648" w:hanging="216"/>
        <w:spacing w:after="0" w:line="243" w:lineRule="auto"/>
        <w:tabs>
          <w:tab w:leader="none" w:pos="654" w:val="left"/>
        </w:tabs>
        <w:numPr>
          <w:ilvl w:val="1"/>
          <w:numId w:val="15"/>
        </w:numPr>
        <w:rPr>
          <w:rFonts w:ascii="Arial" w:cs="Arial" w:eastAsia="Arial" w:hAnsi="Arial"/>
          <w:sz w:val="12"/>
          <w:szCs w:val="12"/>
          <w:color w:val="auto"/>
        </w:rPr>
      </w:pPr>
      <w:r>
        <w:rPr>
          <w:rFonts w:ascii="Arial" w:cs="Arial" w:eastAsia="Arial" w:hAnsi="Arial"/>
          <w:sz w:val="12"/>
          <w:szCs w:val="12"/>
          <w:color w:val="auto"/>
        </w:rPr>
        <w:t>Low interest</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and noninterest-bearing demand deposit account ("DDA") deposits totaled $1.2 billion, or 36.1% of deposits, a decrease of $113.8 million, or 8.7% from 2Q 2026, and an increase of $52.1 million, or 4.5% year-over-year.</w:t>
      </w:r>
    </w:p>
    <w:p>
      <w:pPr>
        <w:spacing w:after="0" w:line="82" w:lineRule="exact"/>
        <w:rPr>
          <w:rFonts w:ascii="Arial" w:cs="Arial" w:eastAsia="Arial" w:hAnsi="Arial"/>
          <w:sz w:val="12"/>
          <w:szCs w:val="12"/>
          <w:color w:val="auto"/>
        </w:rPr>
      </w:pPr>
    </w:p>
    <w:p>
      <w:pPr>
        <w:ind w:left="1068" w:hanging="204"/>
        <w:spacing w:after="0"/>
        <w:tabs>
          <w:tab w:leader="none" w:pos="1068" w:val="left"/>
        </w:tabs>
        <w:numPr>
          <w:ilvl w:val="2"/>
          <w:numId w:val="15"/>
        </w:numPr>
        <w:rPr>
          <w:rFonts w:ascii="Arial" w:cs="Arial" w:eastAsia="Arial" w:hAnsi="Arial"/>
          <w:sz w:val="12"/>
          <w:szCs w:val="12"/>
          <w:b w:val="1"/>
          <w:bCs w:val="1"/>
          <w:color w:val="auto"/>
        </w:rPr>
      </w:pPr>
      <w:r>
        <w:rPr>
          <w:rFonts w:ascii="Arial" w:cs="Arial" w:eastAsia="Arial" w:hAnsi="Arial"/>
          <w:sz w:val="12"/>
          <w:szCs w:val="12"/>
          <w:color w:val="auto"/>
        </w:rPr>
        <w:t>The average rate on the low interest and noninterest-bearing deposits was 0.30% for 3Q 2026, which increased 1 bps compared to 2Q 2026 and increased 15 bps year-over-year</w:t>
      </w:r>
      <w:r>
        <w:rPr>
          <w:rFonts w:ascii="Times New Roman" w:cs="Times New Roman" w:eastAsia="Times New Roman" w:hAnsi="Times New Roman"/>
          <w:sz w:val="12"/>
          <w:szCs w:val="12"/>
          <w:color w:val="auto"/>
        </w:rPr>
        <w:t>.</w:t>
      </w:r>
    </w:p>
    <w:p>
      <w:pPr>
        <w:spacing w:after="0" w:line="95" w:lineRule="exact"/>
        <w:rPr>
          <w:rFonts w:ascii="Arial" w:cs="Arial" w:eastAsia="Arial" w:hAnsi="Arial"/>
          <w:sz w:val="12"/>
          <w:szCs w:val="12"/>
          <w:b w:val="1"/>
          <w:bCs w:val="1"/>
          <w:color w:val="auto"/>
        </w:rPr>
      </w:pPr>
    </w:p>
    <w:p>
      <w:pPr>
        <w:ind w:left="428" w:hanging="212"/>
        <w:spacing w:after="0"/>
        <w:tabs>
          <w:tab w:leader="none" w:pos="428"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average portfolio loans-to-deposit ratio was 96.0% for 3Q 2026, compared to 94.3% for 2Q 2026, and 95.6% for 3Q 2025.</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Investment securities:</w:t>
      </w:r>
    </w:p>
    <w:p>
      <w:pPr>
        <w:spacing w:after="0" w:line="105" w:lineRule="exact"/>
        <w:rPr>
          <w:sz w:val="20"/>
          <w:szCs w:val="20"/>
          <w:color w:val="auto"/>
        </w:rPr>
      </w:pPr>
    </w:p>
    <w:p>
      <w:pPr>
        <w:jc w:val="both"/>
        <w:ind w:left="428" w:hanging="212"/>
        <w:spacing w:after="0" w:line="284" w:lineRule="auto"/>
        <w:tabs>
          <w:tab w:leader="none" w:pos="425"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investment securities portfolio continues to be classified as available-for-sale and had a fair market value of $214.5 million, or 5.6% of total assets, and an effective duration of 2.4 years, with U.S. Treasury Securities representing 61% of the overall investment portfolio at September 30, 2026. The accumulated other comprehensive loss on the investment securities portfolio increased $2.9 million during the quarter to $9.2 million after-tax as of September 30, 2026, which represents 2.1% of total stockholders' equity. The Company does not have a held-to-maturity investment securities portfolio.</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Liquidity:</w:t>
      </w:r>
    </w:p>
    <w:p>
      <w:pPr>
        <w:spacing w:after="0" w:line="105" w:lineRule="exact"/>
        <w:rPr>
          <w:sz w:val="20"/>
          <w:szCs w:val="20"/>
          <w:color w:val="auto"/>
        </w:rPr>
      </w:pPr>
    </w:p>
    <w:p>
      <w:pPr>
        <w:jc w:val="both"/>
        <w:ind w:left="428" w:hanging="212"/>
        <w:spacing w:after="0" w:line="284" w:lineRule="auto"/>
        <w:tabs>
          <w:tab w:leader="none" w:pos="425"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Company maintains stable and diversified sources of contingent liquidity, generally consistent with the prior quarter. Total available borrowing capacity as of September 30, 2026 was $842.6 million, compared to $801.6 million as of June 30, 2026, consisting of $736.0 million of available collateralized borrowing capacity, $100.5 million of unsecured lines of credit with other banks, and $6.1 million of unpledged investment securities available to collateralize potential additional borrowings. Including cash and cash equivalents of $262.0 million, total liquidity was approximately $1.1 billion.</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Capital:</w:t>
      </w:r>
    </w:p>
    <w:p>
      <w:pPr>
        <w:spacing w:after="0" w:line="105" w:lineRule="exact"/>
        <w:rPr>
          <w:sz w:val="20"/>
          <w:szCs w:val="20"/>
          <w:color w:val="auto"/>
        </w:rPr>
      </w:pPr>
    </w:p>
    <w:p>
      <w:pPr>
        <w:ind w:left="428" w:hanging="212"/>
        <w:spacing w:after="0" w:line="301" w:lineRule="auto"/>
        <w:tabs>
          <w:tab w:leader="none" w:pos="425" w:val="left"/>
        </w:tabs>
        <w:numPr>
          <w:ilvl w:val="1"/>
          <w:numId w:val="18"/>
        </w:numPr>
        <w:rPr>
          <w:rFonts w:ascii="Arial" w:cs="Arial" w:eastAsia="Arial" w:hAnsi="Arial"/>
          <w:sz w:val="12"/>
          <w:szCs w:val="12"/>
          <w:color w:val="auto"/>
        </w:rPr>
      </w:pPr>
      <w:r>
        <w:rPr>
          <w:rFonts w:ascii="Arial" w:cs="Arial" w:eastAsia="Arial" w:hAnsi="Arial"/>
          <w:sz w:val="12"/>
          <w:szCs w:val="12"/>
          <w:color w:val="auto"/>
        </w:rPr>
        <w:t>As of September 30, 2026, the Company reported a Common Equity Tier-1 capital ratio of 13.25% and a Tier 1 leverage ratio of 10.84%, compared to 13.16% and 10.51%, respectively, at June 30, 2026. At September 30, 2026, the Company and the Bank maintained regulatory capital ratios that exceed all capital adequacy requirements.</w:t>
      </w:r>
    </w:p>
    <w:p>
      <w:pPr>
        <w:spacing w:after="0" w:line="49" w:lineRule="exact"/>
        <w:rPr>
          <w:rFonts w:ascii="Arial" w:cs="Arial" w:eastAsia="Arial" w:hAnsi="Arial"/>
          <w:sz w:val="12"/>
          <w:szCs w:val="12"/>
          <w:color w:val="auto"/>
        </w:rPr>
      </w:pPr>
    </w:p>
    <w:p>
      <w:pPr>
        <w:jc w:val="both"/>
        <w:ind w:left="428" w:hanging="212"/>
        <w:spacing w:after="0" w:line="284" w:lineRule="auto"/>
        <w:tabs>
          <w:tab w:leader="none" w:pos="425" w:val="left"/>
        </w:tabs>
        <w:numPr>
          <w:ilvl w:val="1"/>
          <w:numId w:val="18"/>
        </w:numPr>
        <w:rPr>
          <w:rFonts w:ascii="Arial" w:cs="Arial" w:eastAsia="Arial" w:hAnsi="Arial"/>
          <w:sz w:val="12"/>
          <w:szCs w:val="12"/>
          <w:color w:val="auto"/>
        </w:rPr>
      </w:pPr>
      <w:r>
        <w:rPr>
          <w:rFonts w:ascii="Arial" w:cs="Arial" w:eastAsia="Arial" w:hAnsi="Arial"/>
          <w:sz w:val="12"/>
          <w:szCs w:val="12"/>
          <w:color w:val="auto"/>
        </w:rPr>
        <w:t>There were no shares repurchased and retired during the three months ended September 30, 2026, as part of the Company's stock repurchase program. As of September 30, 2026, there was $12.4 million remaining to be repurchased under the current $15.0 million authorized repurchase program, which will expire on December 31, 2026. In connection with the merger agreement with Peoples, the Company has suspended its stock repurchase program and does not currently expect to repurchase additional shares while the proposed transaction is pending.</w:t>
      </w:r>
    </w:p>
    <w:p>
      <w:pPr>
        <w:spacing w:after="0" w:line="162" w:lineRule="exact"/>
        <w:rPr>
          <w:rFonts w:ascii="Arial" w:cs="Arial" w:eastAsia="Arial" w:hAnsi="Arial"/>
          <w:sz w:val="12"/>
          <w:szCs w:val="12"/>
          <w:color w:val="auto"/>
        </w:rPr>
      </w:pPr>
    </w:p>
    <w:p>
      <w:pPr>
        <w:ind w:left="68" w:hanging="68"/>
        <w:spacing w:after="0"/>
        <w:tabs>
          <w:tab w:leader="none" w:pos="68" w:val="left"/>
        </w:tabs>
        <w:numPr>
          <w:ilvl w:val="0"/>
          <w:numId w:val="18"/>
        </w:numPr>
        <w:rPr>
          <w:rFonts w:ascii="Arial" w:cs="Arial" w:eastAsia="Arial" w:hAnsi="Arial"/>
          <w:sz w:val="8"/>
          <w:szCs w:val="8"/>
          <w:color w:val="auto"/>
          <w:vertAlign w:val="superscript"/>
        </w:rPr>
      </w:pPr>
      <w:r>
        <w:rPr>
          <w:rFonts w:ascii="Arial" w:cs="Arial" w:eastAsia="Arial" w:hAnsi="Arial"/>
          <w:sz w:val="6"/>
          <w:szCs w:val="6"/>
          <w:color w:val="auto"/>
        </w:rPr>
        <w:t>Low interest deposits include interest-bearing demand and savings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114300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5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8"/>
          </w:cols>
          <w:pgMar w:left="292" w:top="568" w:right="299" w:bottom="1440" w:gutter="0" w:footer="0" w:header="0"/>
        </w:sectPr>
      </w:pPr>
    </w:p>
    <w:bookmarkStart w:id="9" w:name="page10"/>
    <w:bookmarkEnd w:id="9"/>
    <w:p>
      <w:pPr>
        <w:ind w:left="8"/>
        <w:spacing w:after="0"/>
        <w:rPr>
          <w:sz w:val="20"/>
          <w:szCs w:val="20"/>
          <w:color w:val="auto"/>
        </w:rPr>
      </w:pPr>
      <w:r>
        <w:rPr>
          <w:rFonts w:ascii="Arial" w:cs="Arial" w:eastAsia="Arial" w:hAnsi="Arial"/>
          <w:sz w:val="12"/>
          <w:szCs w:val="12"/>
          <w:b w:val="1"/>
          <w:bCs w:val="1"/>
          <w:u w:val="single" w:color="auto"/>
          <w:color w:val="auto"/>
        </w:rPr>
        <w:t>Financial Metrics</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Net Interest Margin:</w:t>
      </w:r>
    </w:p>
    <w:p>
      <w:pPr>
        <w:spacing w:after="0" w:line="95" w:lineRule="exact"/>
        <w:rPr>
          <w:sz w:val="20"/>
          <w:szCs w:val="20"/>
          <w:color w:val="auto"/>
        </w:rPr>
      </w:pPr>
    </w:p>
    <w:p>
      <w:pPr>
        <w:jc w:val="both"/>
        <w:ind w:left="8"/>
        <w:spacing w:after="0" w:line="235" w:lineRule="auto"/>
        <w:rPr>
          <w:sz w:val="20"/>
          <w:szCs w:val="20"/>
          <w:color w:val="auto"/>
        </w:rPr>
      </w:pPr>
      <w:r>
        <w:rPr>
          <w:rFonts w:ascii="Arial" w:cs="Arial" w:eastAsia="Arial" w:hAnsi="Arial"/>
          <w:sz w:val="12"/>
          <w:szCs w:val="12"/>
          <w:color w:val="auto"/>
        </w:rPr>
        <w:t>NIM of 5.81% for 3Q 2026, increased 17 bps compared to the prior quarter, but decreased 55 bps year-over-year. Core NIM</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4.18% increased 14 bps (but increased 12 bps when excluding PAA) compared to the prior quarter, and decreased 48 bps year-over-year. Net PAA for 3Q 2026 was 4 bps for NIM and 5 bps for Core NIM</w:t>
      </w:r>
      <w:r>
        <w:rPr>
          <w:rFonts w:ascii="Arial" w:cs="Arial" w:eastAsia="Arial" w:hAnsi="Arial"/>
          <w:sz w:val="15"/>
          <w:szCs w:val="15"/>
          <w:color w:val="auto"/>
          <w:vertAlign w:val="superscript"/>
        </w:rPr>
        <w:t>(1)</w:t>
      </w:r>
      <w:r>
        <w:rPr>
          <w:rFonts w:ascii="Arial" w:cs="Arial" w:eastAsia="Arial" w:hAnsi="Arial"/>
          <w:sz w:val="12"/>
          <w:szCs w:val="12"/>
          <w:color w:val="auto"/>
        </w:rPr>
        <w:t>. The increase quarter-over-quarter in Core NIM includes 11 bps from organic growth from Commercial Bank portfolio, 2 bps from one non-performing loan relationship in 2Q 2026, and 1 bp from higher net PAA compared to 2Q 2026. There was $4.6 million of PAA from the Call of Brokered Time Deposits during 3Q 2025, or 56 bps of NIM and 59 of Core NIM. Excluding the impact from the Call of Brokered Time Deposits, NIM increased 1 bp and Core NIM increased 11 bps year-over-year.</w:t>
      </w:r>
    </w:p>
    <w:p>
      <w:pPr>
        <w:spacing w:after="0" w:line="77" w:lineRule="exact"/>
        <w:rPr>
          <w:sz w:val="20"/>
          <w:szCs w:val="20"/>
          <w:color w:val="auto"/>
        </w:rPr>
      </w:pPr>
    </w:p>
    <w:p>
      <w:pPr>
        <w:ind w:left="428" w:hanging="212"/>
        <w:spacing w:after="0" w:line="298" w:lineRule="auto"/>
        <w:tabs>
          <w:tab w:leader="none" w:pos="425"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average yield on interest earning assets of 7.91% increased 16 bps compared to the prior quarter and decreased 2 bps year-over-year. The increase quarter-over-quarter was due to growth in both the Commercial Bank and 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portfolios. The decrease year-over-year was primarily due to the impact of changes in the rate environment to the Commercial Bank and 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portfolios.</w:t>
      </w:r>
    </w:p>
    <w:p>
      <w:pPr>
        <w:ind w:left="868" w:right="20" w:hanging="220"/>
        <w:spacing w:after="0" w:line="234" w:lineRule="auto"/>
        <w:tabs>
          <w:tab w:leader="none" w:pos="865" w:val="left"/>
        </w:tabs>
        <w:numPr>
          <w:ilvl w:val="1"/>
          <w:numId w:val="19"/>
        </w:numPr>
        <w:rPr>
          <w:rFonts w:ascii="Arial" w:cs="Arial" w:eastAsia="Arial" w:hAnsi="Arial"/>
          <w:sz w:val="12"/>
          <w:szCs w:val="12"/>
          <w:color w:val="auto"/>
        </w:rPr>
      </w:pPr>
      <w:r>
        <w:rPr>
          <w:rFonts w:ascii="Arial" w:cs="Arial" w:eastAsia="Arial" w:hAnsi="Arial"/>
          <w:sz w:val="12"/>
          <w:szCs w:val="12"/>
          <w:color w:val="auto"/>
        </w:rPr>
        <w:t>The Core Loan Yield</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6.83% for 3Q 2026 increased 6 bps compared to 2Q 2026, and increased 9 bps year-over-year. The increase quarter-over-quarter includes 3 bps from organic portfolio growth and 3 bps from loan PAA. The increase year-over-year was primarily a result of organic portfolio growth.</w:t>
      </w:r>
    </w:p>
    <w:p>
      <w:pPr>
        <w:spacing w:after="0" w:line="76" w:lineRule="exact"/>
        <w:rPr>
          <w:rFonts w:ascii="Arial" w:cs="Arial" w:eastAsia="Arial" w:hAnsi="Arial"/>
          <w:sz w:val="12"/>
          <w:szCs w:val="12"/>
          <w:color w:val="auto"/>
        </w:rPr>
      </w:pPr>
    </w:p>
    <w:p>
      <w:pPr>
        <w:jc w:val="both"/>
        <w:ind w:left="428" w:right="20" w:hanging="212"/>
        <w:spacing w:after="0" w:line="284" w:lineRule="auto"/>
        <w:tabs>
          <w:tab w:leader="none" w:pos="425"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total cost of deposits of 2.30% for 3Q 2026 increased 1 bp compared to 2Q 2026, and increased 57 bps year-over-year. The increase year-over-year was primarily due to 63 bps from the Call of Brokered Time Deposits in 3Q 2025. Excluding the Call of Brokered Time Deposits from 3Q 2025, total cost of deposits would have decreased 6 bps year-over-year, primarily driven by a shift in product mix as well as changes in the rate environment offsetting lower time deposit PAA.</w:t>
      </w:r>
    </w:p>
    <w:p>
      <w:pPr>
        <w:spacing w:after="0" w:line="50" w:lineRule="exact"/>
        <w:rPr>
          <w:rFonts w:ascii="Arial" w:cs="Arial" w:eastAsia="Arial" w:hAnsi="Arial"/>
          <w:sz w:val="12"/>
          <w:szCs w:val="12"/>
          <w:color w:val="auto"/>
        </w:rPr>
      </w:pPr>
    </w:p>
    <w:p>
      <w:pPr>
        <w:jc w:val="both"/>
        <w:ind w:left="428" w:hanging="212"/>
        <w:spacing w:after="0" w:line="276" w:lineRule="auto"/>
        <w:tabs>
          <w:tab w:leader="none" w:pos="425"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total cost of interest-bearing deposits of 3.09% for 3Q 2026, remained consistent compared to the prior quarter, and increased 68 bps year-over-year. The increase year-over-year was primarily due to 87 bps from the Call of Brokered Time Deposits in 3Q 2025. Excluding the Call of Brokered Time Deposits from 3Q 2025, total cost of interest-bearing deposits would have decreased 19 bps year-over-year, which was primarily driven by a shift in product mix as well as changes in the rate environment.</w:t>
      </w:r>
    </w:p>
    <w:p>
      <w:pPr>
        <w:spacing w:after="0" w:line="53" w:lineRule="exact"/>
        <w:rPr>
          <w:rFonts w:ascii="Arial" w:cs="Arial" w:eastAsia="Arial" w:hAnsi="Arial"/>
          <w:sz w:val="12"/>
          <w:szCs w:val="12"/>
          <w:color w:val="auto"/>
        </w:rPr>
      </w:pPr>
    </w:p>
    <w:p>
      <w:pPr>
        <w:jc w:val="both"/>
        <w:ind w:left="428" w:hanging="212"/>
        <w:spacing w:after="0" w:line="252" w:lineRule="auto"/>
        <w:tabs>
          <w:tab w:leader="none" w:pos="425" w:val="left"/>
        </w:tabs>
        <w:numPr>
          <w:ilvl w:val="0"/>
          <w:numId w:val="19"/>
        </w:numPr>
        <w:rPr>
          <w:rFonts w:ascii="Arial" w:cs="Arial" w:eastAsia="Arial" w:hAnsi="Arial"/>
          <w:sz w:val="12"/>
          <w:szCs w:val="12"/>
          <w:color w:val="auto"/>
        </w:rPr>
      </w:pPr>
      <w:r>
        <w:rPr>
          <w:rFonts w:ascii="Arial" w:cs="Arial" w:eastAsia="Arial" w:hAnsi="Arial"/>
          <w:sz w:val="12"/>
          <w:szCs w:val="12"/>
          <w:color w:val="auto"/>
        </w:rPr>
        <w:t>Net PAA of $0.4 million, or 4 bps of NIM and 5 bps of Core NIM</w:t>
      </w:r>
      <w:r>
        <w:rPr>
          <w:rFonts w:ascii="Arial" w:cs="Arial" w:eastAsia="Arial" w:hAnsi="Arial"/>
          <w:sz w:val="15"/>
          <w:szCs w:val="15"/>
          <w:color w:val="auto"/>
          <w:vertAlign w:val="superscript"/>
        </w:rPr>
        <w:t>(1)</w:t>
      </w:r>
      <w:r>
        <w:rPr>
          <w:rFonts w:ascii="Arial" w:cs="Arial" w:eastAsia="Arial" w:hAnsi="Arial"/>
          <w:sz w:val="12"/>
          <w:szCs w:val="12"/>
          <w:color w:val="auto"/>
        </w:rPr>
        <w:t>, during 3Q 2026, increased $0.1 million from 2Q 2026 due to $0.2 million from the acceleration of PAA from a loan that paid off during 3Q 2026, partially offset by $0.1 million lower time deposit PAA from the run-off of certain purchase accounting marks associated with acquired IFH deposit portfolio. There was $5.5 million from net PAA during 3Q 2025, which includes $4.6 million, or 59 bps of Core NIM, from the Call of Brokered Time Deposits. Excluding the impact from the Call of Brokered Time Deposits, net PAA decreased $0.5 million mainly driven by lower time deposit PAA.</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Credit Metrics and Asset Quality:</w:t>
      </w:r>
    </w:p>
    <w:p>
      <w:pPr>
        <w:spacing w:after="0" w:line="96" w:lineRule="exact"/>
        <w:rPr>
          <w:sz w:val="20"/>
          <w:szCs w:val="20"/>
          <w:color w:val="auto"/>
        </w:rPr>
      </w:pPr>
    </w:p>
    <w:p>
      <w:pPr>
        <w:jc w:val="both"/>
        <w:ind w:left="8"/>
        <w:spacing w:after="0" w:line="267" w:lineRule="auto"/>
        <w:rPr>
          <w:sz w:val="20"/>
          <w:szCs w:val="20"/>
          <w:color w:val="auto"/>
        </w:rPr>
      </w:pPr>
      <w:r>
        <w:rPr>
          <w:rFonts w:ascii="Arial" w:cs="Arial" w:eastAsia="Arial" w:hAnsi="Arial"/>
          <w:sz w:val="12"/>
          <w:szCs w:val="12"/>
          <w:color w:val="auto"/>
        </w:rPr>
        <w:t>Nonperforming assets were $ 60.5 million, or 1.59% of total assets, at September 30, 2026, a decrease of $ 0.3 million but an increase of 3 bps from June 30, 2026. The decrease of $0.3 million was primarily driven by the acquired IFH portfolio. Nonperforming assets increased $8.3 million or 5 bps year-over-year, mainly due to the $9.7 million increase during 2Q 2026 related to the legacy bank loan relationship noted during 2Q 2026. At September 30, 2026, substandard loans totaled $71.4 million, or 2.3% of total portfolio loans, compared to $70.6 million, or 2.3% of total portfolio loans, at June 30, 2026 and $56.8 million, or 2.0% of total portfolio loans, at September 30, 2025. The $14.6 million year-over-year increase in substandard loans was primarily driven by the $9.7 million legacy bank relationship that is referenced above. At September 30, 2026, special mention loans totaled $67.8 million, or 2.2%, of total portfolio loans, compared to $61.5 million, or 2.0% of total portfolio loans, at June 30, 2026, and $71.5 million, or 2.5% of total portfolio loans, at September 30, 2025.</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Efficiency Ratio:</w:t>
      </w:r>
    </w:p>
    <w:p>
      <w:pPr>
        <w:spacing w:after="0" w:line="104" w:lineRule="exact"/>
        <w:rPr>
          <w:sz w:val="20"/>
          <w:szCs w:val="20"/>
          <w:color w:val="auto"/>
        </w:rPr>
      </w:pPr>
    </w:p>
    <w:p>
      <w:pPr>
        <w:jc w:val="both"/>
        <w:ind w:left="8" w:right="20"/>
        <w:spacing w:after="0" w:line="243" w:lineRule="auto"/>
        <w:rPr>
          <w:sz w:val="20"/>
          <w:szCs w:val="20"/>
          <w:color w:val="auto"/>
        </w:rPr>
      </w:pPr>
      <w:r>
        <w:rPr>
          <w:rFonts w:ascii="Arial" w:cs="Arial" w:eastAsia="Arial" w:hAnsi="Arial"/>
          <w:sz w:val="12"/>
          <w:szCs w:val="12"/>
          <w:color w:val="auto"/>
        </w:rPr>
        <w:t>The efficiency ratio was 67.1% for 3Q 2026, compared to 66.1% for 2Q 2026 and 60.8% for 3Q 2025. The Core efficiency ratio</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was 64.8% for 3Q 2026, which decreased from 66.1% compared to the prior quarter, and increased from 64.4% for 3Q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114300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66" w:lineRule="exact"/>
        <w:rPr>
          <w:sz w:val="20"/>
          <w:szCs w:val="20"/>
          <w:color w:val="auto"/>
        </w:rPr>
      </w:pPr>
    </w:p>
    <w:p>
      <w:pPr>
        <w:ind w:left="8" w:right="120" w:hanging="8"/>
        <w:spacing w:after="0" w:line="227" w:lineRule="auto"/>
        <w:tabs>
          <w:tab w:leader="none" w:pos="85" w:val="left"/>
        </w:tabs>
        <w:numPr>
          <w:ilvl w:val="0"/>
          <w:numId w:val="20"/>
        </w:numPr>
        <w:rPr>
          <w:rFonts w:ascii="Arial" w:cs="Arial" w:eastAsia="Arial" w:hAnsi="Arial"/>
          <w:sz w:val="9"/>
          <w:szCs w:val="9"/>
          <w:color w:val="auto"/>
          <w:vertAlign w:val="superscript"/>
        </w:rPr>
      </w:pPr>
      <w:r>
        <w:rPr>
          <w:rFonts w:ascii="Arial" w:cs="Arial" w:eastAsia="Arial" w:hAnsi="Arial"/>
          <w:sz w:val="7"/>
          <w:szCs w:val="7"/>
          <w:color w:val="auto"/>
        </w:rPr>
        <w:t>As used in this press release, Core NIM, Core Loan Yield, and Core efficiency ratio are non-GAAP financial measures. These non-GAAP financial metrics exclude the impact of merger-related expenses and certain other pre-tax adjustments which are not indicative of operating performance and the tax impacts of such adjustments. Reconciliations of these and other non–GAAP measures to their comparable GAAP measures are set forth in the Appendix at the end of this press release.</w:t>
      </w:r>
    </w:p>
    <w:p>
      <w:pPr>
        <w:spacing w:after="0" w:line="28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8"/>
          </w:cols>
          <w:pgMar w:left="292" w:top="559" w:right="299" w:bottom="1440" w:gutter="0" w:footer="0" w:header="0"/>
        </w:sectPr>
      </w:pPr>
    </w:p>
    <w:bookmarkStart w:id="10" w:name="page11"/>
    <w:bookmarkEnd w:id="10"/>
    <w:p>
      <w:pPr>
        <w:ind w:left="8"/>
        <w:spacing w:after="0"/>
        <w:rPr>
          <w:sz w:val="20"/>
          <w:szCs w:val="20"/>
          <w:color w:val="auto"/>
        </w:rPr>
      </w:pPr>
      <w:r>
        <w:rPr>
          <w:rFonts w:ascii="Arial" w:cs="Arial" w:eastAsia="Arial" w:hAnsi="Arial"/>
          <w:sz w:val="12"/>
          <w:szCs w:val="12"/>
          <w:b w:val="1"/>
          <w:bCs w:val="1"/>
          <w:u w:val="single" w:color="auto"/>
          <w:color w:val="auto"/>
        </w:rPr>
        <w:t>Financial Metrics (continued)</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Returns:</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color w:val="auto"/>
        </w:rPr>
        <w:t>ROA was 1.38% for 3Q 2026, compared to 1.52% for 2Q 2026, and 1.77% for 3Q 2025. Core ROA</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for 3Q 2026 was 1.55%, compared to 1.52% for 2Q 2026, and 1.43% for 3Q 2025.</w:t>
      </w:r>
    </w:p>
    <w:p>
      <w:pPr>
        <w:spacing w:after="0" w:line="62" w:lineRule="exact"/>
        <w:rPr>
          <w:sz w:val="20"/>
          <w:szCs w:val="20"/>
          <w:color w:val="auto"/>
        </w:rPr>
      </w:pPr>
    </w:p>
    <w:p>
      <w:pPr>
        <w:ind w:left="428" w:hanging="212"/>
        <w:spacing w:after="0"/>
        <w:tabs>
          <w:tab w:leader="none" w:pos="428" w:val="left"/>
        </w:tabs>
        <w:numPr>
          <w:ilvl w:val="0"/>
          <w:numId w:val="21"/>
        </w:numPr>
        <w:rPr>
          <w:rFonts w:ascii="Arial" w:cs="Arial" w:eastAsia="Arial" w:hAnsi="Arial"/>
          <w:sz w:val="12"/>
          <w:szCs w:val="12"/>
          <w:color w:val="auto"/>
        </w:rPr>
      </w:pPr>
      <w:r>
        <w:rPr>
          <w:rFonts w:ascii="Arial" w:cs="Arial" w:eastAsia="Arial" w:hAnsi="Arial"/>
          <w:sz w:val="12"/>
          <w:szCs w:val="12"/>
          <w:color w:val="auto"/>
        </w:rPr>
        <w:t>ROE was 12.16% for 3Q 2026, compared to 13.80% for 2Q 2026, and 15.57% for 3Q 2025. Core ROE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was 13.63% for 3Q 2026, compared to 13.80% for 2Q 2026, and 12.56% for 3Q 2025.</w:t>
      </w:r>
    </w:p>
    <w:p>
      <w:pPr>
        <w:spacing w:after="0" w:line="69" w:lineRule="exact"/>
        <w:rPr>
          <w:rFonts w:ascii="Arial" w:cs="Arial" w:eastAsia="Arial" w:hAnsi="Arial"/>
          <w:sz w:val="12"/>
          <w:szCs w:val="12"/>
          <w:color w:val="auto"/>
        </w:rPr>
      </w:pPr>
    </w:p>
    <w:p>
      <w:pPr>
        <w:ind w:left="428" w:hanging="212"/>
        <w:spacing w:after="0"/>
        <w:tabs>
          <w:tab w:leader="none" w:pos="428" w:val="left"/>
        </w:tabs>
        <w:numPr>
          <w:ilvl w:val="0"/>
          <w:numId w:val="21"/>
        </w:numPr>
        <w:rPr>
          <w:rFonts w:ascii="Arial" w:cs="Arial" w:eastAsia="Arial" w:hAnsi="Arial"/>
          <w:sz w:val="12"/>
          <w:szCs w:val="12"/>
          <w:b w:val="1"/>
          <w:bCs w:val="1"/>
          <w:color w:val="auto"/>
        </w:rPr>
      </w:pPr>
      <w:r>
        <w:rPr>
          <w:rFonts w:ascii="Arial" w:cs="Arial" w:eastAsia="Arial" w:hAnsi="Arial"/>
          <w:sz w:val="12"/>
          <w:szCs w:val="12"/>
          <w:color w:val="auto"/>
        </w:rPr>
        <w:t>ROTCE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was 13.62% for 3Q 2026, compared to 15.51% for 2Q 2026, and 17.49% for 3Q 2025. Core ROTCE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for 3Q 2026 was 15.24%, compared to 15.51% for 2Q 2026, and 14.15% for 3Q 2025.</w:t>
      </w:r>
    </w:p>
    <w:p>
      <w:pPr>
        <w:spacing w:after="0" w:line="7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Book Value:</w:t>
      </w:r>
    </w:p>
    <w:p>
      <w:pPr>
        <w:spacing w:after="0" w:line="96" w:lineRule="exact"/>
        <w:rPr>
          <w:sz w:val="20"/>
          <w:szCs w:val="20"/>
          <w:color w:val="auto"/>
        </w:rPr>
      </w:pPr>
    </w:p>
    <w:p>
      <w:pPr>
        <w:ind w:left="8"/>
        <w:spacing w:after="0" w:line="257" w:lineRule="auto"/>
        <w:rPr>
          <w:sz w:val="20"/>
          <w:szCs w:val="20"/>
          <w:color w:val="auto"/>
        </w:rPr>
      </w:pPr>
      <w:r>
        <w:rPr>
          <w:rFonts w:ascii="Arial" w:cs="Arial" w:eastAsia="Arial" w:hAnsi="Arial"/>
          <w:sz w:val="12"/>
          <w:szCs w:val="12"/>
          <w:color w:val="auto"/>
        </w:rPr>
        <w:t>Book value per common share of $26.42 at September 30, 2026, increased $0.50 when compared to June 30, 2026, and increased $2.62 when compared to September 30, 2025. Tangible book value per share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increased $0.53, or 2.3% (not annualized), to $23.98 at September 30, 2026 when compared to June 30, 2026, and increased $2.65, or 12.4%, when compared to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114300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399" w:lineRule="exact"/>
        <w:rPr>
          <w:sz w:val="20"/>
          <w:szCs w:val="20"/>
          <w:color w:val="auto"/>
        </w:rPr>
      </w:pPr>
    </w:p>
    <w:p>
      <w:pPr>
        <w:ind w:left="8" w:right="80" w:hanging="8"/>
        <w:spacing w:after="0" w:line="227" w:lineRule="auto"/>
        <w:tabs>
          <w:tab w:leader="none" w:pos="85" w:val="left"/>
        </w:tabs>
        <w:numPr>
          <w:ilvl w:val="0"/>
          <w:numId w:val="22"/>
        </w:numPr>
        <w:rPr>
          <w:rFonts w:ascii="Arial" w:cs="Arial" w:eastAsia="Arial" w:hAnsi="Arial"/>
          <w:sz w:val="9"/>
          <w:szCs w:val="9"/>
          <w:color w:val="auto"/>
          <w:vertAlign w:val="superscript"/>
        </w:rPr>
      </w:pPr>
      <w:r>
        <w:rPr>
          <w:rFonts w:ascii="Arial" w:cs="Arial" w:eastAsia="Arial" w:hAnsi="Arial"/>
          <w:sz w:val="7"/>
          <w:szCs w:val="7"/>
          <w:color w:val="auto"/>
        </w:rPr>
        <w:t>As used in this press release, Core ROA, Core ROE, ROTCE, Core ROTCE, and Tangible Book Value are non-GAAP financial measures. These non-GAAP financial metrics exclude the impact of merger-related expenses and certain other pre-tax adjustments which are not indicative of operating performance and the tax impacts of such adjustments. Reconciliations of these and other non–GAAP measures to their comparable GAAP measures are set forth in the Appendix at the end of this press release.</w:t>
      </w:r>
    </w:p>
    <w:p>
      <w:pPr>
        <w:spacing w:after="0" w:line="28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8"/>
          </w:cols>
          <w:pgMar w:left="292" w:top="811" w:right="299" w:bottom="1440" w:gutter="0" w:footer="0" w:header="0"/>
        </w:sectPr>
      </w:pPr>
    </w:p>
    <w:bookmarkStart w:id="11" w:name="page12"/>
    <w:bookmarkEnd w:id="11"/>
    <w:p>
      <w:pPr>
        <w:ind w:left="8"/>
        <w:spacing w:after="0"/>
        <w:rPr>
          <w:sz w:val="20"/>
          <w:szCs w:val="20"/>
          <w:color w:val="auto"/>
        </w:rPr>
      </w:pPr>
      <w:r>
        <w:rPr>
          <w:rFonts w:ascii="Arial" w:cs="Arial" w:eastAsia="Arial" w:hAnsi="Arial"/>
          <w:sz w:val="12"/>
          <w:szCs w:val="12"/>
          <w:b w:val="1"/>
          <w:bCs w:val="1"/>
          <w:u w:val="single" w:color="auto"/>
          <w:color w:val="auto"/>
        </w:rPr>
        <w:t>Reportable Segments</w:t>
      </w:r>
    </w:p>
    <w:p>
      <w:pPr>
        <w:spacing w:after="0" w:line="87"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Commercial Bank</w:t>
      </w:r>
    </w:p>
    <w:p>
      <w:pPr>
        <w:spacing w:after="0" w:line="95" w:lineRule="exact"/>
        <w:rPr>
          <w:sz w:val="20"/>
          <w:szCs w:val="20"/>
          <w:color w:val="auto"/>
        </w:rPr>
      </w:pPr>
    </w:p>
    <w:p>
      <w:pPr>
        <w:jc w:val="both"/>
        <w:ind w:left="8"/>
        <w:spacing w:after="0" w:line="262" w:lineRule="auto"/>
        <w:rPr>
          <w:sz w:val="20"/>
          <w:szCs w:val="20"/>
          <w:color w:val="auto"/>
        </w:rPr>
      </w:pPr>
      <w:r>
        <w:rPr>
          <w:rFonts w:ascii="Arial" w:cs="Arial" w:eastAsia="Arial" w:hAnsi="Arial"/>
          <w:sz w:val="12"/>
          <w:szCs w:val="12"/>
          <w:b w:val="1"/>
          <w:bCs w:val="1"/>
          <w:color w:val="auto"/>
        </w:rPr>
        <w:t xml:space="preserve">Loan Growth – </w:t>
      </w:r>
      <w:r>
        <w:rPr>
          <w:rFonts w:ascii="Arial" w:cs="Arial" w:eastAsia="Arial" w:hAnsi="Arial"/>
          <w:sz w:val="12"/>
          <w:szCs w:val="12"/>
          <w:color w:val="auto"/>
        </w:rPr>
        <w:t>Portfolio loans</w:t>
      </w:r>
      <w:r>
        <w:rPr>
          <w:rFonts w:ascii="Arial" w:cs="Arial" w:eastAsia="Arial" w:hAnsi="Arial"/>
          <w:sz w:val="15"/>
          <w:szCs w:val="15"/>
          <w:color w:val="auto"/>
          <w:vertAlign w:val="superscript"/>
        </w:rPr>
        <w:t>(1)</w:t>
      </w:r>
      <w:r>
        <w:rPr>
          <w:rFonts w:ascii="Arial" w:cs="Arial" w:eastAsia="Arial" w:hAnsi="Arial"/>
          <w:sz w:val="12"/>
          <w:szCs w:val="12"/>
          <w:b w:val="1"/>
          <w:bCs w:val="1"/>
          <w:color w:val="auto"/>
        </w:rPr>
        <w:t xml:space="preserve"> </w:t>
      </w:r>
      <w:r>
        <w:rPr>
          <w:rFonts w:ascii="Arial" w:cs="Arial" w:eastAsia="Arial" w:hAnsi="Arial"/>
          <w:sz w:val="12"/>
          <w:szCs w:val="12"/>
          <w:color w:val="auto"/>
        </w:rPr>
        <w:t>increased $24.8 million at September 30, 2026 compared to June 30, 2026, primarily driven by increases of $42.7 million from C&amp;I, $10.0 million from construction real estate, and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$5.6 million from lender finance, offset by decreases of $21.1 million from CRE and $13.5 million from residential real estate. Excluding the impact of $60.2 million of loans reclassified to held for sale, gross loans held for investment increased $88.5 million, or 11.4% (annualized) from June 30, 2026. Portfolio loans increased $276.5 million at September 30, 2026 compared to September 30, 2025, driven by $155.1 million from C&amp;I, $44.2 million from residential real estate, $36.4 million from construction real estate, and $12.1 million from CRE. Historical gross portfolio loan balances are disclosed in the </w:t>
      </w:r>
      <w:r>
        <w:rPr>
          <w:rFonts w:ascii="Arial" w:cs="Arial" w:eastAsia="Arial" w:hAnsi="Arial"/>
          <w:sz w:val="12"/>
          <w:szCs w:val="12"/>
          <w:i w:val="1"/>
          <w:iCs w:val="1"/>
          <w:color w:val="auto"/>
        </w:rPr>
        <w:t>Composition of Loans</w:t>
      </w:r>
      <w:r>
        <w:rPr>
          <w:rFonts w:ascii="Arial" w:cs="Arial" w:eastAsia="Arial" w:hAnsi="Arial"/>
          <w:sz w:val="12"/>
          <w:szCs w:val="12"/>
          <w:color w:val="auto"/>
        </w:rPr>
        <w:t xml:space="preserve"> table within the </w:t>
      </w:r>
      <w:r>
        <w:rPr>
          <w:rFonts w:ascii="Arial" w:cs="Arial" w:eastAsia="Arial" w:hAnsi="Arial"/>
          <w:sz w:val="12"/>
          <w:szCs w:val="12"/>
          <w:i w:val="1"/>
          <w:iCs w:val="1"/>
          <w:color w:val="auto"/>
        </w:rPr>
        <w:t>Historical Financial Highlights.</w:t>
      </w:r>
    </w:p>
    <w:p>
      <w:pPr>
        <w:spacing w:after="0" w:line="56" w:lineRule="exact"/>
        <w:rPr>
          <w:sz w:val="20"/>
          <w:szCs w:val="20"/>
          <w:color w:val="auto"/>
        </w:rPr>
      </w:pPr>
    </w:p>
    <w:p>
      <w:pPr>
        <w:jc w:val="both"/>
        <w:ind w:left="8"/>
        <w:spacing w:after="0" w:line="317" w:lineRule="auto"/>
        <w:rPr>
          <w:sz w:val="20"/>
          <w:szCs w:val="20"/>
          <w:color w:val="auto"/>
        </w:rPr>
      </w:pPr>
      <w:r>
        <w:rPr>
          <w:rFonts w:ascii="Arial" w:cs="Arial" w:eastAsia="Arial" w:hAnsi="Arial"/>
          <w:sz w:val="12"/>
          <w:szCs w:val="12"/>
          <w:b w:val="1"/>
          <w:bCs w:val="1"/>
          <w:color w:val="auto"/>
        </w:rPr>
        <w:t xml:space="preserve">Net Interest Income – </w:t>
      </w:r>
      <w:r>
        <w:rPr>
          <w:rFonts w:ascii="Arial" w:cs="Arial" w:eastAsia="Arial" w:hAnsi="Arial"/>
          <w:sz w:val="12"/>
          <w:szCs w:val="12"/>
          <w:color w:val="auto"/>
        </w:rPr>
        <w:t>Interest income of $55.6 million increased $1.9 million from the prior quarter, driven by $2.4 million from loan growth, slightly offset by a $0.5 million decrease from interest bearing cash</w:t>
      </w:r>
      <w:r>
        <w:rPr>
          <w:rFonts w:ascii="Arial" w:cs="Arial" w:eastAsia="Arial" w:hAnsi="Arial"/>
          <w:sz w:val="12"/>
          <w:szCs w:val="12"/>
          <w:b w:val="1"/>
          <w:bCs w:val="1"/>
          <w:color w:val="auto"/>
        </w:rPr>
        <w:t xml:space="preserve"> </w:t>
      </w:r>
      <w:r>
        <w:rPr>
          <w:rFonts w:ascii="Arial" w:cs="Arial" w:eastAsia="Arial" w:hAnsi="Arial"/>
          <w:sz w:val="12"/>
          <w:szCs w:val="12"/>
          <w:color w:val="auto"/>
        </w:rPr>
        <w:t>income. Interest expense of $19.1 million increased $0.2 million, driven by growth and a mix shift in the deposit portfolio.</w:t>
      </w:r>
    </w:p>
    <w:p>
      <w:pPr>
        <w:spacing w:after="0" w:line="22" w:lineRule="exact"/>
        <w:rPr>
          <w:sz w:val="20"/>
          <w:szCs w:val="20"/>
          <w:color w:val="auto"/>
        </w:rPr>
      </w:pPr>
    </w:p>
    <w:p>
      <w:pPr>
        <w:jc w:val="both"/>
        <w:ind w:left="8"/>
        <w:spacing w:after="0" w:line="301" w:lineRule="auto"/>
        <w:rPr>
          <w:sz w:val="20"/>
          <w:szCs w:val="20"/>
          <w:color w:val="auto"/>
        </w:rPr>
      </w:pPr>
      <w:r>
        <w:rPr>
          <w:rFonts w:ascii="Arial" w:cs="Arial" w:eastAsia="Arial" w:hAnsi="Arial"/>
          <w:sz w:val="12"/>
          <w:szCs w:val="12"/>
          <w:b w:val="1"/>
          <w:bCs w:val="1"/>
          <w:color w:val="auto"/>
        </w:rPr>
        <w:t xml:space="preserve">Credit Metrics – </w:t>
      </w:r>
      <w:r>
        <w:rPr>
          <w:rFonts w:ascii="Arial" w:cs="Arial" w:eastAsia="Arial" w:hAnsi="Arial"/>
          <w:sz w:val="12"/>
          <w:szCs w:val="12"/>
          <w:color w:val="auto"/>
        </w:rPr>
        <w:t>Nonperforming assets increased 3 bps to 1.68% of total assets at September 30, 2026, compared to June 30, 2026. Total nonaccrual loans at September 30, 2026, were $56.7 million, a decrease</w:t>
      </w:r>
      <w:r>
        <w:rPr>
          <w:rFonts w:ascii="Arial" w:cs="Arial" w:eastAsia="Arial" w:hAnsi="Arial"/>
          <w:sz w:val="12"/>
          <w:szCs w:val="12"/>
          <w:b w:val="1"/>
          <w:bCs w:val="1"/>
          <w:color w:val="auto"/>
        </w:rPr>
        <w:t xml:space="preserve"> </w:t>
      </w:r>
      <w:r>
        <w:rPr>
          <w:rFonts w:ascii="Arial" w:cs="Arial" w:eastAsia="Arial" w:hAnsi="Arial"/>
          <w:sz w:val="12"/>
          <w:szCs w:val="12"/>
          <w:color w:val="auto"/>
        </w:rPr>
        <w:t>of $0.3 million or 0.6% compared to $57.0 million at June 30, 2026.</w:t>
      </w:r>
    </w:p>
    <w:p>
      <w:pPr>
        <w:spacing w:after="0" w:line="4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Classified and Criticized Loans – </w:t>
      </w:r>
      <w:r>
        <w:rPr>
          <w:rFonts w:ascii="Arial" w:cs="Arial" w:eastAsia="Arial" w:hAnsi="Arial"/>
          <w:sz w:val="12"/>
          <w:szCs w:val="12"/>
          <w:color w:val="auto"/>
        </w:rPr>
        <w:t>At September 30, 2026, special mention loans totaled $67.8 million</w:t>
      </w:r>
      <w:r>
        <w:rPr>
          <w:rFonts w:ascii="Times New Roman" w:cs="Times New Roman" w:eastAsia="Times New Roman" w:hAnsi="Times New Roman"/>
          <w:sz w:val="12"/>
          <w:szCs w:val="12"/>
          <w:color w:val="auto"/>
        </w:rPr>
        <w:t>, or</w:t>
      </w:r>
      <w:r>
        <w:rPr>
          <w:rFonts w:ascii="Arial" w:cs="Arial" w:eastAsia="Arial" w:hAnsi="Arial"/>
          <w:sz w:val="12"/>
          <w:szCs w:val="12"/>
          <w:b w:val="1"/>
          <w:bCs w:val="1"/>
          <w:color w:val="auto"/>
        </w:rPr>
        <w:t xml:space="preserve"> </w:t>
      </w:r>
      <w:r>
        <w:rPr>
          <w:rFonts w:ascii="Arial" w:cs="Arial" w:eastAsia="Arial" w:hAnsi="Arial"/>
          <w:sz w:val="12"/>
          <w:szCs w:val="12"/>
          <w:color w:val="auto"/>
        </w:rPr>
        <w:t>2.2% of total portfolio loans, compared to $61.5 million, or 2.0% of total portfolio loans, at June 30, 2026.</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At September 30, 2026, substandard loans totaled $71.4 million, or 2.3% of total portfolio loans, compared to $70.6 million, or 2.3% of total portfolio loans, at June 30, 2026.</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OpenSky</w:t>
      </w:r>
      <w:r>
        <w:rPr>
          <w:rFonts w:ascii="Arial" w:cs="Arial" w:eastAsia="Arial" w:hAnsi="Arial"/>
          <w:sz w:val="15"/>
          <w:szCs w:val="15"/>
          <w:color w:val="auto"/>
          <w:vertAlign w:val="superscript"/>
        </w:rPr>
        <w:t>™</w:t>
      </w:r>
    </w:p>
    <w:p>
      <w:pPr>
        <w:spacing w:after="0" w:line="61" w:lineRule="exact"/>
        <w:rPr>
          <w:sz w:val="20"/>
          <w:szCs w:val="20"/>
          <w:color w:val="auto"/>
        </w:rPr>
      </w:pPr>
    </w:p>
    <w:p>
      <w:pPr>
        <w:ind w:left="8"/>
        <w:spacing w:after="0"/>
        <w:rPr>
          <w:sz w:val="20"/>
          <w:szCs w:val="20"/>
          <w:color w:val="auto"/>
        </w:rPr>
      </w:pPr>
      <w:r>
        <w:rPr>
          <w:rFonts w:ascii="Arial" w:cs="Arial" w:eastAsia="Arial" w:hAnsi="Arial"/>
          <w:sz w:val="12"/>
          <w:szCs w:val="12"/>
          <w:color w:val="auto"/>
        </w:rPr>
        <w:t>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results reflected continued loan balance growth, lower operating expenses and credit performance consistent with management expectations.</w:t>
      </w:r>
    </w:p>
    <w:p>
      <w:pPr>
        <w:spacing w:after="0" w:line="5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Accounts – </w:t>
      </w:r>
      <w:r>
        <w:rPr>
          <w:rFonts w:ascii="Arial" w:cs="Arial" w:eastAsia="Arial" w:hAnsi="Arial"/>
          <w:sz w:val="12"/>
          <w:szCs w:val="12"/>
          <w:color w:val="auto"/>
        </w:rPr>
        <w:t>During 3Q 2026, credit card accounts declined to 575.8 thousand, decreasing 12.8 thousand, or 2.2% (not annualized) from June 30, 2026, and decreasing 11.8 thousand, or 2.0% year-over-year.</w:t>
      </w:r>
    </w:p>
    <w:p>
      <w:pPr>
        <w:spacing w:after="0" w:line="87" w:lineRule="exact"/>
        <w:rPr>
          <w:sz w:val="20"/>
          <w:szCs w:val="20"/>
          <w:color w:val="auto"/>
        </w:rPr>
      </w:pPr>
    </w:p>
    <w:p>
      <w:pPr>
        <w:jc w:val="both"/>
        <w:ind w:left="8"/>
        <w:spacing w:after="0" w:line="282" w:lineRule="auto"/>
        <w:rPr>
          <w:sz w:val="20"/>
          <w:szCs w:val="20"/>
          <w:color w:val="auto"/>
        </w:rPr>
      </w:pPr>
      <w:r>
        <w:rPr>
          <w:rFonts w:ascii="Arial" w:cs="Arial" w:eastAsia="Arial" w:hAnsi="Arial"/>
          <w:sz w:val="12"/>
          <w:szCs w:val="12"/>
          <w:b w:val="1"/>
          <w:bCs w:val="1"/>
          <w:color w:val="auto"/>
        </w:rPr>
        <w:t xml:space="preserve">Loan and Deposit Balances – </w:t>
      </w:r>
      <w:r>
        <w:rPr>
          <w:rFonts w:ascii="Arial" w:cs="Arial" w:eastAsia="Arial" w:hAnsi="Arial"/>
          <w:sz w:val="12"/>
          <w:szCs w:val="12"/>
          <w:color w:val="auto"/>
        </w:rPr>
        <w:t>Secured and unsecured loan balances, net of reserves for interest and fees, of $149.2 million at September 30, 2026 increased by $3.9 million, or 2.7% (not annualized), compared</w:t>
      </w:r>
      <w:r>
        <w:rPr>
          <w:rFonts w:ascii="Arial" w:cs="Arial" w:eastAsia="Arial" w:hAnsi="Arial"/>
          <w:sz w:val="12"/>
          <w:szCs w:val="12"/>
          <w:b w:val="1"/>
          <w:bCs w:val="1"/>
          <w:color w:val="auto"/>
        </w:rPr>
        <w:t xml:space="preserve"> </w:t>
      </w:r>
      <w:r>
        <w:rPr>
          <w:rFonts w:ascii="Arial" w:cs="Arial" w:eastAsia="Arial" w:hAnsi="Arial"/>
          <w:sz w:val="12"/>
          <w:szCs w:val="12"/>
          <w:color w:val="auto"/>
        </w:rPr>
        <w:t>to June 30, 2026, and increased $12.7 million, or 9.3%, year-over-year. Deposit balances of $162.4 million at September 30, 2026, decreased $3.8 million compared to June 30, 2026 and decreased $4.5 million, or 2.7% year-over-year. Gross unsecured loan balances of $57.6 million at September 30, 2026, increased $6.4 million, or 12.4% (not annualized), compared to $51.2 million at June 30, 2026, and increased $18.0 million, or 45.5% (not annualized), year-over-year. Gross secured loan balances of $93.7 million at September 30, 2026, decreased $2.4 million, or 2.5% (not annualized), compared to $96.0 million at June 30, 2026, and decreased $5.1 million, or 5.2% (not annualized) year-over-year.</w:t>
      </w:r>
    </w:p>
    <w:p>
      <w:pPr>
        <w:spacing w:after="0" w:line="43" w:lineRule="exact"/>
        <w:rPr>
          <w:sz w:val="20"/>
          <w:szCs w:val="20"/>
          <w:color w:val="auto"/>
        </w:rPr>
      </w:pPr>
    </w:p>
    <w:p>
      <w:pPr>
        <w:jc w:val="both"/>
        <w:ind w:left="8"/>
        <w:spacing w:after="0" w:line="243" w:lineRule="auto"/>
        <w:rPr>
          <w:sz w:val="20"/>
          <w:szCs w:val="20"/>
          <w:color w:val="auto"/>
        </w:rPr>
      </w:pPr>
      <w:r>
        <w:rPr>
          <w:rFonts w:ascii="Arial" w:cs="Arial" w:eastAsia="Arial" w:hAnsi="Arial"/>
          <w:sz w:val="12"/>
          <w:szCs w:val="12"/>
          <w:b w:val="1"/>
          <w:bCs w:val="1"/>
          <w:color w:val="auto"/>
        </w:rPr>
        <w:t xml:space="preserve">Net Interest Income – </w:t>
      </w:r>
      <w:r>
        <w:rPr>
          <w:rFonts w:ascii="Arial" w:cs="Arial" w:eastAsia="Arial" w:hAnsi="Arial"/>
          <w:sz w:val="12"/>
          <w:szCs w:val="12"/>
          <w:color w:val="auto"/>
        </w:rPr>
        <w:t>Interest income of $16.5 million increased $0.5 million compared to 2Q 2026, supported by higher average OpenSky</w:t>
      </w:r>
      <w:r>
        <w:rPr>
          <w:rFonts w:ascii="Arial" w:cs="Arial" w:eastAsia="Arial" w:hAnsi="Arial"/>
          <w:sz w:val="15"/>
          <w:szCs w:val="15"/>
          <w:color w:val="auto"/>
          <w:vertAlign w:val="superscript"/>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credit card loan balances. Average OpenSky</w:t>
      </w:r>
      <w:r>
        <w:rPr>
          <w:rFonts w:ascii="Arial" w:cs="Arial" w:eastAsia="Arial" w:hAnsi="Arial"/>
          <w:sz w:val="15"/>
          <w:szCs w:val="15"/>
          <w:color w:val="auto"/>
          <w:vertAlign w:val="superscript"/>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credit card loan</w:t>
      </w:r>
      <w:r>
        <w:rPr>
          <w:rFonts w:ascii="Arial" w:cs="Arial" w:eastAsia="Arial" w:hAnsi="Arial"/>
          <w:sz w:val="12"/>
          <w:szCs w:val="12"/>
          <w:b w:val="1"/>
          <w:bCs w:val="1"/>
          <w:color w:val="auto"/>
        </w:rPr>
        <w:t xml:space="preserve"> </w:t>
      </w:r>
      <w:r>
        <w:rPr>
          <w:rFonts w:ascii="Arial" w:cs="Arial" w:eastAsia="Arial" w:hAnsi="Arial"/>
          <w:sz w:val="12"/>
          <w:szCs w:val="12"/>
          <w:color w:val="auto"/>
        </w:rPr>
        <w:t>balances, net of reserves and deferred fees of $143.9 million for 3Q 2026, increased $6.8 million, or 5.0% (not annualized), compared to 2Q 2026.</w:t>
      </w:r>
    </w:p>
    <w:p>
      <w:pPr>
        <w:spacing w:after="0" w:line="7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Fee Revenue – </w:t>
      </w:r>
      <w:r>
        <w:rPr>
          <w:rFonts w:ascii="Arial" w:cs="Arial" w:eastAsia="Arial" w:hAnsi="Arial"/>
          <w:sz w:val="12"/>
          <w:szCs w:val="12"/>
          <w:color w:val="auto"/>
        </w:rPr>
        <w:t>Total fee revenue of $4.6 million increased $0.1 million from the prior quarter primarily driven by continued growth in net interest income as loan balances increased.</w:t>
      </w:r>
    </w:p>
    <w:p>
      <w:pPr>
        <w:spacing w:after="0" w:line="8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Noninterest Expense – </w:t>
      </w:r>
      <w:r>
        <w:rPr>
          <w:rFonts w:ascii="Arial" w:cs="Arial" w:eastAsia="Arial" w:hAnsi="Arial"/>
          <w:sz w:val="12"/>
          <w:szCs w:val="12"/>
          <w:color w:val="auto"/>
        </w:rPr>
        <w:t>Total noninterest expense of $15.7 million increased $0.3 million compared to 2Q 2026, driven by increased spending on professional services.</w:t>
      </w:r>
    </w:p>
    <w:p>
      <w:pPr>
        <w:spacing w:after="0" w:line="87"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b w:val="1"/>
          <w:bCs w:val="1"/>
          <w:color w:val="auto"/>
        </w:rPr>
        <w:t>OpenSky</w:t>
      </w:r>
      <w:r>
        <w:rPr>
          <w:rFonts w:ascii="Arial" w:cs="Arial" w:eastAsia="Arial" w:hAnsi="Arial"/>
          <w:sz w:val="15"/>
          <w:szCs w:val="15"/>
          <w:b w:val="1"/>
          <w:bCs w:val="1"/>
          <w:color w:val="auto"/>
          <w:vertAlign w:val="superscript"/>
        </w:rPr>
        <w:t>™</w:t>
      </w:r>
      <w:r>
        <w:rPr>
          <w:rFonts w:ascii="Arial" w:cs="Arial" w:eastAsia="Arial" w:hAnsi="Arial"/>
          <w:sz w:val="12"/>
          <w:szCs w:val="12"/>
          <w:b w:val="1"/>
          <w:bCs w:val="1"/>
          <w:color w:val="auto"/>
        </w:rPr>
        <w:t xml:space="preserve"> Credit – </w:t>
      </w:r>
      <w:r>
        <w:rPr>
          <w:rFonts w:ascii="Arial" w:cs="Arial" w:eastAsia="Arial" w:hAnsi="Arial"/>
          <w:sz w:val="12"/>
          <w:szCs w:val="12"/>
          <w:color w:val="auto"/>
        </w:rPr>
        <w:t>Portfolio credit metrics continued to be generally consistent with modeled expectations during 3Q 2026. The provision for credit losses of $4.1 million increased $0.1 million when compared to</w:t>
      </w:r>
      <w:r>
        <w:rPr>
          <w:rFonts w:ascii="Arial" w:cs="Arial" w:eastAsia="Arial" w:hAnsi="Arial"/>
          <w:sz w:val="12"/>
          <w:szCs w:val="12"/>
          <w:b w:val="1"/>
          <w:bCs w:val="1"/>
          <w:color w:val="auto"/>
        </w:rPr>
        <w:t xml:space="preserve"> </w:t>
      </w:r>
      <w:r>
        <w:rPr>
          <w:rFonts w:ascii="Arial" w:cs="Arial" w:eastAsia="Arial" w:hAnsi="Arial"/>
          <w:sz w:val="12"/>
          <w:szCs w:val="12"/>
          <w:color w:val="auto"/>
        </w:rPr>
        <w:t>the prior quarter. Net charge-offs increased $0.3 million to $3.2 million in 3Q 2026 from $2.9 million in 2Q 2026. The $0.3 million increase in charge-offs was primarily driven by the secured product and is consistent with normal seasonality and expectations for the card business. On a year-over-year basis, net charge-offs for the secured product increased only $0.1 million, while net charge-offs for the unsecured product increased $1.0 million, driven by growth in the unsecured portfolio. The majority of OpenSky's</w:t>
      </w:r>
      <w:r>
        <w:rPr>
          <w:rFonts w:ascii="Arial" w:cs="Arial" w:eastAsia="Arial" w:hAnsi="Arial"/>
          <w:sz w:val="15"/>
          <w:szCs w:val="15"/>
          <w:color w:val="auto"/>
          <w:vertAlign w:val="superscript"/>
        </w:rPr>
        <w:t>™</w:t>
      </w:r>
      <w:r>
        <w:rPr>
          <w:rFonts w:ascii="Arial" w:cs="Arial" w:eastAsia="Arial" w:hAnsi="Arial"/>
          <w:sz w:val="12"/>
          <w:szCs w:val="12"/>
          <w:color w:val="auto"/>
        </w:rPr>
        <w:t xml:space="preserve"> unsecured loan product is offered to current and former secured card customers, where the Company has historical customer performance data. Unsecured loans have been offered by 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since the fourth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114300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101" w:lineRule="exact"/>
        <w:rPr>
          <w:sz w:val="20"/>
          <w:szCs w:val="20"/>
          <w:color w:val="auto"/>
        </w:rPr>
      </w:pPr>
    </w:p>
    <w:p>
      <w:pPr>
        <w:ind w:left="68" w:hanging="68"/>
        <w:spacing w:after="0"/>
        <w:tabs>
          <w:tab w:leader="none" w:pos="68" w:val="left"/>
        </w:tabs>
        <w:numPr>
          <w:ilvl w:val="0"/>
          <w:numId w:val="23"/>
        </w:numPr>
        <w:rPr>
          <w:rFonts w:ascii="Arial" w:cs="Arial" w:eastAsia="Arial" w:hAnsi="Arial"/>
          <w:sz w:val="8"/>
          <w:szCs w:val="8"/>
          <w:color w:val="auto"/>
          <w:vertAlign w:val="superscript"/>
        </w:rPr>
      </w:pPr>
      <w:r>
        <w:rPr>
          <w:rFonts w:ascii="Arial" w:cs="Arial" w:eastAsia="Arial" w:hAnsi="Arial"/>
          <w:sz w:val="6"/>
          <w:szCs w:val="6"/>
          <w:color w:val="auto"/>
        </w:rPr>
        <w:t>Portfolio loans represents portfolio loans receivable excluding deferred origination fees, net.</w:t>
      </w:r>
    </w:p>
    <w:p>
      <w:pPr>
        <w:spacing w:after="0" w:line="28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8"/>
          </w:cols>
          <w:pgMar w:left="292" w:top="568" w:right="299" w:bottom="1440" w:gutter="0" w:footer="0" w:header="0"/>
        </w:sectPr>
      </w:pPr>
    </w:p>
    <w:bookmarkStart w:id="12" w:name="page13"/>
    <w:bookmarkEnd w:id="12"/>
    <w:p>
      <w:pPr>
        <w:jc w:val="both"/>
        <w:spacing w:after="0" w:line="243" w:lineRule="auto"/>
        <w:rPr>
          <w:sz w:val="20"/>
          <w:szCs w:val="20"/>
          <w:color w:val="auto"/>
        </w:rPr>
      </w:pPr>
      <w:r>
        <w:rPr>
          <w:rFonts w:ascii="Arial" w:cs="Arial" w:eastAsia="Arial" w:hAnsi="Arial"/>
          <w:sz w:val="12"/>
          <w:szCs w:val="12"/>
          <w:color w:val="auto"/>
        </w:rPr>
        <w:t>quarter of 2021 and have generally performed in alignment with management expectations over that time period. 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has begun testing limited offers to new customers; this activity remains insignificant to the overall unsecured loan portfolio and total accounts, and balances are expected to remain de minimis through year-end as management monitors performance.</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Capital Bank Home Loans</w:t>
      </w:r>
    </w:p>
    <w:p>
      <w:pPr>
        <w:spacing w:after="0" w:line="87" w:lineRule="exact"/>
        <w:rPr>
          <w:sz w:val="20"/>
          <w:szCs w:val="20"/>
          <w:color w:val="auto"/>
        </w:rPr>
      </w:pPr>
    </w:p>
    <w:p>
      <w:pPr>
        <w:jc w:val="both"/>
        <w:spacing w:after="0" w:line="291" w:lineRule="auto"/>
        <w:rPr>
          <w:sz w:val="20"/>
          <w:szCs w:val="20"/>
          <w:color w:val="auto"/>
        </w:rPr>
      </w:pPr>
      <w:r>
        <w:rPr>
          <w:rFonts w:ascii="Arial" w:cs="Arial" w:eastAsia="Arial" w:hAnsi="Arial"/>
          <w:sz w:val="12"/>
          <w:szCs w:val="12"/>
          <w:color w:val="auto"/>
        </w:rPr>
        <w:t>Originations of loans held for sale totaled $75.3 million during 3Q 2026, with $47.9 million of mortgage loans sold resulting in a gain on sale of loans of $1.4 million, representing a 2.93% gain on sale as a percentage of total loans sold. Originations of loans held for sale totaled $106.9 million during 2Q 2026, with $87.1 million of mortgage loans sold resulting in a gain on sale of loans of $2.4 million, representing a 2.71% gain on sale as a percentage of total loans sold.</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Windsor Advantage</w:t>
      </w:r>
      <w:r>
        <w:rPr>
          <w:rFonts w:ascii="Arial" w:cs="Arial" w:eastAsia="Arial" w:hAnsi="Arial"/>
          <w:sz w:val="15"/>
          <w:szCs w:val="15"/>
          <w:b w:val="1"/>
          <w:bCs w:val="1"/>
          <w:color w:val="auto"/>
          <w:vertAlign w:val="superscript"/>
        </w:rPr>
        <w:t>™</w:t>
      </w:r>
    </w:p>
    <w:p>
      <w:pPr>
        <w:spacing w:after="0" w:line="55"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Gross government loan servicing revenue totaled $6.7 million, including $1.7 million of Capital Bank related servicing fees, during 3Q 2026. Gross government loan servicing revenue totaled $6.6 million, including $1.3 million of Capital Bank related servicing fees, during 2Q 2026. Windsor's</w:t>
      </w:r>
      <w:r>
        <w:rPr>
          <w:rFonts w:ascii="Arial" w:cs="Arial" w:eastAsia="Arial" w:hAnsi="Arial"/>
          <w:sz w:val="15"/>
          <w:szCs w:val="15"/>
          <w:color w:val="auto"/>
          <w:vertAlign w:val="superscript"/>
        </w:rPr>
        <w:t>™</w:t>
      </w:r>
      <w:r>
        <w:rPr>
          <w:rFonts w:ascii="Arial" w:cs="Arial" w:eastAsia="Arial" w:hAnsi="Arial"/>
          <w:sz w:val="12"/>
          <w:szCs w:val="12"/>
          <w:color w:val="auto"/>
        </w:rPr>
        <w:t xml:space="preserve"> total servicing portfolio was $3.5 billion at September 30, 2026, and $3.4 billion at June 30, 2026. In 3Q 2026, Windsor processed the closing of $183.9 million of government guaranteed loans, a 17.8% decrease from $223.6 million in 2Q 2026 and a 35.4% increase from $135.8 million in 3Q 2025.</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567" w:right="299" w:bottom="1440" w:gutter="0" w:footer="0" w:header="0"/>
        </w:sectPr>
      </w:pPr>
    </w:p>
    <w:bookmarkStart w:id="13" w:name="page14"/>
    <w:bookmarkEnd w:id="13"/>
    <w:p>
      <w:pPr>
        <w:ind w:left="8"/>
        <w:spacing w:after="0"/>
        <w:rPr>
          <w:sz w:val="20"/>
          <w:szCs w:val="20"/>
          <w:color w:val="auto"/>
        </w:rPr>
      </w:pPr>
      <w:r>
        <w:rPr>
          <w:rFonts w:ascii="Arial" w:cs="Arial" w:eastAsia="Arial" w:hAnsi="Arial"/>
          <w:sz w:val="12"/>
          <w:szCs w:val="12"/>
          <w:b w:val="1"/>
          <w:bCs w:val="1"/>
          <w:u w:val="single" w:color="auto"/>
          <w:color w:val="auto"/>
        </w:rPr>
        <w:t>COMPARATIVE FINANCIAL HIGHLIGHTS - Unaudited</w:t>
      </w:r>
    </w:p>
    <w:p>
      <w:pPr>
        <w:spacing w:after="0" w:line="201"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28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4"/>
              </w:rPr>
              <w:t>Quarter Ended</w:t>
            </w: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0"/>
                <w:szCs w:val="10"/>
                <w:b w:val="1"/>
                <w:bCs w:val="1"/>
                <w:color w:val="auto"/>
              </w:rPr>
              <w:t>3Q26 vs 2Q26</w:t>
            </w: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3"/>
          </w:tcPr>
          <w:p>
            <w:pPr>
              <w:jc w:val="right"/>
              <w:ind w:right="672"/>
              <w:spacing w:after="0"/>
              <w:rPr>
                <w:sz w:val="20"/>
                <w:szCs w:val="20"/>
                <w:color w:val="auto"/>
              </w:rPr>
            </w:pPr>
            <w:r>
              <w:rPr>
                <w:rFonts w:ascii="Arial" w:cs="Arial" w:eastAsia="Arial" w:hAnsi="Arial"/>
                <w:sz w:val="10"/>
                <w:szCs w:val="10"/>
                <w:b w:val="1"/>
                <w:bCs w:val="1"/>
                <w:color w:val="auto"/>
              </w:rPr>
              <w:t>3Q26 vs 3Q25</w:t>
            </w:r>
          </w:p>
        </w:tc>
      </w:tr>
      <w:tr>
        <w:trPr>
          <w:trHeight w:val="123"/>
        </w:trPr>
        <w:tc>
          <w:tcPr>
            <w:tcW w:w="2880" w:type="dxa"/>
            <w:vAlign w:val="bottom"/>
          </w:tcPr>
          <w:p>
            <w:pPr>
              <w:spacing w:after="0"/>
              <w:rPr>
                <w:sz w:val="20"/>
                <w:szCs w:val="20"/>
                <w:color w:val="auto"/>
              </w:rPr>
            </w:pPr>
            <w:r>
              <w:rPr>
                <w:rFonts w:ascii="Arial" w:cs="Arial" w:eastAsia="Arial" w:hAnsi="Arial"/>
                <w:sz w:val="6"/>
                <w:szCs w:val="6"/>
                <w:color w:val="auto"/>
              </w:rPr>
              <w:t>(in thousands, except per share data)</w:t>
            </w:r>
          </w:p>
        </w:tc>
        <w:tc>
          <w:tcPr>
            <w:tcW w:w="160" w:type="dxa"/>
            <w:vAlign w:val="bottom"/>
          </w:tcPr>
          <w:p>
            <w:pPr>
              <w:spacing w:after="0"/>
              <w:rPr>
                <w:sz w:val="10"/>
                <w:szCs w:val="10"/>
                <w:color w:val="auto"/>
              </w:rPr>
            </w:pPr>
          </w:p>
        </w:tc>
        <w:tc>
          <w:tcPr>
            <w:tcW w:w="1300" w:type="dxa"/>
            <w:vAlign w:val="bottom"/>
            <w:gridSpan w:val="2"/>
          </w:tcPr>
          <w:p>
            <w:pPr>
              <w:ind w:left="100"/>
              <w:spacing w:after="0"/>
              <w:rPr>
                <w:sz w:val="20"/>
                <w:szCs w:val="20"/>
                <w:color w:val="auto"/>
              </w:rPr>
            </w:pPr>
            <w:r>
              <w:rPr>
                <w:rFonts w:ascii="Arial" w:cs="Arial" w:eastAsia="Arial" w:hAnsi="Arial"/>
                <w:sz w:val="10"/>
                <w:szCs w:val="10"/>
                <w:b w:val="1"/>
                <w:bCs w:val="1"/>
                <w:color w:val="auto"/>
              </w:rPr>
              <w:t>September 30, 2026</w:t>
            </w:r>
          </w:p>
        </w:tc>
        <w:tc>
          <w:tcPr>
            <w:tcW w:w="12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June 30, 2026</w:t>
            </w:r>
          </w:p>
        </w:tc>
        <w:tc>
          <w:tcPr>
            <w:tcW w:w="160" w:type="dxa"/>
            <w:vAlign w:val="bottom"/>
          </w:tcPr>
          <w:p>
            <w:pPr>
              <w:spacing w:after="0"/>
              <w:rPr>
                <w:sz w:val="10"/>
                <w:szCs w:val="10"/>
                <w:color w:val="auto"/>
              </w:rPr>
            </w:pPr>
          </w:p>
        </w:tc>
        <w:tc>
          <w:tcPr>
            <w:tcW w:w="130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2025</w:t>
            </w:r>
          </w:p>
        </w:tc>
        <w:tc>
          <w:tcPr>
            <w:tcW w:w="160" w:type="dxa"/>
            <w:vAlign w:val="bottom"/>
          </w:tcPr>
          <w:p>
            <w:pPr>
              <w:spacing w:after="0"/>
              <w:rPr>
                <w:sz w:val="10"/>
                <w:szCs w:val="10"/>
                <w:color w:val="auto"/>
              </w:rPr>
            </w:pPr>
          </w:p>
        </w:tc>
        <w:tc>
          <w:tcPr>
            <w:tcW w:w="860" w:type="dxa"/>
            <w:vAlign w:val="bottom"/>
            <w:gridSpan w:val="2"/>
          </w:tcPr>
          <w:p>
            <w:pPr>
              <w:ind w:left="100"/>
              <w:spacing w:after="0"/>
              <w:rPr>
                <w:sz w:val="20"/>
                <w:szCs w:val="20"/>
                <w:color w:val="auto"/>
              </w:rPr>
            </w:pPr>
            <w:r>
              <w:rPr>
                <w:rFonts w:ascii="Arial" w:cs="Arial" w:eastAsia="Arial" w:hAnsi="Arial"/>
                <w:sz w:val="10"/>
                <w:szCs w:val="10"/>
                <w:b w:val="1"/>
                <w:bCs w:val="1"/>
                <w:color w:val="auto"/>
              </w:rPr>
              <w:t>$ Change</w:t>
            </w:r>
          </w:p>
        </w:tc>
        <w:tc>
          <w:tcPr>
            <w:tcW w:w="1120" w:type="dxa"/>
            <w:vAlign w:val="bottom"/>
            <w:gridSpan w:val="2"/>
          </w:tcPr>
          <w:p>
            <w:pPr>
              <w:ind w:left="300"/>
              <w:spacing w:after="0"/>
              <w:rPr>
                <w:sz w:val="20"/>
                <w:szCs w:val="20"/>
                <w:color w:val="auto"/>
              </w:rPr>
            </w:pPr>
            <w:r>
              <w:rPr>
                <w:rFonts w:ascii="Arial" w:cs="Arial" w:eastAsia="Arial" w:hAnsi="Arial"/>
                <w:sz w:val="10"/>
                <w:szCs w:val="10"/>
                <w:b w:val="1"/>
                <w:bCs w:val="1"/>
                <w:color w:val="auto"/>
              </w:rPr>
              <w:t>% Change</w:t>
            </w:r>
          </w:p>
        </w:tc>
        <w:tc>
          <w:tcPr>
            <w:tcW w:w="180" w:type="dxa"/>
            <w:vAlign w:val="bottom"/>
          </w:tcPr>
          <w:p>
            <w:pPr>
              <w:spacing w:after="0"/>
              <w:rPr>
                <w:sz w:val="10"/>
                <w:szCs w:val="10"/>
                <w:color w:val="auto"/>
              </w:rPr>
            </w:pPr>
          </w:p>
        </w:tc>
        <w:tc>
          <w:tcPr>
            <w:tcW w:w="860" w:type="dxa"/>
            <w:vAlign w:val="bottom"/>
            <w:gridSpan w:val="2"/>
          </w:tcPr>
          <w:p>
            <w:pPr>
              <w:ind w:left="100"/>
              <w:spacing w:after="0"/>
              <w:rPr>
                <w:sz w:val="20"/>
                <w:szCs w:val="20"/>
                <w:color w:val="auto"/>
              </w:rPr>
            </w:pPr>
            <w:r>
              <w:rPr>
                <w:rFonts w:ascii="Arial" w:cs="Arial" w:eastAsia="Arial" w:hAnsi="Arial"/>
                <w:sz w:val="10"/>
                <w:szCs w:val="10"/>
                <w:b w:val="1"/>
                <w:bCs w:val="1"/>
                <w:color w:val="auto"/>
              </w:rPr>
              <w:t>$ Change</w:t>
            </w:r>
          </w:p>
        </w:tc>
        <w:tc>
          <w:tcPr>
            <w:tcW w:w="1040" w:type="dxa"/>
            <w:vAlign w:val="bottom"/>
          </w:tcPr>
          <w:p>
            <w:pPr>
              <w:jc w:val="right"/>
              <w:ind w:right="232"/>
              <w:spacing w:after="0"/>
              <w:rPr>
                <w:sz w:val="20"/>
                <w:szCs w:val="20"/>
                <w:color w:val="auto"/>
              </w:rPr>
            </w:pPr>
            <w:r>
              <w:rPr>
                <w:rFonts w:ascii="Arial" w:cs="Arial" w:eastAsia="Arial" w:hAnsi="Arial"/>
                <w:sz w:val="10"/>
                <w:szCs w:val="10"/>
                <w:b w:val="1"/>
                <w:bCs w:val="1"/>
                <w:color w:val="auto"/>
              </w:rPr>
              <w:t>% Change</w:t>
            </w:r>
          </w:p>
        </w:tc>
      </w:tr>
      <w:tr>
        <w:trPr>
          <w:trHeight w:val="116"/>
        </w:trPr>
        <w:tc>
          <w:tcPr>
            <w:tcW w:w="2880" w:type="dxa"/>
            <w:vAlign w:val="bottom"/>
          </w:tcPr>
          <w:p>
            <w:pPr>
              <w:spacing w:after="0"/>
              <w:rPr>
                <w:sz w:val="20"/>
                <w:szCs w:val="20"/>
                <w:color w:val="auto"/>
              </w:rPr>
            </w:pPr>
            <w:r>
              <w:rPr>
                <w:rFonts w:ascii="Arial" w:cs="Arial" w:eastAsia="Arial" w:hAnsi="Arial"/>
                <w:sz w:val="10"/>
                <w:szCs w:val="10"/>
                <w:b w:val="1"/>
                <w:bCs w:val="1"/>
                <w:color w:val="auto"/>
              </w:rPr>
              <w:t>Earnings Summary</w:t>
            </w: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r>
      <w:tr>
        <w:trPr>
          <w:trHeight w:val="136"/>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Interest income</w:t>
            </w: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72,292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69,959</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64,891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2,333</w:t>
            </w: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3.3 %</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7,401</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11.4 %</w:t>
            </w:r>
          </w:p>
        </w:tc>
      </w:tr>
      <w:tr>
        <w:trPr>
          <w:trHeight w:val="132"/>
        </w:trPr>
        <w:tc>
          <w:tcPr>
            <w:tcW w:w="288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Interest expense</w:t>
            </w: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19,214</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19,030</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12,871</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184</w:t>
            </w:r>
          </w:p>
        </w:tc>
        <w:tc>
          <w:tcPr>
            <w:tcW w:w="6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1.0 %</w:t>
            </w: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6,343</w:t>
            </w:r>
          </w:p>
        </w:tc>
        <w:tc>
          <w:tcPr>
            <w:tcW w:w="8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49.3 %</w:t>
            </w:r>
          </w:p>
        </w:tc>
      </w:tr>
      <w:tr>
        <w:trPr>
          <w:trHeight w:val="127"/>
        </w:trPr>
        <w:tc>
          <w:tcPr>
            <w:tcW w:w="2880" w:type="dxa"/>
            <w:vAlign w:val="bottom"/>
            <w:shd w:val="clear" w:color="auto" w:fill="CCEEFF"/>
          </w:tcPr>
          <w:p>
            <w:pPr>
              <w:ind w:left="80"/>
              <w:spacing w:after="0"/>
              <w:rPr>
                <w:sz w:val="20"/>
                <w:szCs w:val="20"/>
                <w:color w:val="auto"/>
              </w:rPr>
            </w:pPr>
            <w:r>
              <w:rPr>
                <w:rFonts w:ascii="Arial" w:cs="Arial" w:eastAsia="Arial" w:hAnsi="Arial"/>
                <w:sz w:val="10"/>
                <w:szCs w:val="10"/>
                <w:color w:val="auto"/>
              </w:rPr>
              <w:t>Net interest income</w:t>
            </w: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53,078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50,929</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52,020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2,149</w:t>
            </w: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4.2 %</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1,058</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2.0 %</w:t>
            </w:r>
          </w:p>
        </w:tc>
      </w:tr>
      <w:tr>
        <w:trPr>
          <w:trHeight w:val="132"/>
        </w:trPr>
        <w:tc>
          <w:tcPr>
            <w:tcW w:w="2880" w:type="dxa"/>
            <w:vAlign w:val="bottom"/>
          </w:tcPr>
          <w:p>
            <w:pPr>
              <w:spacing w:after="0"/>
              <w:rPr>
                <w:sz w:val="20"/>
                <w:szCs w:val="20"/>
                <w:color w:val="auto"/>
              </w:rPr>
            </w:pPr>
            <w:r>
              <w:rPr>
                <w:rFonts w:ascii="Arial" w:cs="Arial" w:eastAsia="Arial" w:hAnsi="Arial"/>
                <w:sz w:val="10"/>
                <w:szCs w:val="10"/>
                <w:color w:val="auto"/>
              </w:rPr>
              <w:t>Provision for credit losses</w:t>
            </w:r>
          </w:p>
        </w:tc>
        <w:tc>
          <w:tcPr>
            <w:tcW w:w="160" w:type="dxa"/>
            <w:vAlign w:val="bottom"/>
          </w:tcPr>
          <w:p>
            <w:pPr>
              <w:spacing w:after="0"/>
              <w:rPr>
                <w:sz w:val="11"/>
                <w:szCs w:val="11"/>
                <w:color w:val="auto"/>
              </w:rPr>
            </w:pP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4,903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3,585</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4,650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1,318</w:t>
            </w:r>
          </w:p>
        </w:tc>
        <w:tc>
          <w:tcPr>
            <w:tcW w:w="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36.8 %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253</w:t>
            </w: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5.4 %</w:t>
            </w:r>
          </w:p>
        </w:tc>
      </w:tr>
      <w:tr>
        <w:trPr>
          <w:trHeight w:val="138"/>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w w:val="99"/>
              </w:rPr>
              <w:t>Provision for (release of) credit losses on unfunded commitments</w:t>
            </w: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65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217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w:t>
            </w: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(183.1)%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(271)</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(124.9)%</w:t>
            </w:r>
          </w:p>
        </w:tc>
      </w:tr>
      <w:tr>
        <w:trPr>
          <w:trHeight w:val="132"/>
        </w:trPr>
        <w:tc>
          <w:tcPr>
            <w:tcW w:w="2880" w:type="dxa"/>
            <w:vAlign w:val="bottom"/>
          </w:tcPr>
          <w:p>
            <w:pPr>
              <w:spacing w:after="0"/>
              <w:rPr>
                <w:sz w:val="20"/>
                <w:szCs w:val="20"/>
                <w:color w:val="auto"/>
              </w:rPr>
            </w:pPr>
            <w:r>
              <w:rPr>
                <w:rFonts w:ascii="Arial" w:cs="Arial" w:eastAsia="Arial" w:hAnsi="Arial"/>
                <w:sz w:val="10"/>
                <w:szCs w:val="10"/>
                <w:color w:val="auto"/>
              </w:rPr>
              <w:t>Noninterest income</w:t>
            </w:r>
          </w:p>
        </w:tc>
        <w:tc>
          <w:tcPr>
            <w:tcW w:w="160" w:type="dxa"/>
            <w:vAlign w:val="bottom"/>
          </w:tcPr>
          <w:p>
            <w:pPr>
              <w:spacing w:after="0"/>
              <w:rPr>
                <w:sz w:val="11"/>
                <w:szCs w:val="11"/>
                <w:color w:val="auto"/>
              </w:rPr>
            </w:pP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15,039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14,361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11,068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678</w:t>
            </w:r>
          </w:p>
        </w:tc>
        <w:tc>
          <w:tcPr>
            <w:tcW w:w="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4.7 %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3,971</w:t>
            </w: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35.9 %</w:t>
            </w:r>
          </w:p>
        </w:tc>
      </w:tr>
      <w:tr>
        <w:trPr>
          <w:trHeight w:val="138"/>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Noninterest expense</w:t>
            </w:r>
          </w:p>
        </w:tc>
        <w:tc>
          <w:tcPr>
            <w:tcW w:w="1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45,722</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43,186</w:t>
            </w: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38,354</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2,536</w:t>
            </w:r>
          </w:p>
        </w:tc>
        <w:tc>
          <w:tcPr>
            <w:tcW w:w="60" w:type="dxa"/>
            <w:vAlign w:val="bottom"/>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5.9 %</w:t>
            </w:r>
          </w:p>
        </w:tc>
        <w:tc>
          <w:tcPr>
            <w:tcW w:w="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7,368</w:t>
            </w:r>
          </w:p>
        </w:tc>
        <w:tc>
          <w:tcPr>
            <w:tcW w:w="8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19.2 %</w:t>
            </w:r>
          </w:p>
        </w:tc>
      </w:tr>
      <w:tr>
        <w:trPr>
          <w:trHeight w:val="121"/>
        </w:trPr>
        <w:tc>
          <w:tcPr>
            <w:tcW w:w="288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Income before income taxes</w:t>
            </w:r>
          </w:p>
        </w:tc>
        <w:tc>
          <w:tcPr>
            <w:tcW w:w="1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17,546</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18,454</w:t>
            </w:r>
          </w:p>
        </w:tc>
        <w:tc>
          <w:tcPr>
            <w:tcW w:w="6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19,867</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(908)</w:t>
            </w:r>
          </w:p>
        </w:tc>
        <w:tc>
          <w:tcPr>
            <w:tcW w:w="60" w:type="dxa"/>
            <w:vAlign w:val="bottom"/>
            <w:tcBorders>
              <w:bottom w:val="single" w:sz="8" w:color="CCEEFF"/>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w:t>
            </w:r>
          </w:p>
        </w:tc>
        <w:tc>
          <w:tcPr>
            <w:tcW w:w="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(2,321)</w:t>
            </w:r>
          </w:p>
        </w:tc>
        <w:tc>
          <w:tcPr>
            <w:tcW w:w="8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(11.7)%</w:t>
            </w:r>
          </w:p>
        </w:tc>
      </w:tr>
      <w:tr>
        <w:trPr>
          <w:trHeight w:val="127"/>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Income tax expense</w:t>
            </w:r>
          </w:p>
        </w:tc>
        <w:tc>
          <w:tcPr>
            <w:tcW w:w="1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4,424</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4,204</w:t>
            </w: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4,802</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220</w:t>
            </w:r>
          </w:p>
        </w:tc>
        <w:tc>
          <w:tcPr>
            <w:tcW w:w="60" w:type="dxa"/>
            <w:vAlign w:val="bottom"/>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5.2 %</w:t>
            </w:r>
          </w:p>
        </w:tc>
        <w:tc>
          <w:tcPr>
            <w:tcW w:w="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(378)</w:t>
            </w:r>
          </w:p>
        </w:tc>
        <w:tc>
          <w:tcPr>
            <w:tcW w:w="8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(7.9)%</w:t>
            </w:r>
          </w:p>
        </w:tc>
      </w:tr>
      <w:tr>
        <w:trPr>
          <w:trHeight w:val="121"/>
        </w:trPr>
        <w:tc>
          <w:tcPr>
            <w:tcW w:w="288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Net income</w:t>
            </w:r>
          </w:p>
        </w:tc>
        <w:tc>
          <w:tcPr>
            <w:tcW w:w="1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13,122</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14,250</w:t>
            </w:r>
          </w:p>
        </w:tc>
        <w:tc>
          <w:tcPr>
            <w:tcW w:w="6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15,065</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(1,128)</w:t>
            </w:r>
          </w:p>
        </w:tc>
        <w:tc>
          <w:tcPr>
            <w:tcW w:w="60" w:type="dxa"/>
            <w:vAlign w:val="bottom"/>
            <w:tcBorders>
              <w:bottom w:val="single" w:sz="8" w:color="CCEEFF"/>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w:t>
            </w:r>
          </w:p>
        </w:tc>
        <w:tc>
          <w:tcPr>
            <w:tcW w:w="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(1,943)</w:t>
            </w:r>
          </w:p>
        </w:tc>
        <w:tc>
          <w:tcPr>
            <w:tcW w:w="8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(12.9)%</w:t>
            </w:r>
          </w:p>
        </w:tc>
      </w:tr>
      <w:tr>
        <w:trPr>
          <w:trHeight w:val="127"/>
        </w:trPr>
        <w:tc>
          <w:tcPr>
            <w:tcW w:w="2880" w:type="dxa"/>
            <w:vAlign w:val="bottom"/>
            <w:tcBorders>
              <w:bottom w:val="single" w:sz="8" w:color="CCEEFF"/>
            </w:tcBorders>
            <w:shd w:val="clear" w:color="auto" w:fill="CCEEFF"/>
          </w:tcPr>
          <w:p>
            <w:pPr>
              <w:ind w:left="80"/>
              <w:spacing w:after="0" w:line="127" w:lineRule="exact"/>
              <w:rPr>
                <w:sz w:val="20"/>
                <w:szCs w:val="20"/>
                <w:color w:val="auto"/>
              </w:rPr>
            </w:pPr>
            <w:r>
              <w:rPr>
                <w:rFonts w:ascii="Arial" w:cs="Arial" w:eastAsia="Arial" w:hAnsi="Arial"/>
                <w:sz w:val="10"/>
                <w:szCs w:val="10"/>
                <w:color w:val="auto"/>
              </w:rPr>
              <w:t>Core net income</w:t>
            </w:r>
            <w:r>
              <w:rPr>
                <w:rFonts w:ascii="Arial" w:cs="Arial" w:eastAsia="Arial" w:hAnsi="Arial"/>
                <w:sz w:val="12"/>
                <w:szCs w:val="12"/>
                <w:color w:val="auto"/>
                <w:vertAlign w:val="superscript"/>
              </w:rPr>
              <w:t>(1)</w:t>
            </w:r>
          </w:p>
        </w:tc>
        <w:tc>
          <w:tcPr>
            <w:tcW w:w="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14,699</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14,250</w:t>
            </w: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12,151</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449</w:t>
            </w:r>
          </w:p>
        </w:tc>
        <w:tc>
          <w:tcPr>
            <w:tcW w:w="6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3.2 %</w:t>
            </w:r>
          </w:p>
        </w:tc>
        <w:tc>
          <w:tcPr>
            <w:tcW w:w="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2,548</w:t>
            </w:r>
          </w:p>
        </w:tc>
        <w:tc>
          <w:tcPr>
            <w:tcW w:w="8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21.0 %</w:t>
            </w:r>
          </w:p>
        </w:tc>
      </w:tr>
      <w:tr>
        <w:trPr>
          <w:trHeight w:val="169"/>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35"/>
        </w:trPr>
        <w:tc>
          <w:tcPr>
            <w:tcW w:w="2880" w:type="dxa"/>
            <w:vAlign w:val="bottom"/>
            <w:shd w:val="clear" w:color="auto" w:fill="CCEEFF"/>
          </w:tcPr>
          <w:p>
            <w:pPr>
              <w:spacing w:after="0" w:line="135" w:lineRule="exact"/>
              <w:rPr>
                <w:sz w:val="20"/>
                <w:szCs w:val="20"/>
                <w:color w:val="auto"/>
              </w:rPr>
            </w:pPr>
            <w:r>
              <w:rPr>
                <w:rFonts w:ascii="Arial" w:cs="Arial" w:eastAsia="Arial" w:hAnsi="Arial"/>
                <w:sz w:val="10"/>
                <w:szCs w:val="10"/>
                <w:color w:val="auto"/>
              </w:rPr>
              <w:t xml:space="preserve">Pre-tax pre-provision net revenue ("PPNR") </w:t>
            </w:r>
            <w:r>
              <w:rPr>
                <w:rFonts w:ascii="Arial" w:cs="Arial" w:eastAsia="Arial" w:hAnsi="Arial"/>
                <w:sz w:val="12"/>
                <w:szCs w:val="12"/>
                <w:color w:val="auto"/>
                <w:vertAlign w:val="superscript"/>
              </w:rPr>
              <w:t>(1)</w:t>
            </w: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22,395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22,104</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24,734</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291</w:t>
            </w: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1.3 %</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(2,339)</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w:t>
            </w:r>
          </w:p>
        </w:tc>
      </w:tr>
      <w:tr>
        <w:trPr>
          <w:trHeight w:val="135"/>
        </w:trPr>
        <w:tc>
          <w:tcPr>
            <w:tcW w:w="2880" w:type="dxa"/>
            <w:vAlign w:val="bottom"/>
          </w:tcPr>
          <w:p>
            <w:pPr>
              <w:spacing w:after="0" w:line="135" w:lineRule="exact"/>
              <w:rPr>
                <w:sz w:val="20"/>
                <w:szCs w:val="20"/>
                <w:color w:val="auto"/>
              </w:rPr>
            </w:pPr>
            <w:r>
              <w:rPr>
                <w:rFonts w:ascii="Arial" w:cs="Arial" w:eastAsia="Arial" w:hAnsi="Arial"/>
                <w:sz w:val="10"/>
                <w:szCs w:val="10"/>
                <w:color w:val="auto"/>
              </w:rPr>
              <w:t>Core PPNR</w:t>
            </w:r>
            <w:r>
              <w:rPr>
                <w:rFonts w:ascii="Arial" w:cs="Arial" w:eastAsia="Arial" w:hAnsi="Arial"/>
                <w:sz w:val="12"/>
                <w:szCs w:val="12"/>
                <w:color w:val="auto"/>
                <w:vertAlign w:val="superscript"/>
              </w:rPr>
              <w:t>(1)</w:t>
            </w: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23,972</w:t>
            </w:r>
          </w:p>
        </w:tc>
        <w:tc>
          <w:tcPr>
            <w:tcW w:w="80" w:type="dxa"/>
            <w:vAlign w:val="bottom"/>
          </w:tcPr>
          <w:p>
            <w:pPr>
              <w:spacing w:after="0"/>
              <w:rPr>
                <w:sz w:val="11"/>
                <w:szCs w:val="11"/>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22,104</w:t>
            </w:r>
          </w:p>
        </w:tc>
        <w:tc>
          <w:tcPr>
            <w:tcW w:w="60" w:type="dxa"/>
            <w:vAlign w:val="bottom"/>
          </w:tcPr>
          <w:p>
            <w:pPr>
              <w:spacing w:after="0"/>
              <w:rPr>
                <w:sz w:val="11"/>
                <w:szCs w:val="11"/>
                <w:color w:val="auto"/>
              </w:rPr>
            </w:pP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20,813</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1,868</w:t>
            </w:r>
          </w:p>
        </w:tc>
        <w:tc>
          <w:tcPr>
            <w:tcW w:w="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8.5 %</w:t>
            </w:r>
          </w:p>
        </w:tc>
        <w:tc>
          <w:tcPr>
            <w:tcW w:w="60" w:type="dxa"/>
            <w:vAlign w:val="bottom"/>
          </w:tcPr>
          <w:p>
            <w:pPr>
              <w:spacing w:after="0"/>
              <w:rPr>
                <w:sz w:val="11"/>
                <w:szCs w:val="11"/>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3,159</w:t>
            </w: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15.2 %</w:t>
            </w:r>
          </w:p>
        </w:tc>
      </w:tr>
      <w:tr>
        <w:trPr>
          <w:trHeight w:val="180"/>
        </w:trPr>
        <w:tc>
          <w:tcPr>
            <w:tcW w:w="2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34"/>
        </w:trPr>
        <w:tc>
          <w:tcPr>
            <w:tcW w:w="2880" w:type="dxa"/>
            <w:vAlign w:val="bottom"/>
          </w:tcPr>
          <w:p>
            <w:pPr>
              <w:spacing w:after="0"/>
              <w:rPr>
                <w:sz w:val="20"/>
                <w:szCs w:val="20"/>
                <w:color w:val="auto"/>
              </w:rPr>
            </w:pPr>
            <w:r>
              <w:rPr>
                <w:rFonts w:ascii="Arial" w:cs="Arial" w:eastAsia="Arial" w:hAnsi="Arial"/>
                <w:sz w:val="10"/>
                <w:szCs w:val="10"/>
                <w:b w:val="1"/>
                <w:bCs w:val="1"/>
                <w:color w:val="auto"/>
              </w:rPr>
              <w:t>Common Share Data</w:t>
            </w: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6"/>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Earnings per share - Basic</w:t>
            </w: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0.81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0.87</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0.91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(0.06)</w:t>
            </w: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(0.10)</w:t>
            </w: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w:t>
            </w:r>
          </w:p>
        </w:tc>
      </w:tr>
      <w:tr>
        <w:trPr>
          <w:trHeight w:val="132"/>
        </w:trPr>
        <w:tc>
          <w:tcPr>
            <w:tcW w:w="2880" w:type="dxa"/>
            <w:vAlign w:val="bottom"/>
          </w:tcPr>
          <w:p>
            <w:pPr>
              <w:spacing w:after="0"/>
              <w:rPr>
                <w:sz w:val="20"/>
                <w:szCs w:val="20"/>
                <w:color w:val="auto"/>
              </w:rPr>
            </w:pPr>
            <w:r>
              <w:rPr>
                <w:rFonts w:ascii="Arial" w:cs="Arial" w:eastAsia="Arial" w:hAnsi="Arial"/>
                <w:sz w:val="10"/>
                <w:szCs w:val="10"/>
                <w:color w:val="auto"/>
              </w:rPr>
              <w:t>Earnings per share - Diluted</w:t>
            </w: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0.80</w:t>
            </w:r>
          </w:p>
        </w:tc>
        <w:tc>
          <w:tcPr>
            <w:tcW w:w="80" w:type="dxa"/>
            <w:vAlign w:val="bottom"/>
          </w:tcPr>
          <w:p>
            <w:pPr>
              <w:spacing w:after="0"/>
              <w:rPr>
                <w:sz w:val="11"/>
                <w:szCs w:val="11"/>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0.87</w:t>
            </w:r>
          </w:p>
        </w:tc>
        <w:tc>
          <w:tcPr>
            <w:tcW w:w="60" w:type="dxa"/>
            <w:vAlign w:val="bottom"/>
          </w:tcPr>
          <w:p>
            <w:pPr>
              <w:spacing w:after="0"/>
              <w:rPr>
                <w:sz w:val="11"/>
                <w:szCs w:val="11"/>
                <w:color w:val="auto"/>
              </w:rPr>
            </w:pP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0.89</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(0.07)</w:t>
            </w:r>
          </w:p>
        </w:tc>
        <w:tc>
          <w:tcPr>
            <w:tcW w:w="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(8.0)%</w:t>
            </w:r>
          </w:p>
        </w:tc>
        <w:tc>
          <w:tcPr>
            <w:tcW w:w="60" w:type="dxa"/>
            <w:vAlign w:val="bottom"/>
          </w:tcPr>
          <w:p>
            <w:pPr>
              <w:spacing w:after="0"/>
              <w:rPr>
                <w:sz w:val="11"/>
                <w:szCs w:val="11"/>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(0.09)</w:t>
            </w: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(10.1)%</w:t>
            </w:r>
          </w:p>
        </w:tc>
      </w:tr>
      <w:tr>
        <w:trPr>
          <w:trHeight w:val="138"/>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Core earnings per share - Diluted</w:t>
            </w:r>
            <w:r>
              <w:rPr>
                <w:rFonts w:ascii="Arial" w:cs="Arial" w:eastAsia="Arial" w:hAnsi="Arial"/>
                <w:sz w:val="12"/>
                <w:szCs w:val="12"/>
                <w:color w:val="auto"/>
                <w:vertAlign w:val="superscript"/>
              </w:rPr>
              <w:t>(1)</w:t>
            </w: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0.87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0.72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0.02</w:t>
            </w: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2.3 %</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0.17</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23.6 %</w:t>
            </w:r>
          </w:p>
        </w:tc>
      </w:tr>
      <w:tr>
        <w:trPr>
          <w:trHeight w:val="132"/>
        </w:trPr>
        <w:tc>
          <w:tcPr>
            <w:tcW w:w="2880" w:type="dxa"/>
            <w:vAlign w:val="bottom"/>
          </w:tcPr>
          <w:p>
            <w:pPr>
              <w:spacing w:after="0"/>
              <w:rPr>
                <w:sz w:val="20"/>
                <w:szCs w:val="20"/>
                <w:color w:val="auto"/>
              </w:rPr>
            </w:pPr>
            <w:r>
              <w:rPr>
                <w:rFonts w:ascii="Arial" w:cs="Arial" w:eastAsia="Arial" w:hAnsi="Arial"/>
                <w:sz w:val="10"/>
                <w:szCs w:val="10"/>
                <w:color w:val="auto"/>
              </w:rPr>
              <w:t>Weighted average common shares - Basic</w:t>
            </w:r>
          </w:p>
        </w:tc>
        <w:tc>
          <w:tcPr>
            <w:tcW w:w="160" w:type="dxa"/>
            <w:vAlign w:val="bottom"/>
          </w:tcPr>
          <w:p>
            <w:pPr>
              <w:spacing w:after="0"/>
              <w:rPr>
                <w:sz w:val="11"/>
                <w:szCs w:val="11"/>
                <w:color w:val="auto"/>
              </w:rPr>
            </w:pP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16,294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16,288</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16,586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8"/>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Weighted average common shares - Diluted</w:t>
            </w: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16,482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16,373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16,844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80"/>
        </w:trPr>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35"/>
        </w:trPr>
        <w:tc>
          <w:tcPr>
            <w:tcW w:w="28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Return Ratios</w:t>
            </w: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32"/>
        </w:trPr>
        <w:tc>
          <w:tcPr>
            <w:tcW w:w="2880" w:type="dxa"/>
            <w:vAlign w:val="bottom"/>
          </w:tcPr>
          <w:p>
            <w:pPr>
              <w:spacing w:after="0"/>
              <w:rPr>
                <w:sz w:val="20"/>
                <w:szCs w:val="20"/>
                <w:color w:val="auto"/>
              </w:rPr>
            </w:pPr>
            <w:r>
              <w:rPr>
                <w:rFonts w:ascii="Arial" w:cs="Arial" w:eastAsia="Arial" w:hAnsi="Arial"/>
                <w:sz w:val="10"/>
                <w:szCs w:val="10"/>
                <w:color w:val="auto"/>
              </w:rPr>
              <w:t>Return on average assets (annualized)</w:t>
            </w:r>
          </w:p>
        </w:tc>
        <w:tc>
          <w:tcPr>
            <w:tcW w:w="1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1.38 %</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1.52 %</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1.77 %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8"/>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Core return on average assets (annualized)</w:t>
            </w:r>
            <w:r>
              <w:rPr>
                <w:rFonts w:ascii="Arial" w:cs="Arial" w:eastAsia="Arial" w:hAnsi="Arial"/>
                <w:sz w:val="12"/>
                <w:szCs w:val="12"/>
                <w:color w:val="auto"/>
                <w:vertAlign w:val="superscript"/>
              </w:rPr>
              <w:t>(1)</w:t>
            </w: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1.55 %</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1.52 %</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1.43 %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32"/>
        </w:trPr>
        <w:tc>
          <w:tcPr>
            <w:tcW w:w="2880" w:type="dxa"/>
            <w:vAlign w:val="bottom"/>
          </w:tcPr>
          <w:p>
            <w:pPr>
              <w:spacing w:after="0"/>
              <w:rPr>
                <w:sz w:val="20"/>
                <w:szCs w:val="20"/>
                <w:color w:val="auto"/>
              </w:rPr>
            </w:pPr>
            <w:r>
              <w:rPr>
                <w:rFonts w:ascii="Arial" w:cs="Arial" w:eastAsia="Arial" w:hAnsi="Arial"/>
                <w:sz w:val="10"/>
                <w:szCs w:val="10"/>
                <w:color w:val="auto"/>
              </w:rPr>
              <w:t>Return on average equity (annualized)</w:t>
            </w:r>
          </w:p>
        </w:tc>
        <w:tc>
          <w:tcPr>
            <w:tcW w:w="1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12.16 %</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13.80 %</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15.57 %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8"/>
        </w:trPr>
        <w:tc>
          <w:tcPr>
            <w:tcW w:w="2880" w:type="dxa"/>
            <w:vAlign w:val="bottom"/>
            <w:shd w:val="clear" w:color="auto" w:fill="CCEEFF"/>
          </w:tcPr>
          <w:p>
            <w:pPr>
              <w:spacing w:after="0"/>
              <w:rPr>
                <w:sz w:val="20"/>
                <w:szCs w:val="20"/>
                <w:color w:val="auto"/>
              </w:rPr>
            </w:pPr>
            <w:r>
              <w:rPr>
                <w:rFonts w:ascii="Arial" w:cs="Arial" w:eastAsia="Arial" w:hAnsi="Arial"/>
                <w:sz w:val="10"/>
                <w:szCs w:val="10"/>
                <w:color w:val="auto"/>
              </w:rPr>
              <w:t>Core return on average equity (annualized)</w:t>
            </w:r>
            <w:r>
              <w:rPr>
                <w:rFonts w:ascii="Arial" w:cs="Arial" w:eastAsia="Arial" w:hAnsi="Arial"/>
                <w:sz w:val="12"/>
                <w:szCs w:val="12"/>
                <w:color w:val="auto"/>
                <w:vertAlign w:val="superscript"/>
              </w:rPr>
              <w:t>(1)</w:t>
            </w: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13.63 %</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13.80 %</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12.56 %</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35"/>
        </w:trPr>
        <w:tc>
          <w:tcPr>
            <w:tcW w:w="2880" w:type="dxa"/>
            <w:vAlign w:val="bottom"/>
          </w:tcPr>
          <w:p>
            <w:pPr>
              <w:spacing w:after="0" w:line="135" w:lineRule="exact"/>
              <w:rPr>
                <w:sz w:val="20"/>
                <w:szCs w:val="20"/>
                <w:color w:val="auto"/>
              </w:rPr>
            </w:pPr>
            <w:r>
              <w:rPr>
                <w:rFonts w:ascii="Arial" w:cs="Arial" w:eastAsia="Arial" w:hAnsi="Arial"/>
                <w:sz w:val="10"/>
                <w:szCs w:val="10"/>
                <w:color w:val="auto"/>
              </w:rPr>
              <w:t>Return on average tangible common equity (annualized)</w:t>
            </w:r>
            <w:r>
              <w:rPr>
                <w:rFonts w:ascii="Arial" w:cs="Arial" w:eastAsia="Arial" w:hAnsi="Arial"/>
                <w:sz w:val="12"/>
                <w:szCs w:val="12"/>
                <w:color w:val="auto"/>
                <w:vertAlign w:val="superscript"/>
              </w:rPr>
              <w:t>(1)</w:t>
            </w:r>
          </w:p>
        </w:tc>
        <w:tc>
          <w:tcPr>
            <w:tcW w:w="1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13.62 %</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15.51 %</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17.49 %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5"/>
        </w:trPr>
        <w:tc>
          <w:tcPr>
            <w:tcW w:w="2880" w:type="dxa"/>
            <w:vAlign w:val="bottom"/>
            <w:shd w:val="clear" w:color="auto" w:fill="CCEEFF"/>
          </w:tcPr>
          <w:p>
            <w:pPr>
              <w:spacing w:after="0" w:line="135" w:lineRule="exact"/>
              <w:rPr>
                <w:sz w:val="20"/>
                <w:szCs w:val="20"/>
                <w:color w:val="auto"/>
              </w:rPr>
            </w:pPr>
            <w:r>
              <w:rPr>
                <w:rFonts w:ascii="Arial" w:cs="Arial" w:eastAsia="Arial" w:hAnsi="Arial"/>
                <w:sz w:val="10"/>
                <w:szCs w:val="10"/>
                <w:color w:val="auto"/>
              </w:rPr>
              <w:t>Core return on average tangible common equity (annualized)</w:t>
            </w:r>
            <w:r>
              <w:rPr>
                <w:rFonts w:ascii="Arial" w:cs="Arial" w:eastAsia="Arial" w:hAnsi="Arial"/>
                <w:sz w:val="12"/>
                <w:szCs w:val="12"/>
                <w:color w:val="auto"/>
                <w:vertAlign w:val="superscript"/>
              </w:rPr>
              <w:t>(1)</w:t>
            </w: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15.24 %</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15.51 %</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14.15 %</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bl>
    <w:p>
      <w:pPr>
        <w:spacing w:after="0" w:line="41"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w:t>
      </w:r>
    </w:p>
    <w:p>
      <w:pPr>
        <w:ind w:left="208" w:hanging="208"/>
        <w:spacing w:after="0" w:line="221" w:lineRule="auto"/>
        <w:tabs>
          <w:tab w:leader="none" w:pos="208" w:val="left"/>
        </w:tabs>
        <w:numPr>
          <w:ilvl w:val="0"/>
          <w:numId w:val="24"/>
        </w:numPr>
        <w:rPr>
          <w:rFonts w:ascii="Arial" w:cs="Arial" w:eastAsia="Arial" w:hAnsi="Arial"/>
          <w:sz w:val="11"/>
          <w:szCs w:val="11"/>
          <w:color w:val="auto"/>
          <w:vertAlign w:val="superscript"/>
        </w:rPr>
      </w:pPr>
      <w:r>
        <w:rPr>
          <w:rFonts w:ascii="Arial" w:cs="Arial" w:eastAsia="Arial" w:hAnsi="Arial"/>
          <w:sz w:val="8"/>
          <w:szCs w:val="8"/>
          <w:color w:val="auto"/>
        </w:rPr>
        <w:t>Refer to Appendix for reconciliation of non-GAAP measures.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67"/>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128"/>
          </w:cols>
          <w:pgMar w:left="292" w:top="1081" w:right="479" w:bottom="1440" w:gutter="0" w:footer="0" w:header="0"/>
        </w:sectPr>
      </w:pPr>
    </w:p>
    <w:bookmarkStart w:id="14" w:name="page15"/>
    <w:bookmarkEnd w:id="14"/>
    <w:p>
      <w:pPr>
        <w:ind w:left="8"/>
        <w:spacing w:after="0"/>
        <w:rPr>
          <w:sz w:val="20"/>
          <w:szCs w:val="20"/>
          <w:color w:val="auto"/>
        </w:rPr>
      </w:pPr>
      <w:r>
        <w:rPr>
          <w:rFonts w:ascii="Arial" w:cs="Arial" w:eastAsia="Arial" w:hAnsi="Arial"/>
          <w:sz w:val="12"/>
          <w:szCs w:val="12"/>
          <w:b w:val="1"/>
          <w:bCs w:val="1"/>
          <w:u w:val="single" w:color="auto"/>
          <w:color w:val="auto"/>
        </w:rPr>
        <w:t>COMPARATIVE FINANCIAL HIGHLIGHTS - Unaudited (continued)</w:t>
      </w:r>
    </w:p>
    <w:p>
      <w:pPr>
        <w:spacing w:after="0" w:line="201" w:lineRule="exact"/>
        <w:rPr>
          <w:sz w:val="20"/>
          <w:szCs w:val="20"/>
          <w:color w:val="auto"/>
        </w:rPr>
      </w:pPr>
    </w:p>
    <w:p>
      <w:pPr>
        <w:jc w:val="center"/>
        <w:ind w:right="291"/>
        <w:spacing w:after="0"/>
        <w:rPr>
          <w:sz w:val="20"/>
          <w:szCs w:val="20"/>
          <w:color w:val="auto"/>
        </w:rPr>
      </w:pPr>
      <w:r>
        <w:rPr>
          <w:rFonts w:ascii="Arial" w:cs="Arial" w:eastAsia="Arial" w:hAnsi="Arial"/>
          <w:sz w:val="10"/>
          <w:szCs w:val="10"/>
          <w:b w:val="1"/>
          <w:bCs w:val="1"/>
          <w:color w:val="auto"/>
        </w:rPr>
        <w:t>Nine Months Ended</w:t>
      </w:r>
    </w:p>
    <w:p>
      <w:pPr>
        <w:spacing w:after="0" w:line="20" w:lineRule="exact"/>
        <w:rPr>
          <w:sz w:val="20"/>
          <w:szCs w:val="20"/>
          <w:color w:val="auto"/>
        </w:rPr>
      </w:pPr>
    </w:p>
    <w:p>
      <w:pPr>
        <w:jc w:val="center"/>
        <w:ind w:right="291"/>
        <w:spacing w:after="0"/>
        <w:rPr>
          <w:sz w:val="20"/>
          <w:szCs w:val="20"/>
          <w:color w:val="auto"/>
        </w:rPr>
      </w:pPr>
      <w:r>
        <w:rPr>
          <w:rFonts w:ascii="Arial" w:cs="Arial" w:eastAsia="Arial" w:hAnsi="Arial"/>
          <w:sz w:val="10"/>
          <w:szCs w:val="10"/>
          <w:b w:val="1"/>
          <w:bCs w:val="1"/>
          <w:color w:val="auto"/>
        </w:rPr>
        <w:t>September 30,</w:t>
      </w:r>
    </w:p>
    <w:p>
      <w:pPr>
        <w:spacing w:after="0" w:line="16"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3840" w:type="dxa"/>
            <w:vAlign w:val="bottom"/>
          </w:tcPr>
          <w:p>
            <w:pPr>
              <w:spacing w:after="0"/>
              <w:rPr>
                <w:sz w:val="20"/>
                <w:szCs w:val="20"/>
                <w:color w:val="auto"/>
              </w:rPr>
            </w:pPr>
            <w:r>
              <w:rPr>
                <w:rFonts w:ascii="Arial" w:cs="Arial" w:eastAsia="Arial" w:hAnsi="Arial"/>
                <w:sz w:val="6"/>
                <w:szCs w:val="6"/>
                <w:color w:val="auto"/>
              </w:rPr>
              <w:t>(in thousands, except per share data)</w:t>
            </w:r>
          </w:p>
        </w:tc>
        <w:tc>
          <w:tcPr>
            <w:tcW w:w="24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0"/>
                <w:szCs w:val="10"/>
                <w:color w:val="auto"/>
              </w:rPr>
              <w:t>Change</w:t>
            </w:r>
          </w:p>
        </w:tc>
        <w:tc>
          <w:tcPr>
            <w:tcW w:w="114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color w:val="auto"/>
                <w:w w:val="94"/>
              </w:rPr>
              <w:t>% Change</w:t>
            </w:r>
          </w:p>
        </w:tc>
      </w:tr>
      <w:tr>
        <w:trPr>
          <w:trHeight w:val="114"/>
        </w:trPr>
        <w:tc>
          <w:tcPr>
            <w:tcW w:w="3840" w:type="dxa"/>
            <w:vAlign w:val="bottom"/>
          </w:tcPr>
          <w:p>
            <w:pPr>
              <w:spacing w:after="0" w:line="113" w:lineRule="exact"/>
              <w:rPr>
                <w:sz w:val="20"/>
                <w:szCs w:val="20"/>
                <w:color w:val="auto"/>
              </w:rPr>
            </w:pPr>
            <w:r>
              <w:rPr>
                <w:rFonts w:ascii="Arial" w:cs="Arial" w:eastAsia="Arial" w:hAnsi="Arial"/>
                <w:sz w:val="10"/>
                <w:szCs w:val="10"/>
                <w:b w:val="1"/>
                <w:bCs w:val="1"/>
                <w:color w:val="auto"/>
              </w:rPr>
              <w:t>Earnings Summary</w:t>
            </w: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36"/>
        </w:trPr>
        <w:tc>
          <w:tcPr>
            <w:tcW w:w="3840" w:type="dxa"/>
            <w:vAlign w:val="bottom"/>
            <w:shd w:val="clear" w:color="auto" w:fill="CCEEFF"/>
          </w:tcPr>
          <w:p>
            <w:pPr>
              <w:spacing w:after="0"/>
              <w:rPr>
                <w:sz w:val="20"/>
                <w:szCs w:val="20"/>
                <w:color w:val="auto"/>
              </w:rPr>
            </w:pPr>
            <w:r>
              <w:rPr>
                <w:rFonts w:ascii="Arial" w:cs="Arial" w:eastAsia="Arial" w:hAnsi="Arial"/>
                <w:sz w:val="10"/>
                <w:szCs w:val="10"/>
                <w:color w:val="auto"/>
              </w:rPr>
              <w:t>Interest income</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210,221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192,237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17,984</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9.4 %</w:t>
            </w:r>
          </w:p>
        </w:tc>
      </w:tr>
      <w:tr>
        <w:trPr>
          <w:trHeight w:val="132"/>
        </w:trPr>
        <w:tc>
          <w:tcPr>
            <w:tcW w:w="384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Interest expense</w:t>
            </w: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56,816</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46,524</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10,292</w:t>
            </w:r>
          </w:p>
        </w:tc>
        <w:tc>
          <w:tcPr>
            <w:tcW w:w="8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22.1 %</w:t>
            </w:r>
          </w:p>
        </w:tc>
      </w:tr>
      <w:tr>
        <w:trPr>
          <w:trHeight w:val="127"/>
        </w:trPr>
        <w:tc>
          <w:tcPr>
            <w:tcW w:w="3840" w:type="dxa"/>
            <w:vAlign w:val="bottom"/>
            <w:shd w:val="clear" w:color="auto" w:fill="CCEEFF"/>
          </w:tcPr>
          <w:p>
            <w:pPr>
              <w:ind w:left="80"/>
              <w:spacing w:after="0"/>
              <w:rPr>
                <w:sz w:val="20"/>
                <w:szCs w:val="20"/>
                <w:color w:val="auto"/>
              </w:rPr>
            </w:pPr>
            <w:r>
              <w:rPr>
                <w:rFonts w:ascii="Arial" w:cs="Arial" w:eastAsia="Arial" w:hAnsi="Arial"/>
                <w:sz w:val="10"/>
                <w:szCs w:val="10"/>
                <w:color w:val="auto"/>
              </w:rPr>
              <w:t>Net interest income</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153,405</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145,713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7,692</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5.3 %</w:t>
            </w:r>
          </w:p>
        </w:tc>
      </w:tr>
      <w:tr>
        <w:trPr>
          <w:trHeight w:val="132"/>
        </w:trPr>
        <w:tc>
          <w:tcPr>
            <w:tcW w:w="3840" w:type="dxa"/>
            <w:vAlign w:val="bottom"/>
          </w:tcPr>
          <w:p>
            <w:pPr>
              <w:spacing w:after="0"/>
              <w:rPr>
                <w:sz w:val="20"/>
                <w:szCs w:val="20"/>
                <w:color w:val="auto"/>
              </w:rPr>
            </w:pPr>
            <w:r>
              <w:rPr>
                <w:rFonts w:ascii="Arial" w:cs="Arial" w:eastAsia="Arial" w:hAnsi="Arial"/>
                <w:sz w:val="10"/>
                <w:szCs w:val="10"/>
                <w:color w:val="auto"/>
              </w:rPr>
              <w:t>Provision for credit losses</w:t>
            </w:r>
          </w:p>
        </w:tc>
        <w:tc>
          <w:tcPr>
            <w:tcW w:w="240" w:type="dxa"/>
            <w:vAlign w:val="bottom"/>
          </w:tcPr>
          <w:p>
            <w:pPr>
              <w:spacing w:after="0"/>
              <w:rPr>
                <w:sz w:val="11"/>
                <w:szCs w:val="11"/>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11,502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92"/>
              <w:spacing w:after="0"/>
              <w:rPr>
                <w:sz w:val="20"/>
                <w:szCs w:val="20"/>
                <w:color w:val="auto"/>
              </w:rPr>
            </w:pPr>
            <w:r>
              <w:rPr>
                <w:rFonts w:ascii="Arial" w:cs="Arial" w:eastAsia="Arial" w:hAnsi="Arial"/>
                <w:sz w:val="10"/>
                <w:szCs w:val="10"/>
                <w:color w:val="auto"/>
              </w:rPr>
              <w:t>10,977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525</w:t>
            </w:r>
          </w:p>
        </w:tc>
        <w:tc>
          <w:tcPr>
            <w:tcW w:w="8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4.8 %</w:t>
            </w:r>
          </w:p>
        </w:tc>
      </w:tr>
      <w:tr>
        <w:trPr>
          <w:trHeight w:val="138"/>
        </w:trPr>
        <w:tc>
          <w:tcPr>
            <w:tcW w:w="3840" w:type="dxa"/>
            <w:vAlign w:val="bottom"/>
            <w:shd w:val="clear" w:color="auto" w:fill="CCEEFF"/>
          </w:tcPr>
          <w:p>
            <w:pPr>
              <w:spacing w:after="0"/>
              <w:rPr>
                <w:sz w:val="20"/>
                <w:szCs w:val="20"/>
                <w:color w:val="auto"/>
              </w:rPr>
            </w:pPr>
            <w:r>
              <w:rPr>
                <w:rFonts w:ascii="Arial" w:cs="Arial" w:eastAsia="Arial" w:hAnsi="Arial"/>
                <w:sz w:val="10"/>
                <w:szCs w:val="10"/>
                <w:color w:val="auto"/>
              </w:rPr>
              <w:t>Provision for credit losses on unfunded commitments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216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217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(0.5)%</w:t>
            </w:r>
          </w:p>
        </w:tc>
      </w:tr>
      <w:tr>
        <w:trPr>
          <w:trHeight w:val="132"/>
        </w:trPr>
        <w:tc>
          <w:tcPr>
            <w:tcW w:w="3840" w:type="dxa"/>
            <w:vAlign w:val="bottom"/>
          </w:tcPr>
          <w:p>
            <w:pPr>
              <w:spacing w:after="0"/>
              <w:rPr>
                <w:sz w:val="20"/>
                <w:szCs w:val="20"/>
                <w:color w:val="auto"/>
              </w:rPr>
            </w:pPr>
            <w:r>
              <w:rPr>
                <w:rFonts w:ascii="Arial" w:cs="Arial" w:eastAsia="Arial" w:hAnsi="Arial"/>
                <w:sz w:val="10"/>
                <w:szCs w:val="10"/>
                <w:color w:val="auto"/>
              </w:rPr>
              <w:t>Noninterest income</w:t>
            </w:r>
          </w:p>
        </w:tc>
        <w:tc>
          <w:tcPr>
            <w:tcW w:w="240" w:type="dxa"/>
            <w:vAlign w:val="bottom"/>
          </w:tcPr>
          <w:p>
            <w:pPr>
              <w:spacing w:after="0"/>
              <w:rPr>
                <w:sz w:val="11"/>
                <w:szCs w:val="11"/>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42,773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92"/>
              <w:spacing w:after="0"/>
              <w:rPr>
                <w:sz w:val="20"/>
                <w:szCs w:val="20"/>
                <w:color w:val="auto"/>
              </w:rPr>
            </w:pPr>
            <w:r>
              <w:rPr>
                <w:rFonts w:ascii="Arial" w:cs="Arial" w:eastAsia="Arial" w:hAnsi="Arial"/>
                <w:sz w:val="10"/>
                <w:szCs w:val="10"/>
                <w:color w:val="auto"/>
              </w:rPr>
              <w:t>36,723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6,050</w:t>
            </w:r>
          </w:p>
        </w:tc>
        <w:tc>
          <w:tcPr>
            <w:tcW w:w="8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16.5 %</w:t>
            </w:r>
          </w:p>
        </w:tc>
      </w:tr>
      <w:tr>
        <w:trPr>
          <w:trHeight w:val="138"/>
        </w:trPr>
        <w:tc>
          <w:tcPr>
            <w:tcW w:w="3840" w:type="dxa"/>
            <w:vAlign w:val="bottom"/>
            <w:shd w:val="clear" w:color="auto" w:fill="CCEEFF"/>
          </w:tcPr>
          <w:p>
            <w:pPr>
              <w:spacing w:after="0"/>
              <w:rPr>
                <w:sz w:val="20"/>
                <w:szCs w:val="20"/>
                <w:color w:val="auto"/>
              </w:rPr>
            </w:pPr>
            <w:r>
              <w:rPr>
                <w:rFonts w:ascii="Arial" w:cs="Arial" w:eastAsia="Arial" w:hAnsi="Arial"/>
                <w:sz w:val="10"/>
                <w:szCs w:val="10"/>
                <w:color w:val="auto"/>
              </w:rPr>
              <w:t>Noninterest expense</w:t>
            </w: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132,589</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115,979</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16,610</w:t>
            </w:r>
          </w:p>
        </w:tc>
        <w:tc>
          <w:tcPr>
            <w:tcW w:w="80" w:type="dxa"/>
            <w:vAlign w:val="bottom"/>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14.3 %</w:t>
            </w:r>
          </w:p>
        </w:tc>
      </w:tr>
      <w:tr>
        <w:trPr>
          <w:trHeight w:val="121"/>
        </w:trPr>
        <w:tc>
          <w:tcPr>
            <w:tcW w:w="384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Income before income taxes</w:t>
            </w: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51,871</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55,263</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(3,392)</w:t>
            </w:r>
          </w:p>
        </w:tc>
        <w:tc>
          <w:tcPr>
            <w:tcW w:w="80" w:type="dxa"/>
            <w:vAlign w:val="bottom"/>
            <w:tcBorders>
              <w:bottom w:val="single" w:sz="8" w:color="CCEEFF"/>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w:t>
            </w:r>
          </w:p>
        </w:tc>
      </w:tr>
      <w:tr>
        <w:trPr>
          <w:trHeight w:val="127"/>
        </w:trPr>
        <w:tc>
          <w:tcPr>
            <w:tcW w:w="3840" w:type="dxa"/>
            <w:vAlign w:val="bottom"/>
            <w:shd w:val="clear" w:color="auto" w:fill="CCEEFF"/>
          </w:tcPr>
          <w:p>
            <w:pPr>
              <w:spacing w:after="0"/>
              <w:rPr>
                <w:sz w:val="20"/>
                <w:szCs w:val="20"/>
                <w:color w:val="auto"/>
              </w:rPr>
            </w:pPr>
            <w:r>
              <w:rPr>
                <w:rFonts w:ascii="Arial" w:cs="Arial" w:eastAsia="Arial" w:hAnsi="Arial"/>
                <w:sz w:val="10"/>
                <w:szCs w:val="10"/>
                <w:color w:val="auto"/>
              </w:rPr>
              <w:t>Income tax expense</w:t>
            </w:r>
          </w:p>
        </w:tc>
        <w:tc>
          <w:tcPr>
            <w:tcW w:w="2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12,481</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13,130</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(649)</w:t>
            </w:r>
          </w:p>
        </w:tc>
        <w:tc>
          <w:tcPr>
            <w:tcW w:w="80" w:type="dxa"/>
            <w:vAlign w:val="bottom"/>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w:t>
            </w:r>
          </w:p>
        </w:tc>
      </w:tr>
      <w:tr>
        <w:trPr>
          <w:trHeight w:val="121"/>
        </w:trPr>
        <w:tc>
          <w:tcPr>
            <w:tcW w:w="384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Net income</w:t>
            </w: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39,390</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42,133</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(2,743)</w:t>
            </w:r>
          </w:p>
        </w:tc>
        <w:tc>
          <w:tcPr>
            <w:tcW w:w="80" w:type="dxa"/>
            <w:vAlign w:val="bottom"/>
            <w:tcBorders>
              <w:bottom w:val="single" w:sz="8" w:color="CCEEFF"/>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w:t>
            </w:r>
          </w:p>
        </w:tc>
      </w:tr>
      <w:tr>
        <w:trPr>
          <w:trHeight w:val="127"/>
        </w:trPr>
        <w:tc>
          <w:tcPr>
            <w:tcW w:w="3840" w:type="dxa"/>
            <w:vAlign w:val="bottom"/>
            <w:tcBorders>
              <w:bottom w:val="single" w:sz="8" w:color="CCEEFF"/>
            </w:tcBorders>
            <w:shd w:val="clear" w:color="auto" w:fill="CCEEFF"/>
          </w:tcPr>
          <w:p>
            <w:pPr>
              <w:ind w:left="80"/>
              <w:spacing w:after="0" w:line="127" w:lineRule="exact"/>
              <w:rPr>
                <w:sz w:val="20"/>
                <w:szCs w:val="20"/>
                <w:color w:val="auto"/>
              </w:rPr>
            </w:pPr>
            <w:r>
              <w:rPr>
                <w:rFonts w:ascii="Arial" w:cs="Arial" w:eastAsia="Arial" w:hAnsi="Arial"/>
                <w:sz w:val="10"/>
                <w:szCs w:val="10"/>
                <w:color w:val="auto"/>
              </w:rPr>
              <w:t>Core net income</w:t>
            </w:r>
            <w:r>
              <w:rPr>
                <w:rFonts w:ascii="Arial" w:cs="Arial" w:eastAsia="Arial" w:hAnsi="Arial"/>
                <w:sz w:val="12"/>
                <w:szCs w:val="12"/>
                <w:color w:val="auto"/>
                <w:vertAlign w:val="superscript"/>
              </w:rPr>
              <w:t>(1)</w:t>
            </w: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40,967</w:t>
            </w: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41,253</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(286)</w:t>
            </w:r>
          </w:p>
        </w:tc>
        <w:tc>
          <w:tcPr>
            <w:tcW w:w="8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(0.7)%</w:t>
            </w:r>
          </w:p>
        </w:tc>
      </w:tr>
      <w:tr>
        <w:trPr>
          <w:trHeight w:val="169"/>
        </w:trPr>
        <w:tc>
          <w:tcPr>
            <w:tcW w:w="3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35"/>
        </w:trPr>
        <w:tc>
          <w:tcPr>
            <w:tcW w:w="3840" w:type="dxa"/>
            <w:vAlign w:val="bottom"/>
            <w:shd w:val="clear" w:color="auto" w:fill="CCEEFF"/>
          </w:tcPr>
          <w:p>
            <w:pPr>
              <w:spacing w:after="0" w:line="135" w:lineRule="exact"/>
              <w:rPr>
                <w:sz w:val="20"/>
                <w:szCs w:val="20"/>
                <w:color w:val="auto"/>
              </w:rPr>
            </w:pPr>
            <w:r>
              <w:rPr>
                <w:rFonts w:ascii="Arial" w:cs="Arial" w:eastAsia="Arial" w:hAnsi="Arial"/>
                <w:sz w:val="10"/>
                <w:szCs w:val="10"/>
                <w:color w:val="auto"/>
              </w:rPr>
              <w:t xml:space="preserve">Pre-tax pre-provision net revenue ("PPNR") </w:t>
            </w:r>
            <w:r>
              <w:rPr>
                <w:rFonts w:ascii="Arial" w:cs="Arial" w:eastAsia="Arial" w:hAnsi="Arial"/>
                <w:sz w:val="12"/>
                <w:szCs w:val="12"/>
                <w:color w:val="auto"/>
                <w:vertAlign w:val="superscript"/>
              </w:rPr>
              <w:t>(1)</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63,589</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66,457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(2,868)</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w:t>
            </w:r>
          </w:p>
        </w:tc>
      </w:tr>
      <w:tr>
        <w:trPr>
          <w:trHeight w:val="135"/>
        </w:trPr>
        <w:tc>
          <w:tcPr>
            <w:tcW w:w="3840" w:type="dxa"/>
            <w:vAlign w:val="bottom"/>
          </w:tcPr>
          <w:p>
            <w:pPr>
              <w:spacing w:after="0" w:line="135" w:lineRule="exact"/>
              <w:rPr>
                <w:sz w:val="20"/>
                <w:szCs w:val="20"/>
                <w:color w:val="auto"/>
              </w:rPr>
            </w:pPr>
            <w:r>
              <w:rPr>
                <w:rFonts w:ascii="Arial" w:cs="Arial" w:eastAsia="Arial" w:hAnsi="Arial"/>
                <w:sz w:val="10"/>
                <w:szCs w:val="10"/>
                <w:color w:val="auto"/>
              </w:rPr>
              <w:t>Core PPNR</w:t>
            </w:r>
            <w:r>
              <w:rPr>
                <w:rFonts w:ascii="Arial" w:cs="Arial" w:eastAsia="Arial" w:hAnsi="Arial"/>
                <w:sz w:val="12"/>
                <w:szCs w:val="12"/>
                <w:color w:val="auto"/>
                <w:vertAlign w:val="superscript"/>
              </w:rPr>
              <w:t>(1)</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65,166</w:t>
            </w:r>
          </w:p>
        </w:tc>
        <w:tc>
          <w:tcPr>
            <w:tcW w:w="80" w:type="dxa"/>
            <w:vAlign w:val="bottom"/>
          </w:tcPr>
          <w:p>
            <w:pPr>
              <w:spacing w:after="0"/>
              <w:rPr>
                <w:sz w:val="11"/>
                <w:szCs w:val="11"/>
                <w:color w:val="auto"/>
              </w:rPr>
            </w:pPr>
          </w:p>
        </w:tc>
        <w:tc>
          <w:tcPr>
            <w:tcW w:w="2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92"/>
              <w:spacing w:after="0"/>
              <w:rPr>
                <w:sz w:val="20"/>
                <w:szCs w:val="20"/>
                <w:color w:val="auto"/>
              </w:rPr>
            </w:pPr>
            <w:r>
              <w:rPr>
                <w:rFonts w:ascii="Arial" w:cs="Arial" w:eastAsia="Arial" w:hAnsi="Arial"/>
                <w:sz w:val="10"/>
                <w:szCs w:val="10"/>
                <w:color w:val="auto"/>
              </w:rPr>
              <w:t>65,200</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(34)</w:t>
            </w:r>
          </w:p>
        </w:tc>
        <w:tc>
          <w:tcPr>
            <w:tcW w:w="8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(0.1)%</w:t>
            </w:r>
          </w:p>
        </w:tc>
      </w:tr>
      <w:tr>
        <w:trPr>
          <w:trHeight w:val="144"/>
        </w:trPr>
        <w:tc>
          <w:tcPr>
            <w:tcW w:w="3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34"/>
        </w:trPr>
        <w:tc>
          <w:tcPr>
            <w:tcW w:w="3840" w:type="dxa"/>
            <w:vAlign w:val="bottom"/>
          </w:tcPr>
          <w:p>
            <w:pPr>
              <w:spacing w:after="0"/>
              <w:rPr>
                <w:sz w:val="20"/>
                <w:szCs w:val="20"/>
                <w:color w:val="auto"/>
              </w:rPr>
            </w:pPr>
            <w:r>
              <w:rPr>
                <w:rFonts w:ascii="Arial" w:cs="Arial" w:eastAsia="Arial" w:hAnsi="Arial"/>
                <w:sz w:val="10"/>
                <w:szCs w:val="10"/>
                <w:b w:val="1"/>
                <w:bCs w:val="1"/>
                <w:color w:val="auto"/>
              </w:rPr>
              <w:t>Common Share Data</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6"/>
        </w:trPr>
        <w:tc>
          <w:tcPr>
            <w:tcW w:w="3840" w:type="dxa"/>
            <w:vAlign w:val="bottom"/>
            <w:shd w:val="clear" w:color="auto" w:fill="CCEEFF"/>
          </w:tcPr>
          <w:p>
            <w:pPr>
              <w:spacing w:after="0"/>
              <w:rPr>
                <w:sz w:val="20"/>
                <w:szCs w:val="20"/>
                <w:color w:val="auto"/>
              </w:rPr>
            </w:pPr>
            <w:r>
              <w:rPr>
                <w:rFonts w:ascii="Arial" w:cs="Arial" w:eastAsia="Arial" w:hAnsi="Arial"/>
                <w:sz w:val="10"/>
                <w:szCs w:val="10"/>
                <w:color w:val="auto"/>
              </w:rPr>
              <w:t>Earnings per share - Basic</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2.42</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2.54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(0.12)</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w:t>
            </w:r>
          </w:p>
        </w:tc>
      </w:tr>
      <w:tr>
        <w:trPr>
          <w:trHeight w:val="132"/>
        </w:trPr>
        <w:tc>
          <w:tcPr>
            <w:tcW w:w="3840" w:type="dxa"/>
            <w:vAlign w:val="bottom"/>
          </w:tcPr>
          <w:p>
            <w:pPr>
              <w:spacing w:after="0"/>
              <w:rPr>
                <w:sz w:val="20"/>
                <w:szCs w:val="20"/>
                <w:color w:val="auto"/>
              </w:rPr>
            </w:pPr>
            <w:r>
              <w:rPr>
                <w:rFonts w:ascii="Arial" w:cs="Arial" w:eastAsia="Arial" w:hAnsi="Arial"/>
                <w:sz w:val="10"/>
                <w:szCs w:val="10"/>
                <w:color w:val="auto"/>
              </w:rPr>
              <w:t>Earnings per share - Diluted</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2.40</w:t>
            </w:r>
          </w:p>
        </w:tc>
        <w:tc>
          <w:tcPr>
            <w:tcW w:w="80" w:type="dxa"/>
            <w:vAlign w:val="bottom"/>
          </w:tcPr>
          <w:p>
            <w:pPr>
              <w:spacing w:after="0"/>
              <w:rPr>
                <w:sz w:val="11"/>
                <w:szCs w:val="11"/>
                <w:color w:val="auto"/>
              </w:rPr>
            </w:pPr>
          </w:p>
        </w:tc>
        <w:tc>
          <w:tcPr>
            <w:tcW w:w="2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92"/>
              <w:spacing w:after="0"/>
              <w:rPr>
                <w:sz w:val="20"/>
                <w:szCs w:val="20"/>
                <w:color w:val="auto"/>
              </w:rPr>
            </w:pPr>
            <w:r>
              <w:rPr>
                <w:rFonts w:ascii="Arial" w:cs="Arial" w:eastAsia="Arial" w:hAnsi="Arial"/>
                <w:sz w:val="10"/>
                <w:szCs w:val="10"/>
                <w:color w:val="auto"/>
              </w:rPr>
              <w:t>2.50</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(0.10)</w:t>
            </w:r>
          </w:p>
        </w:tc>
        <w:tc>
          <w:tcPr>
            <w:tcW w:w="8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(4.0)%</w:t>
            </w:r>
          </w:p>
        </w:tc>
      </w:tr>
      <w:tr>
        <w:trPr>
          <w:trHeight w:val="138"/>
        </w:trPr>
        <w:tc>
          <w:tcPr>
            <w:tcW w:w="3840" w:type="dxa"/>
            <w:vAlign w:val="bottom"/>
            <w:shd w:val="clear" w:color="auto" w:fill="CCEEFF"/>
          </w:tcPr>
          <w:p>
            <w:pPr>
              <w:spacing w:after="0"/>
              <w:rPr>
                <w:sz w:val="20"/>
                <w:szCs w:val="20"/>
                <w:color w:val="auto"/>
              </w:rPr>
            </w:pPr>
            <w:r>
              <w:rPr>
                <w:rFonts w:ascii="Arial" w:cs="Arial" w:eastAsia="Arial" w:hAnsi="Arial"/>
                <w:sz w:val="10"/>
                <w:szCs w:val="10"/>
                <w:color w:val="auto"/>
              </w:rPr>
              <w:t>Core earnings per share - Diluted</w:t>
            </w:r>
            <w:r>
              <w:rPr>
                <w:rFonts w:ascii="Arial" w:cs="Arial" w:eastAsia="Arial" w:hAnsi="Arial"/>
                <w:sz w:val="12"/>
                <w:szCs w:val="12"/>
                <w:color w:val="auto"/>
                <w:vertAlign w:val="superscript"/>
              </w:rPr>
              <w:t>(1)</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2.49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0.04</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1.6 %</w:t>
            </w:r>
          </w:p>
        </w:tc>
      </w:tr>
      <w:tr>
        <w:trPr>
          <w:trHeight w:val="132"/>
        </w:trPr>
        <w:tc>
          <w:tcPr>
            <w:tcW w:w="3840" w:type="dxa"/>
            <w:vAlign w:val="bottom"/>
          </w:tcPr>
          <w:p>
            <w:pPr>
              <w:spacing w:after="0"/>
              <w:rPr>
                <w:sz w:val="20"/>
                <w:szCs w:val="20"/>
                <w:color w:val="auto"/>
              </w:rPr>
            </w:pPr>
            <w:r>
              <w:rPr>
                <w:rFonts w:ascii="Arial" w:cs="Arial" w:eastAsia="Arial" w:hAnsi="Arial"/>
                <w:sz w:val="10"/>
                <w:szCs w:val="10"/>
                <w:color w:val="auto"/>
              </w:rPr>
              <w:t>Weighted average common shares - Basic</w:t>
            </w:r>
          </w:p>
        </w:tc>
        <w:tc>
          <w:tcPr>
            <w:tcW w:w="240" w:type="dxa"/>
            <w:vAlign w:val="bottom"/>
          </w:tcPr>
          <w:p>
            <w:pPr>
              <w:spacing w:after="0"/>
              <w:rPr>
                <w:sz w:val="11"/>
                <w:szCs w:val="11"/>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16,309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92"/>
              <w:spacing w:after="0"/>
              <w:rPr>
                <w:sz w:val="20"/>
                <w:szCs w:val="20"/>
                <w:color w:val="auto"/>
              </w:rPr>
            </w:pPr>
            <w:r>
              <w:rPr>
                <w:rFonts w:ascii="Arial" w:cs="Arial" w:eastAsia="Arial" w:hAnsi="Arial"/>
                <w:sz w:val="10"/>
                <w:szCs w:val="10"/>
                <w:color w:val="auto"/>
              </w:rPr>
              <w:t>16,611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8"/>
        </w:trPr>
        <w:tc>
          <w:tcPr>
            <w:tcW w:w="3840" w:type="dxa"/>
            <w:vAlign w:val="bottom"/>
            <w:shd w:val="clear" w:color="auto" w:fill="CCEEFF"/>
          </w:tcPr>
          <w:p>
            <w:pPr>
              <w:spacing w:after="0"/>
              <w:rPr>
                <w:sz w:val="20"/>
                <w:szCs w:val="20"/>
                <w:color w:val="auto"/>
              </w:rPr>
            </w:pPr>
            <w:r>
              <w:rPr>
                <w:rFonts w:ascii="Arial" w:cs="Arial" w:eastAsia="Arial" w:hAnsi="Arial"/>
                <w:sz w:val="10"/>
                <w:szCs w:val="10"/>
                <w:color w:val="auto"/>
              </w:rPr>
              <w:t>Weighted average common shares - Diluted</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16,437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16,850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4"/>
        </w:trPr>
        <w:tc>
          <w:tcPr>
            <w:tcW w:w="3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35"/>
        </w:trPr>
        <w:tc>
          <w:tcPr>
            <w:tcW w:w="38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Return Ratios</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32"/>
        </w:trPr>
        <w:tc>
          <w:tcPr>
            <w:tcW w:w="3840" w:type="dxa"/>
            <w:vAlign w:val="bottom"/>
          </w:tcPr>
          <w:p>
            <w:pPr>
              <w:spacing w:after="0"/>
              <w:rPr>
                <w:sz w:val="20"/>
                <w:szCs w:val="20"/>
                <w:color w:val="auto"/>
              </w:rPr>
            </w:pPr>
            <w:r>
              <w:rPr>
                <w:rFonts w:ascii="Arial" w:cs="Arial" w:eastAsia="Arial" w:hAnsi="Arial"/>
                <w:sz w:val="10"/>
                <w:szCs w:val="10"/>
                <w:color w:val="auto"/>
              </w:rPr>
              <w:t>Return on average assets (annualized)</w:t>
            </w: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1.41 %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1.71 %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8"/>
        </w:trPr>
        <w:tc>
          <w:tcPr>
            <w:tcW w:w="3840" w:type="dxa"/>
            <w:vAlign w:val="bottom"/>
            <w:shd w:val="clear" w:color="auto" w:fill="CCEEFF"/>
          </w:tcPr>
          <w:p>
            <w:pPr>
              <w:spacing w:after="0"/>
              <w:rPr>
                <w:sz w:val="20"/>
                <w:szCs w:val="20"/>
                <w:color w:val="auto"/>
              </w:rPr>
            </w:pPr>
            <w:r>
              <w:rPr>
                <w:rFonts w:ascii="Arial" w:cs="Arial" w:eastAsia="Arial" w:hAnsi="Arial"/>
                <w:sz w:val="10"/>
                <w:szCs w:val="10"/>
                <w:color w:val="auto"/>
              </w:rPr>
              <w:t>Core return on average assets (annualized)</w:t>
            </w:r>
            <w:r>
              <w:rPr>
                <w:rFonts w:ascii="Arial" w:cs="Arial" w:eastAsia="Arial" w:hAnsi="Arial"/>
                <w:sz w:val="12"/>
                <w:szCs w:val="12"/>
                <w:color w:val="auto"/>
                <w:vertAlign w:val="superscript"/>
              </w:rPr>
              <w:t>(1)</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1.47 %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1.67 %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32"/>
        </w:trPr>
        <w:tc>
          <w:tcPr>
            <w:tcW w:w="3840" w:type="dxa"/>
            <w:vAlign w:val="bottom"/>
          </w:tcPr>
          <w:p>
            <w:pPr>
              <w:spacing w:after="0"/>
              <w:rPr>
                <w:sz w:val="20"/>
                <w:szCs w:val="20"/>
                <w:color w:val="auto"/>
              </w:rPr>
            </w:pPr>
            <w:r>
              <w:rPr>
                <w:rFonts w:ascii="Arial" w:cs="Arial" w:eastAsia="Arial" w:hAnsi="Arial"/>
                <w:sz w:val="10"/>
                <w:szCs w:val="10"/>
                <w:color w:val="auto"/>
              </w:rPr>
              <w:t>Return on average equity (annualized)</w:t>
            </w: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12.66 %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15.10 %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8"/>
        </w:trPr>
        <w:tc>
          <w:tcPr>
            <w:tcW w:w="3840" w:type="dxa"/>
            <w:vAlign w:val="bottom"/>
            <w:shd w:val="clear" w:color="auto" w:fill="CCEEFF"/>
          </w:tcPr>
          <w:p>
            <w:pPr>
              <w:spacing w:after="0"/>
              <w:rPr>
                <w:sz w:val="20"/>
                <w:szCs w:val="20"/>
                <w:color w:val="auto"/>
              </w:rPr>
            </w:pPr>
            <w:r>
              <w:rPr>
                <w:rFonts w:ascii="Arial" w:cs="Arial" w:eastAsia="Arial" w:hAnsi="Arial"/>
                <w:sz w:val="10"/>
                <w:szCs w:val="10"/>
                <w:color w:val="auto"/>
              </w:rPr>
              <w:t xml:space="preserve">Core return on average equity (annualized) </w:t>
            </w:r>
            <w:r>
              <w:rPr>
                <w:rFonts w:ascii="Arial" w:cs="Arial" w:eastAsia="Arial" w:hAnsi="Arial"/>
                <w:sz w:val="12"/>
                <w:szCs w:val="12"/>
                <w:color w:val="auto"/>
                <w:vertAlign w:val="superscript"/>
              </w:rPr>
              <w:t>(1)</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13.17 %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14.79 %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35"/>
        </w:trPr>
        <w:tc>
          <w:tcPr>
            <w:tcW w:w="3840" w:type="dxa"/>
            <w:vAlign w:val="bottom"/>
          </w:tcPr>
          <w:p>
            <w:pPr>
              <w:spacing w:after="0" w:line="135" w:lineRule="exact"/>
              <w:rPr>
                <w:sz w:val="20"/>
                <w:szCs w:val="20"/>
                <w:color w:val="auto"/>
              </w:rPr>
            </w:pPr>
            <w:r>
              <w:rPr>
                <w:rFonts w:ascii="Arial" w:cs="Arial" w:eastAsia="Arial" w:hAnsi="Arial"/>
                <w:sz w:val="10"/>
                <w:szCs w:val="10"/>
                <w:color w:val="auto"/>
              </w:rPr>
              <w:t>Return on average tangible common equity (annualized)</w:t>
            </w:r>
            <w:r>
              <w:rPr>
                <w:rFonts w:ascii="Arial" w:cs="Arial" w:eastAsia="Arial" w:hAnsi="Arial"/>
                <w:sz w:val="12"/>
                <w:szCs w:val="12"/>
                <w:color w:val="auto"/>
                <w:vertAlign w:val="superscript"/>
              </w:rPr>
              <w:t>(1)</w:t>
            </w: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14.24 %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17.06 %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3840" w:type="dxa"/>
            <w:vAlign w:val="bottom"/>
            <w:shd w:val="clear" w:color="auto" w:fill="CCEEFF"/>
          </w:tcPr>
          <w:p>
            <w:pPr>
              <w:spacing w:after="0" w:line="135" w:lineRule="exact"/>
              <w:rPr>
                <w:sz w:val="20"/>
                <w:szCs w:val="20"/>
                <w:color w:val="auto"/>
              </w:rPr>
            </w:pPr>
            <w:r>
              <w:rPr>
                <w:rFonts w:ascii="Arial" w:cs="Arial" w:eastAsia="Arial" w:hAnsi="Arial"/>
                <w:sz w:val="10"/>
                <w:szCs w:val="10"/>
                <w:color w:val="auto"/>
              </w:rPr>
              <w:t>Core return on average tangible common equity (annualized)</w:t>
            </w:r>
            <w:r>
              <w:rPr>
                <w:rFonts w:ascii="Arial" w:cs="Arial" w:eastAsia="Arial" w:hAnsi="Arial"/>
                <w:sz w:val="12"/>
                <w:szCs w:val="12"/>
                <w:color w:val="auto"/>
                <w:vertAlign w:val="superscript"/>
              </w:rPr>
              <w:t>(1)</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14.80 %</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16.70 %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bl>
    <w:p>
      <w:pPr>
        <w:spacing w:after="0" w:line="41"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w:t>
      </w:r>
    </w:p>
    <w:p>
      <w:pPr>
        <w:ind w:left="208" w:hanging="208"/>
        <w:spacing w:after="0" w:line="221" w:lineRule="auto"/>
        <w:tabs>
          <w:tab w:leader="none" w:pos="208" w:val="left"/>
        </w:tabs>
        <w:numPr>
          <w:ilvl w:val="0"/>
          <w:numId w:val="25"/>
        </w:numPr>
        <w:rPr>
          <w:rFonts w:ascii="Arial" w:cs="Arial" w:eastAsia="Arial" w:hAnsi="Arial"/>
          <w:sz w:val="11"/>
          <w:szCs w:val="11"/>
          <w:color w:val="auto"/>
          <w:vertAlign w:val="superscript"/>
        </w:rPr>
      </w:pPr>
      <w:r>
        <w:rPr>
          <w:rFonts w:ascii="Arial" w:cs="Arial" w:eastAsia="Arial" w:hAnsi="Arial"/>
          <w:sz w:val="8"/>
          <w:szCs w:val="8"/>
          <w:color w:val="auto"/>
        </w:rPr>
        <w:t>Refer to Appendix for reconciliation of non-GAAP measures.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588"/>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0167"/>
          </w:cols>
          <w:pgMar w:left="292" w:top="1081" w:right="1440" w:bottom="1440" w:gutter="0" w:footer="0" w:header="0"/>
        </w:sectPr>
      </w:pPr>
    </w:p>
    <w:bookmarkStart w:id="15" w:name="page16"/>
    <w:bookmarkEnd w:id="15"/>
    <w:p>
      <w:pPr>
        <w:ind w:left="8"/>
        <w:spacing w:after="0"/>
        <w:rPr>
          <w:sz w:val="20"/>
          <w:szCs w:val="20"/>
          <w:color w:val="auto"/>
        </w:rPr>
      </w:pPr>
      <w:r>
        <w:rPr>
          <w:rFonts w:ascii="Arial" w:cs="Arial" w:eastAsia="Arial" w:hAnsi="Arial"/>
          <w:sz w:val="12"/>
          <w:szCs w:val="12"/>
          <w:b w:val="1"/>
          <w:bCs w:val="1"/>
          <w:u w:val="single" w:color="auto"/>
          <w:color w:val="auto"/>
        </w:rPr>
        <w:t>COMPARATIVE FINANCIAL HIGHLIGHTS - Unaudited (continued)</w:t>
      </w:r>
    </w:p>
    <w:p>
      <w:pPr>
        <w:spacing w:after="0" w:line="210" w:lineRule="exact"/>
        <w:rPr>
          <w:sz w:val="20"/>
          <w:szCs w:val="20"/>
          <w:color w:val="auto"/>
        </w:rPr>
      </w:pPr>
    </w:p>
    <w:tbl>
      <w:tblPr>
        <w:tblLayout w:type="fixed"/>
        <w:tblInd w:w="8" w:type="dxa"/>
        <w:tblCellMar>
          <w:top w:w="0" w:type="dxa"/>
          <w:left w:w="0" w:type="dxa"/>
          <w:bottom w:w="0" w:type="dxa"/>
          <w:right w:w="0" w:type="dxa"/>
        </w:tblCellMar>
      </w:tblPr>
      <w:tr>
        <w:trPr>
          <w:trHeight w:val="132"/>
        </w:trPr>
        <w:tc>
          <w:tcPr>
            <w:tcW w:w="3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0"/>
                <w:szCs w:val="10"/>
                <w:b w:val="1"/>
                <w:bCs w:val="1"/>
                <w:color w:val="auto"/>
              </w:rPr>
              <w:t>Quarter Ended</w:t>
            </w: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4"/>
              </w:rPr>
              <w:t>Quarter Ended</w:t>
            </w: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223"/>
        </w:trPr>
        <w:tc>
          <w:tcPr>
            <w:tcW w:w="3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0"/>
                <w:szCs w:val="10"/>
                <w:b w:val="1"/>
                <w:bCs w:val="1"/>
                <w:color w:val="auto"/>
              </w:rPr>
              <w:t>September 30,</w:t>
            </w: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b w:val="1"/>
                <w:bCs w:val="1"/>
                <w:color w:val="auto"/>
              </w:rPr>
              <w:t>June 30,</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72"/>
              <w:spacing w:after="0"/>
              <w:rPr>
                <w:sz w:val="20"/>
                <w:szCs w:val="20"/>
                <w:color w:val="auto"/>
              </w:rPr>
            </w:pPr>
            <w:r>
              <w:rPr>
                <w:rFonts w:ascii="Arial" w:cs="Arial" w:eastAsia="Arial" w:hAnsi="Arial"/>
                <w:sz w:val="10"/>
                <w:szCs w:val="10"/>
                <w:b w:val="1"/>
                <w:bCs w:val="1"/>
                <w:color w:val="auto"/>
                <w:w w:val="95"/>
              </w:rPr>
              <w:t>March 31,</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December 31,</w:t>
            </w:r>
          </w:p>
        </w:tc>
      </w:tr>
      <w:tr>
        <w:trPr>
          <w:trHeight w:val="124"/>
        </w:trPr>
        <w:tc>
          <w:tcPr>
            <w:tcW w:w="3160" w:type="dxa"/>
            <w:vAlign w:val="bottom"/>
          </w:tcPr>
          <w:p>
            <w:pPr>
              <w:spacing w:after="0"/>
              <w:rPr>
                <w:sz w:val="20"/>
                <w:szCs w:val="20"/>
                <w:color w:val="auto"/>
              </w:rPr>
            </w:pPr>
            <w:r>
              <w:rPr>
                <w:rFonts w:ascii="Arial" w:cs="Arial" w:eastAsia="Arial" w:hAnsi="Arial"/>
                <w:sz w:val="6"/>
                <w:szCs w:val="6"/>
                <w:color w:val="auto"/>
              </w:rPr>
              <w:t>(in thousands, except per share data)</w:t>
            </w:r>
          </w:p>
        </w:tc>
        <w:tc>
          <w:tcPr>
            <w:tcW w:w="320" w:type="dxa"/>
            <w:vAlign w:val="bottom"/>
          </w:tcPr>
          <w:p>
            <w:pPr>
              <w:spacing w:after="0"/>
              <w:rPr>
                <w:sz w:val="10"/>
                <w:szCs w:val="10"/>
                <w:color w:val="auto"/>
              </w:rPr>
            </w:pPr>
          </w:p>
        </w:tc>
        <w:tc>
          <w:tcPr>
            <w:tcW w:w="1020" w:type="dxa"/>
            <w:vAlign w:val="bottom"/>
          </w:tcPr>
          <w:p>
            <w:pPr>
              <w:jc w:val="right"/>
              <w:ind w:right="51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tcPr>
          <w:p>
            <w:pPr>
              <w:jc w:val="right"/>
              <w:ind w:right="51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0"/>
                <w:szCs w:val="10"/>
                <w:color w:val="auto"/>
              </w:rPr>
            </w:pPr>
          </w:p>
        </w:tc>
        <w:tc>
          <w:tcPr>
            <w:tcW w:w="1080" w:type="dxa"/>
            <w:vAlign w:val="bottom"/>
            <w:gridSpan w:val="2"/>
          </w:tcPr>
          <w:p>
            <w:pPr>
              <w:ind w:left="280"/>
              <w:spacing w:after="0"/>
              <w:rPr>
                <w:sz w:val="20"/>
                <w:szCs w:val="20"/>
                <w:color w:val="auto"/>
              </w:rPr>
            </w:pPr>
            <w:r>
              <w:rPr>
                <w:rFonts w:ascii="Arial" w:cs="Arial" w:eastAsia="Arial" w:hAnsi="Arial"/>
                <w:sz w:val="9"/>
                <w:szCs w:val="9"/>
                <w:b w:val="1"/>
                <w:bCs w:val="1"/>
                <w:color w:val="auto"/>
              </w:rPr>
              <w:t>% Change</w:t>
            </w:r>
          </w:p>
        </w:tc>
        <w:tc>
          <w:tcPr>
            <w:tcW w:w="280" w:type="dxa"/>
            <w:vAlign w:val="bottom"/>
          </w:tcPr>
          <w:p>
            <w:pPr>
              <w:spacing w:after="0"/>
              <w:rPr>
                <w:sz w:val="10"/>
                <w:szCs w:val="10"/>
                <w:color w:val="auto"/>
              </w:rPr>
            </w:pPr>
          </w:p>
        </w:tc>
        <w:tc>
          <w:tcPr>
            <w:tcW w:w="1060" w:type="dxa"/>
            <w:vAlign w:val="bottom"/>
          </w:tcPr>
          <w:p>
            <w:pPr>
              <w:jc w:val="right"/>
              <w:ind w:right="512"/>
              <w:spacing w:after="0"/>
              <w:rPr>
                <w:sz w:val="20"/>
                <w:szCs w:val="20"/>
                <w:color w:val="auto"/>
              </w:rPr>
            </w:pPr>
            <w:r>
              <w:rPr>
                <w:rFonts w:ascii="Arial" w:cs="Arial" w:eastAsia="Arial" w:hAnsi="Arial"/>
                <w:sz w:val="10"/>
                <w:szCs w:val="10"/>
                <w:b w:val="1"/>
                <w:bCs w:val="1"/>
                <w:color w:val="auto"/>
              </w:rPr>
              <w:t>2026</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72"/>
              <w:spacing w:after="0"/>
              <w:rPr>
                <w:sz w:val="20"/>
                <w:szCs w:val="20"/>
                <w:color w:val="auto"/>
              </w:rPr>
            </w:pPr>
            <w:r>
              <w:rPr>
                <w:rFonts w:ascii="Arial" w:cs="Arial" w:eastAsia="Arial" w:hAnsi="Arial"/>
                <w:sz w:val="10"/>
                <w:szCs w:val="10"/>
                <w:b w:val="1"/>
                <w:bCs w:val="1"/>
                <w:color w:val="auto"/>
                <w:w w:val="89"/>
              </w:rPr>
              <w:t>2026</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right"/>
              <w:ind w:right="512"/>
              <w:spacing w:after="0"/>
              <w:rPr>
                <w:sz w:val="20"/>
                <w:szCs w:val="20"/>
                <w:color w:val="auto"/>
              </w:rPr>
            </w:pPr>
            <w:r>
              <w:rPr>
                <w:rFonts w:ascii="Arial" w:cs="Arial" w:eastAsia="Arial" w:hAnsi="Arial"/>
                <w:sz w:val="10"/>
                <w:szCs w:val="10"/>
                <w:b w:val="1"/>
                <w:bCs w:val="1"/>
                <w:color w:val="auto"/>
              </w:rPr>
              <w:t>2025</w:t>
            </w:r>
          </w:p>
        </w:tc>
      </w:tr>
      <w:tr>
        <w:trPr>
          <w:trHeight w:val="116"/>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Balance Sheet Highlights</w:t>
            </w:r>
          </w:p>
        </w:tc>
        <w:tc>
          <w:tcPr>
            <w:tcW w:w="32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r>
      <w:tr>
        <w:trPr>
          <w:trHeight w:val="132"/>
        </w:trPr>
        <w:tc>
          <w:tcPr>
            <w:tcW w:w="3160" w:type="dxa"/>
            <w:vAlign w:val="bottom"/>
          </w:tcPr>
          <w:p>
            <w:pPr>
              <w:spacing w:after="0"/>
              <w:rPr>
                <w:sz w:val="20"/>
                <w:szCs w:val="20"/>
                <w:color w:val="auto"/>
              </w:rPr>
            </w:pPr>
            <w:r>
              <w:rPr>
                <w:rFonts w:ascii="Arial" w:cs="Arial" w:eastAsia="Arial" w:hAnsi="Arial"/>
                <w:sz w:val="10"/>
                <w:szCs w:val="10"/>
                <w:color w:val="auto"/>
              </w:rPr>
              <w:t>Assets</w:t>
            </w: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20" w:type="dxa"/>
            <w:vAlign w:val="bottom"/>
          </w:tcPr>
          <w:p>
            <w:pPr>
              <w:jc w:val="right"/>
              <w:spacing w:after="0"/>
              <w:rPr>
                <w:sz w:val="20"/>
                <w:szCs w:val="20"/>
                <w:color w:val="auto"/>
              </w:rPr>
            </w:pPr>
            <w:r>
              <w:rPr>
                <w:rFonts w:ascii="Arial" w:cs="Arial" w:eastAsia="Arial" w:hAnsi="Arial"/>
                <w:sz w:val="10"/>
                <w:szCs w:val="10"/>
                <w:color w:val="auto"/>
              </w:rPr>
              <w:t>3,802,553</w:t>
            </w:r>
          </w:p>
        </w:tc>
        <w:tc>
          <w:tcPr>
            <w:tcW w:w="80" w:type="dxa"/>
            <w:vAlign w:val="bottom"/>
          </w:tcPr>
          <w:p>
            <w:pPr>
              <w:spacing w:after="0"/>
              <w:rPr>
                <w:sz w:val="11"/>
                <w:szCs w:val="11"/>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3,389,442</w:t>
            </w:r>
          </w:p>
        </w:tc>
        <w:tc>
          <w:tcPr>
            <w:tcW w:w="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12.2 %</w:t>
            </w:r>
          </w:p>
        </w:tc>
        <w:tc>
          <w:tcPr>
            <w:tcW w:w="60" w:type="dxa"/>
            <w:vAlign w:val="bottom"/>
          </w:tcPr>
          <w:p>
            <w:pPr>
              <w:spacing w:after="0"/>
              <w:rPr>
                <w:sz w:val="11"/>
                <w:szCs w:val="11"/>
                <w:color w:val="auto"/>
              </w:rPr>
            </w:pPr>
          </w:p>
        </w:tc>
        <w:tc>
          <w:tcPr>
            <w:tcW w:w="2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3,889,938</w:t>
            </w:r>
          </w:p>
        </w:tc>
        <w:tc>
          <w:tcPr>
            <w:tcW w:w="60" w:type="dxa"/>
            <w:vAlign w:val="bottom"/>
          </w:tcPr>
          <w:p>
            <w:pPr>
              <w:spacing w:after="0"/>
              <w:rPr>
                <w:sz w:val="11"/>
                <w:szCs w:val="11"/>
                <w:color w:val="auto"/>
              </w:rPr>
            </w:pP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3,808,467</w:t>
            </w:r>
          </w:p>
        </w:tc>
        <w:tc>
          <w:tcPr>
            <w:tcW w:w="6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3,606,207</w:t>
            </w:r>
          </w:p>
        </w:tc>
      </w:tr>
      <w:tr>
        <w:trPr>
          <w:trHeight w:val="138"/>
        </w:trPr>
        <w:tc>
          <w:tcPr>
            <w:tcW w:w="3160" w:type="dxa"/>
            <w:vAlign w:val="bottom"/>
            <w:shd w:val="clear" w:color="auto" w:fill="CCEEFF"/>
          </w:tcPr>
          <w:p>
            <w:pPr>
              <w:spacing w:after="0"/>
              <w:rPr>
                <w:sz w:val="20"/>
                <w:szCs w:val="20"/>
                <w:color w:val="auto"/>
              </w:rPr>
            </w:pPr>
            <w:r>
              <w:rPr>
                <w:rFonts w:ascii="Arial" w:cs="Arial" w:eastAsia="Arial" w:hAnsi="Arial"/>
                <w:sz w:val="10"/>
                <w:szCs w:val="10"/>
                <w:color w:val="auto"/>
              </w:rPr>
              <w:t>Investment securities available-for-sale</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214,486</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232,640</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219,947</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230,525</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230,083</w:t>
            </w:r>
          </w:p>
        </w:tc>
      </w:tr>
      <w:tr>
        <w:trPr>
          <w:trHeight w:val="132"/>
        </w:trPr>
        <w:tc>
          <w:tcPr>
            <w:tcW w:w="3160" w:type="dxa"/>
            <w:vAlign w:val="bottom"/>
          </w:tcPr>
          <w:p>
            <w:pPr>
              <w:spacing w:after="0"/>
              <w:rPr>
                <w:sz w:val="20"/>
                <w:szCs w:val="20"/>
                <w:color w:val="auto"/>
              </w:rPr>
            </w:pPr>
            <w:r>
              <w:rPr>
                <w:rFonts w:ascii="Arial" w:cs="Arial" w:eastAsia="Arial" w:hAnsi="Arial"/>
                <w:sz w:val="10"/>
                <w:szCs w:val="10"/>
                <w:color w:val="auto"/>
              </w:rPr>
              <w:t>Mortgage loans held for sale</w:t>
            </w:r>
          </w:p>
        </w:tc>
        <w:tc>
          <w:tcPr>
            <w:tcW w:w="3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74,251</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14,146</w:t>
            </w:r>
          </w:p>
        </w:tc>
        <w:tc>
          <w:tcPr>
            <w:tcW w:w="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424.9 %</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22,370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13,739</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25,828</w:t>
            </w:r>
          </w:p>
        </w:tc>
      </w:tr>
      <w:tr>
        <w:trPr>
          <w:trHeight w:val="138"/>
        </w:trPr>
        <w:tc>
          <w:tcPr>
            <w:tcW w:w="3160" w:type="dxa"/>
            <w:vAlign w:val="bottom"/>
            <w:shd w:val="clear" w:color="auto" w:fill="CCEEFF"/>
          </w:tcPr>
          <w:p>
            <w:pPr>
              <w:spacing w:after="0"/>
              <w:rPr>
                <w:sz w:val="20"/>
                <w:szCs w:val="20"/>
                <w:color w:val="auto"/>
              </w:rPr>
            </w:pPr>
            <w:r>
              <w:rPr>
                <w:rFonts w:ascii="Arial" w:cs="Arial" w:eastAsia="Arial" w:hAnsi="Arial"/>
                <w:sz w:val="10"/>
                <w:szCs w:val="10"/>
                <w:color w:val="auto"/>
              </w:rPr>
              <w:t xml:space="preserve">Portfolio loans receivable </w:t>
            </w:r>
            <w:r>
              <w:rPr>
                <w:rFonts w:ascii="Arial" w:cs="Arial" w:eastAsia="Arial" w:hAnsi="Arial"/>
                <w:sz w:val="12"/>
                <w:szCs w:val="12"/>
                <w:color w:val="auto"/>
                <w:vertAlign w:val="superscript"/>
              </w:rPr>
              <w:t>(2)</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3,114,264</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2,821,983</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10.4 %</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3,085,950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3,026,431</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2,959,457</w:t>
            </w:r>
          </w:p>
        </w:tc>
      </w:tr>
      <w:tr>
        <w:trPr>
          <w:trHeight w:val="132"/>
        </w:trPr>
        <w:tc>
          <w:tcPr>
            <w:tcW w:w="3160" w:type="dxa"/>
            <w:vAlign w:val="bottom"/>
          </w:tcPr>
          <w:p>
            <w:pPr>
              <w:spacing w:after="0"/>
              <w:rPr>
                <w:sz w:val="20"/>
                <w:szCs w:val="20"/>
                <w:color w:val="auto"/>
              </w:rPr>
            </w:pPr>
            <w:r>
              <w:rPr>
                <w:rFonts w:ascii="Arial" w:cs="Arial" w:eastAsia="Arial" w:hAnsi="Arial"/>
                <w:sz w:val="10"/>
                <w:szCs w:val="10"/>
                <w:color w:val="auto"/>
              </w:rPr>
              <w:t>Allowance for credit losses</w:t>
            </w:r>
          </w:p>
        </w:tc>
        <w:tc>
          <w:tcPr>
            <w:tcW w:w="3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55,493</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53,045</w:t>
            </w:r>
          </w:p>
        </w:tc>
        <w:tc>
          <w:tcPr>
            <w:tcW w:w="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4.6 %</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54,431</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54,680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54,660</w:t>
            </w:r>
          </w:p>
        </w:tc>
      </w:tr>
      <w:tr>
        <w:trPr>
          <w:trHeight w:val="138"/>
        </w:trPr>
        <w:tc>
          <w:tcPr>
            <w:tcW w:w="3160" w:type="dxa"/>
            <w:vAlign w:val="bottom"/>
            <w:shd w:val="clear" w:color="auto" w:fill="CCEEFF"/>
          </w:tcPr>
          <w:p>
            <w:pPr>
              <w:spacing w:after="0"/>
              <w:rPr>
                <w:sz w:val="20"/>
                <w:szCs w:val="20"/>
                <w:color w:val="auto"/>
              </w:rPr>
            </w:pPr>
            <w:r>
              <w:rPr>
                <w:rFonts w:ascii="Arial" w:cs="Arial" w:eastAsia="Arial" w:hAnsi="Arial"/>
                <w:sz w:val="10"/>
                <w:szCs w:val="10"/>
                <w:color w:val="auto"/>
              </w:rPr>
              <w:t>Goodwill</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25,969</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25,969</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 %</w:t>
            </w: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25,969</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25,969</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25,969</w:t>
            </w:r>
          </w:p>
        </w:tc>
      </w:tr>
      <w:tr>
        <w:trPr>
          <w:trHeight w:val="132"/>
        </w:trPr>
        <w:tc>
          <w:tcPr>
            <w:tcW w:w="3160" w:type="dxa"/>
            <w:vAlign w:val="bottom"/>
          </w:tcPr>
          <w:p>
            <w:pPr>
              <w:spacing w:after="0"/>
              <w:rPr>
                <w:sz w:val="20"/>
                <w:szCs w:val="20"/>
                <w:color w:val="auto"/>
              </w:rPr>
            </w:pPr>
            <w:r>
              <w:rPr>
                <w:rFonts w:ascii="Arial" w:cs="Arial" w:eastAsia="Arial" w:hAnsi="Arial"/>
                <w:sz w:val="10"/>
                <w:szCs w:val="10"/>
                <w:color w:val="auto"/>
              </w:rPr>
              <w:t>Intangible assets</w:t>
            </w:r>
          </w:p>
        </w:tc>
        <w:tc>
          <w:tcPr>
            <w:tcW w:w="3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13,989</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15,033</w:t>
            </w:r>
          </w:p>
        </w:tc>
        <w:tc>
          <w:tcPr>
            <w:tcW w:w="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(6.9)%</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14,250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14,511</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14,771</w:t>
            </w:r>
          </w:p>
        </w:tc>
      </w:tr>
      <w:tr>
        <w:trPr>
          <w:trHeight w:val="138"/>
        </w:trPr>
        <w:tc>
          <w:tcPr>
            <w:tcW w:w="3160" w:type="dxa"/>
            <w:vAlign w:val="bottom"/>
            <w:shd w:val="clear" w:color="auto" w:fill="CCEEFF"/>
          </w:tcPr>
          <w:p>
            <w:pPr>
              <w:spacing w:after="0"/>
              <w:rPr>
                <w:sz w:val="20"/>
                <w:szCs w:val="20"/>
                <w:color w:val="auto"/>
              </w:rPr>
            </w:pPr>
            <w:r>
              <w:rPr>
                <w:rFonts w:ascii="Arial" w:cs="Arial" w:eastAsia="Arial" w:hAnsi="Arial"/>
                <w:sz w:val="10"/>
                <w:szCs w:val="10"/>
                <w:color w:val="auto"/>
              </w:rPr>
              <w:t>Deposits</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3,319,135</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2,912,053</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14.0 %</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3,371,103</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3,292,047</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3,093,200</w:t>
            </w:r>
          </w:p>
        </w:tc>
      </w:tr>
      <w:tr>
        <w:trPr>
          <w:trHeight w:val="132"/>
        </w:trPr>
        <w:tc>
          <w:tcPr>
            <w:tcW w:w="3160" w:type="dxa"/>
            <w:vAlign w:val="bottom"/>
          </w:tcPr>
          <w:p>
            <w:pPr>
              <w:spacing w:after="0"/>
              <w:rPr>
                <w:sz w:val="20"/>
                <w:szCs w:val="20"/>
                <w:color w:val="auto"/>
              </w:rPr>
            </w:pPr>
            <w:r>
              <w:rPr>
                <w:rFonts w:ascii="Arial" w:cs="Arial" w:eastAsia="Arial" w:hAnsi="Arial"/>
                <w:sz w:val="10"/>
                <w:szCs w:val="10"/>
                <w:color w:val="auto"/>
              </w:rPr>
              <w:t>FHLB borrowings</w:t>
            </w:r>
          </w:p>
        </w:tc>
        <w:tc>
          <w:tcPr>
            <w:tcW w:w="32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22,000</w:t>
            </w:r>
          </w:p>
        </w:tc>
        <w:tc>
          <w:tcPr>
            <w:tcW w:w="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(100.0)%</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50,000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50,000</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50,000</w:t>
            </w:r>
          </w:p>
        </w:tc>
      </w:tr>
      <w:tr>
        <w:trPr>
          <w:trHeight w:val="138"/>
        </w:trPr>
        <w:tc>
          <w:tcPr>
            <w:tcW w:w="3160" w:type="dxa"/>
            <w:vAlign w:val="bottom"/>
            <w:shd w:val="clear" w:color="auto" w:fill="CCEEFF"/>
          </w:tcPr>
          <w:p>
            <w:pPr>
              <w:spacing w:after="0"/>
              <w:rPr>
                <w:sz w:val="20"/>
                <w:szCs w:val="20"/>
                <w:color w:val="auto"/>
              </w:rPr>
            </w:pPr>
            <w:r>
              <w:rPr>
                <w:rFonts w:ascii="Arial" w:cs="Arial" w:eastAsia="Arial" w:hAnsi="Arial"/>
                <w:sz w:val="10"/>
                <w:szCs w:val="10"/>
                <w:color w:val="auto"/>
              </w:rPr>
              <w:t>Other borrowed funds</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2,062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12,062</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(82.9)%</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2,062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2,062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2,062</w:t>
            </w:r>
          </w:p>
        </w:tc>
      </w:tr>
      <w:tr>
        <w:trPr>
          <w:trHeight w:val="132"/>
        </w:trPr>
        <w:tc>
          <w:tcPr>
            <w:tcW w:w="3160" w:type="dxa"/>
            <w:vAlign w:val="bottom"/>
          </w:tcPr>
          <w:p>
            <w:pPr>
              <w:spacing w:after="0"/>
              <w:rPr>
                <w:sz w:val="20"/>
                <w:szCs w:val="20"/>
                <w:color w:val="auto"/>
              </w:rPr>
            </w:pPr>
            <w:r>
              <w:rPr>
                <w:rFonts w:ascii="Arial" w:cs="Arial" w:eastAsia="Arial" w:hAnsi="Arial"/>
                <w:sz w:val="10"/>
                <w:szCs w:val="10"/>
                <w:color w:val="auto"/>
              </w:rPr>
              <w:t>Total stockholders' equity</w:t>
            </w:r>
          </w:p>
        </w:tc>
        <w:tc>
          <w:tcPr>
            <w:tcW w:w="3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431,450</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394,770</w:t>
            </w:r>
          </w:p>
        </w:tc>
        <w:tc>
          <w:tcPr>
            <w:tcW w:w="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9.3 %</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422,205</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408,859</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401,757</w:t>
            </w:r>
          </w:p>
        </w:tc>
      </w:tr>
      <w:tr>
        <w:trPr>
          <w:trHeight w:val="138"/>
        </w:trPr>
        <w:tc>
          <w:tcPr>
            <w:tcW w:w="3160" w:type="dxa"/>
            <w:vAlign w:val="bottom"/>
            <w:shd w:val="clear" w:color="auto" w:fill="CCEEFF"/>
          </w:tcPr>
          <w:p>
            <w:pPr>
              <w:spacing w:after="0"/>
              <w:rPr>
                <w:sz w:val="20"/>
                <w:szCs w:val="20"/>
                <w:color w:val="auto"/>
              </w:rPr>
            </w:pPr>
            <w:r>
              <w:rPr>
                <w:rFonts w:ascii="Arial" w:cs="Arial" w:eastAsia="Arial" w:hAnsi="Arial"/>
                <w:sz w:val="10"/>
                <w:szCs w:val="10"/>
                <w:color w:val="auto"/>
              </w:rPr>
              <w:t xml:space="preserve">Tangible common equity </w:t>
            </w:r>
            <w:r>
              <w:rPr>
                <w:rFonts w:ascii="Arial" w:cs="Arial" w:eastAsia="Arial" w:hAnsi="Arial"/>
                <w:sz w:val="12"/>
                <w:szCs w:val="12"/>
                <w:color w:val="auto"/>
                <w:vertAlign w:val="superscript"/>
              </w:rPr>
              <w:t>(1)</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391,492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353,768</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10.7 %</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381,986</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368,379</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361,017</w:t>
            </w:r>
          </w:p>
        </w:tc>
      </w:tr>
      <w:tr>
        <w:trPr>
          <w:trHeight w:val="144"/>
        </w:trPr>
        <w:tc>
          <w:tcPr>
            <w:tcW w:w="3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35"/>
        </w:trPr>
        <w:tc>
          <w:tcPr>
            <w:tcW w:w="3160" w:type="dxa"/>
            <w:vAlign w:val="bottom"/>
            <w:shd w:val="clear" w:color="auto" w:fill="CCEEFF"/>
          </w:tcPr>
          <w:p>
            <w:pPr>
              <w:spacing w:after="0"/>
              <w:rPr>
                <w:sz w:val="20"/>
                <w:szCs w:val="20"/>
                <w:color w:val="auto"/>
              </w:rPr>
            </w:pPr>
            <w:r>
              <w:rPr>
                <w:rFonts w:ascii="Arial" w:cs="Arial" w:eastAsia="Arial" w:hAnsi="Arial"/>
                <w:sz w:val="10"/>
                <w:szCs w:val="10"/>
                <w:color w:val="auto"/>
              </w:rPr>
              <w:t>Common shares outstanding</w:t>
            </w: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16,329</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16,589</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16,289</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16,286</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16,373</w:t>
            </w:r>
          </w:p>
        </w:tc>
      </w:tr>
      <w:tr>
        <w:trPr>
          <w:trHeight w:val="132"/>
        </w:trPr>
        <w:tc>
          <w:tcPr>
            <w:tcW w:w="3160" w:type="dxa"/>
            <w:vAlign w:val="bottom"/>
          </w:tcPr>
          <w:p>
            <w:pPr>
              <w:spacing w:after="0"/>
              <w:rPr>
                <w:sz w:val="20"/>
                <w:szCs w:val="20"/>
                <w:color w:val="auto"/>
              </w:rPr>
            </w:pPr>
            <w:r>
              <w:rPr>
                <w:rFonts w:ascii="Arial" w:cs="Arial" w:eastAsia="Arial" w:hAnsi="Arial"/>
                <w:sz w:val="10"/>
                <w:szCs w:val="10"/>
                <w:color w:val="auto"/>
              </w:rPr>
              <w:t>Book value per share</w:t>
            </w: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20" w:type="dxa"/>
            <w:vAlign w:val="bottom"/>
          </w:tcPr>
          <w:p>
            <w:pPr>
              <w:jc w:val="right"/>
              <w:spacing w:after="0"/>
              <w:rPr>
                <w:sz w:val="20"/>
                <w:szCs w:val="20"/>
                <w:color w:val="auto"/>
              </w:rPr>
            </w:pPr>
            <w:r>
              <w:rPr>
                <w:rFonts w:ascii="Arial" w:cs="Arial" w:eastAsia="Arial" w:hAnsi="Arial"/>
                <w:sz w:val="10"/>
                <w:szCs w:val="10"/>
                <w:color w:val="auto"/>
              </w:rPr>
              <w:t>26.42</w:t>
            </w:r>
          </w:p>
        </w:tc>
        <w:tc>
          <w:tcPr>
            <w:tcW w:w="80" w:type="dxa"/>
            <w:vAlign w:val="bottom"/>
          </w:tcPr>
          <w:p>
            <w:pPr>
              <w:spacing w:after="0"/>
              <w:rPr>
                <w:sz w:val="11"/>
                <w:szCs w:val="11"/>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23.80</w:t>
            </w:r>
          </w:p>
        </w:tc>
        <w:tc>
          <w:tcPr>
            <w:tcW w:w="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11.0 %</w:t>
            </w:r>
          </w:p>
        </w:tc>
        <w:tc>
          <w:tcPr>
            <w:tcW w:w="60" w:type="dxa"/>
            <w:vAlign w:val="bottom"/>
          </w:tcPr>
          <w:p>
            <w:pPr>
              <w:spacing w:after="0"/>
              <w:rPr>
                <w:sz w:val="11"/>
                <w:szCs w:val="11"/>
                <w:color w:val="auto"/>
              </w:rPr>
            </w:pPr>
          </w:p>
        </w:tc>
        <w:tc>
          <w:tcPr>
            <w:tcW w:w="2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25.92</w:t>
            </w:r>
          </w:p>
        </w:tc>
        <w:tc>
          <w:tcPr>
            <w:tcW w:w="60" w:type="dxa"/>
            <w:vAlign w:val="bottom"/>
          </w:tcPr>
          <w:p>
            <w:pPr>
              <w:spacing w:after="0"/>
              <w:rPr>
                <w:sz w:val="11"/>
                <w:szCs w:val="11"/>
                <w:color w:val="auto"/>
              </w:rPr>
            </w:pP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25.10</w:t>
            </w:r>
          </w:p>
        </w:tc>
        <w:tc>
          <w:tcPr>
            <w:tcW w:w="6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24.54</w:t>
            </w:r>
          </w:p>
        </w:tc>
      </w:tr>
      <w:tr>
        <w:trPr>
          <w:trHeight w:val="138"/>
        </w:trPr>
        <w:tc>
          <w:tcPr>
            <w:tcW w:w="3160" w:type="dxa"/>
            <w:vAlign w:val="bottom"/>
            <w:shd w:val="clear" w:color="auto" w:fill="CCEEFF"/>
          </w:tcPr>
          <w:p>
            <w:pPr>
              <w:spacing w:after="0"/>
              <w:rPr>
                <w:sz w:val="20"/>
                <w:szCs w:val="20"/>
                <w:color w:val="auto"/>
              </w:rPr>
            </w:pPr>
            <w:r>
              <w:rPr>
                <w:rFonts w:ascii="Arial" w:cs="Arial" w:eastAsia="Arial" w:hAnsi="Arial"/>
                <w:sz w:val="10"/>
                <w:szCs w:val="10"/>
                <w:color w:val="auto"/>
              </w:rPr>
              <w:t xml:space="preserve">Tangible book value per share </w:t>
            </w:r>
            <w:r>
              <w:rPr>
                <w:rFonts w:ascii="Arial" w:cs="Arial" w:eastAsia="Arial" w:hAnsi="Arial"/>
                <w:sz w:val="12"/>
                <w:szCs w:val="12"/>
                <w:color w:val="auto"/>
                <w:vertAlign w:val="superscript"/>
              </w:rPr>
              <w:t>(1)</w:t>
            </w:r>
          </w:p>
        </w:tc>
        <w:tc>
          <w:tcPr>
            <w:tcW w:w="32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23.98</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21.33</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12.4 %</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23.45</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22.62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22.05</w:t>
            </w:r>
          </w:p>
        </w:tc>
      </w:tr>
      <w:tr>
        <w:trPr>
          <w:trHeight w:val="129"/>
        </w:trPr>
        <w:tc>
          <w:tcPr>
            <w:tcW w:w="3160" w:type="dxa"/>
            <w:vAlign w:val="bottom"/>
          </w:tcPr>
          <w:p>
            <w:pPr>
              <w:spacing w:after="0"/>
              <w:rPr>
                <w:sz w:val="20"/>
                <w:szCs w:val="20"/>
                <w:color w:val="auto"/>
              </w:rPr>
            </w:pPr>
            <w:r>
              <w:rPr>
                <w:rFonts w:ascii="Arial" w:cs="Arial" w:eastAsia="Arial" w:hAnsi="Arial"/>
                <w:sz w:val="10"/>
                <w:szCs w:val="10"/>
                <w:color w:val="auto"/>
              </w:rPr>
              <w:t>Dividends per share</w:t>
            </w: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020" w:type="dxa"/>
            <w:vAlign w:val="bottom"/>
          </w:tcPr>
          <w:p>
            <w:pPr>
              <w:jc w:val="right"/>
              <w:spacing w:after="0"/>
              <w:rPr>
                <w:sz w:val="20"/>
                <w:szCs w:val="20"/>
                <w:color w:val="auto"/>
              </w:rPr>
            </w:pPr>
            <w:r>
              <w:rPr>
                <w:rFonts w:ascii="Arial" w:cs="Arial" w:eastAsia="Arial" w:hAnsi="Arial"/>
                <w:sz w:val="10"/>
                <w:szCs w:val="10"/>
                <w:color w:val="auto"/>
              </w:rPr>
              <w:t>0.14</w:t>
            </w:r>
          </w:p>
        </w:tc>
        <w:tc>
          <w:tcPr>
            <w:tcW w:w="80" w:type="dxa"/>
            <w:vAlign w:val="bottom"/>
          </w:tcPr>
          <w:p>
            <w:pPr>
              <w:spacing w:after="0"/>
              <w:rPr>
                <w:sz w:val="11"/>
                <w:szCs w:val="11"/>
                <w:color w:val="auto"/>
              </w:rPr>
            </w:pP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0.12</w:t>
            </w:r>
          </w:p>
        </w:tc>
        <w:tc>
          <w:tcPr>
            <w:tcW w:w="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16.7 %</w:t>
            </w:r>
          </w:p>
        </w:tc>
        <w:tc>
          <w:tcPr>
            <w:tcW w:w="60" w:type="dxa"/>
            <w:vAlign w:val="bottom"/>
          </w:tcPr>
          <w:p>
            <w:pPr>
              <w:spacing w:after="0"/>
              <w:rPr>
                <w:sz w:val="11"/>
                <w:szCs w:val="11"/>
                <w:color w:val="auto"/>
              </w:rPr>
            </w:pPr>
          </w:p>
        </w:tc>
        <w:tc>
          <w:tcPr>
            <w:tcW w:w="280" w:type="dxa"/>
            <w:vAlign w:val="bottom"/>
          </w:tcPr>
          <w:p>
            <w:pPr>
              <w:jc w:val="right"/>
              <w:ind w:right="152"/>
              <w:spacing w:after="0"/>
              <w:rPr>
                <w:sz w:val="20"/>
                <w:szCs w:val="20"/>
                <w:color w:val="auto"/>
              </w:rPr>
            </w:pPr>
            <w:r>
              <w:rPr>
                <w:rFonts w:ascii="Arial" w:cs="Arial" w:eastAsia="Arial" w:hAnsi="Arial"/>
                <w:sz w:val="10"/>
                <w:szCs w:val="10"/>
                <w:color w:val="auto"/>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0.12</w:t>
            </w:r>
          </w:p>
        </w:tc>
        <w:tc>
          <w:tcPr>
            <w:tcW w:w="60" w:type="dxa"/>
            <w:vAlign w:val="bottom"/>
          </w:tcPr>
          <w:p>
            <w:pPr>
              <w:spacing w:after="0"/>
              <w:rPr>
                <w:sz w:val="11"/>
                <w:szCs w:val="11"/>
                <w:color w:val="auto"/>
              </w:rPr>
            </w:pPr>
          </w:p>
        </w:tc>
        <w:tc>
          <w:tcPr>
            <w:tcW w:w="22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12"/>
              <w:spacing w:after="0"/>
              <w:rPr>
                <w:sz w:val="20"/>
                <w:szCs w:val="20"/>
                <w:color w:val="auto"/>
              </w:rPr>
            </w:pPr>
            <w:r>
              <w:rPr>
                <w:rFonts w:ascii="Arial" w:cs="Arial" w:eastAsia="Arial" w:hAnsi="Arial"/>
                <w:sz w:val="10"/>
                <w:szCs w:val="10"/>
                <w:color w:val="auto"/>
              </w:rPr>
              <w:t>0.12</w:t>
            </w:r>
          </w:p>
        </w:tc>
        <w:tc>
          <w:tcPr>
            <w:tcW w:w="6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0.12</w:t>
            </w:r>
          </w:p>
        </w:tc>
      </w:tr>
    </w:tbl>
    <w:p>
      <w:pPr>
        <w:spacing w:after="0" w:line="47"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w:t>
      </w:r>
    </w:p>
    <w:p>
      <w:pPr>
        <w:ind w:left="208" w:hanging="208"/>
        <w:spacing w:after="0" w:line="221" w:lineRule="auto"/>
        <w:tabs>
          <w:tab w:leader="none" w:pos="208" w:val="left"/>
        </w:tabs>
        <w:numPr>
          <w:ilvl w:val="0"/>
          <w:numId w:val="26"/>
        </w:numPr>
        <w:rPr>
          <w:rFonts w:ascii="Arial" w:cs="Arial" w:eastAsia="Arial" w:hAnsi="Arial"/>
          <w:sz w:val="11"/>
          <w:szCs w:val="11"/>
          <w:color w:val="auto"/>
          <w:vertAlign w:val="superscript"/>
        </w:rPr>
      </w:pPr>
      <w:r>
        <w:rPr>
          <w:rFonts w:ascii="Arial" w:cs="Arial" w:eastAsia="Arial" w:hAnsi="Arial"/>
          <w:sz w:val="8"/>
          <w:szCs w:val="8"/>
          <w:color w:val="auto"/>
        </w:rPr>
        <w:t>Refer to Appendix for reconciliation of non-GAAP measures.</w:t>
      </w:r>
    </w:p>
    <w:p>
      <w:pPr>
        <w:spacing w:after="0" w:line="6" w:lineRule="exact"/>
        <w:rPr>
          <w:rFonts w:ascii="Arial" w:cs="Arial" w:eastAsia="Arial" w:hAnsi="Arial"/>
          <w:sz w:val="11"/>
          <w:szCs w:val="11"/>
          <w:color w:val="auto"/>
          <w:vertAlign w:val="superscript"/>
        </w:rPr>
      </w:pPr>
    </w:p>
    <w:p>
      <w:pPr>
        <w:ind w:left="208" w:hanging="208"/>
        <w:spacing w:after="0" w:line="193" w:lineRule="auto"/>
        <w:tabs>
          <w:tab w:leader="none" w:pos="208" w:val="left"/>
        </w:tabs>
        <w:numPr>
          <w:ilvl w:val="0"/>
          <w:numId w:val="26"/>
        </w:numPr>
        <w:rPr>
          <w:rFonts w:ascii="Arial" w:cs="Arial" w:eastAsia="Arial" w:hAnsi="Arial"/>
          <w:sz w:val="11"/>
          <w:szCs w:val="11"/>
          <w:color w:val="auto"/>
          <w:vertAlign w:val="superscript"/>
        </w:rPr>
      </w:pPr>
      <w:r>
        <w:rPr>
          <w:rFonts w:ascii="Arial" w:cs="Arial" w:eastAsia="Arial" w:hAnsi="Arial"/>
          <w:sz w:val="8"/>
          <w:szCs w:val="8"/>
          <w:color w:val="auto"/>
        </w:rPr>
        <w:t>Loans are reflected net of deferred fees and costs.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228"/>
          </w:cols>
          <w:pgMar w:left="292" w:top="1081" w:right="37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u w:val="single" w:color="auto"/>
          <w:color w:val="auto"/>
        </w:rPr>
        <w:t>Consolidated Statements of Income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6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0"/>
                <w:szCs w:val="10"/>
                <w:b w:val="1"/>
                <w:bCs w:val="1"/>
                <w:color w:val="auto"/>
                <w:w w:val="97"/>
              </w:rPr>
              <w:t>Three Months Ended</w:t>
            </w:r>
          </w:p>
        </w:tc>
        <w:tc>
          <w:tcPr>
            <w:tcW w:w="9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0"/>
                <w:szCs w:val="10"/>
                <w:b w:val="1"/>
                <w:bCs w:val="1"/>
                <w:color w:val="auto"/>
              </w:rPr>
              <w:t>Nine Months Ended</w:t>
            </w:r>
          </w:p>
        </w:tc>
      </w:tr>
      <w:tr>
        <w:trPr>
          <w:trHeight w:val="123"/>
        </w:trPr>
        <w:tc>
          <w:tcPr>
            <w:tcW w:w="3660" w:type="dxa"/>
            <w:vAlign w:val="bottom"/>
          </w:tcPr>
          <w:p>
            <w:pPr>
              <w:spacing w:after="0"/>
              <w:rPr>
                <w:sz w:val="20"/>
                <w:szCs w:val="20"/>
                <w:color w:val="auto"/>
              </w:rPr>
            </w:pPr>
            <w:r>
              <w:rPr>
                <w:rFonts w:ascii="Arial" w:cs="Arial" w:eastAsia="Arial" w:hAnsi="Arial"/>
                <w:sz w:val="7"/>
                <w:szCs w:val="7"/>
                <w:color w:val="auto"/>
              </w:rPr>
              <w:t>(in thousands)</w:t>
            </w:r>
          </w:p>
        </w:tc>
        <w:tc>
          <w:tcPr>
            <w:tcW w:w="60" w:type="dxa"/>
            <w:vAlign w:val="bottom"/>
          </w:tcPr>
          <w:p>
            <w:pPr>
              <w:spacing w:after="0"/>
              <w:rPr>
                <w:sz w:val="10"/>
                <w:szCs w:val="10"/>
                <w:color w:val="auto"/>
              </w:rPr>
            </w:pPr>
          </w:p>
        </w:tc>
        <w:tc>
          <w:tcPr>
            <w:tcW w:w="1040" w:type="dxa"/>
            <w:vAlign w:val="bottom"/>
            <w:gridSpan w:val="2"/>
          </w:tcPr>
          <w:p>
            <w:pPr>
              <w:spacing w:after="0"/>
              <w:rPr>
                <w:sz w:val="20"/>
                <w:szCs w:val="20"/>
                <w:color w:val="auto"/>
              </w:rPr>
            </w:pPr>
            <w:r>
              <w:rPr>
                <w:rFonts w:ascii="Arial" w:cs="Arial" w:eastAsia="Arial" w:hAnsi="Arial"/>
                <w:sz w:val="10"/>
                <w:szCs w:val="10"/>
                <w:b w:val="1"/>
                <w:bCs w:val="1"/>
                <w:color w:val="auto"/>
              </w:rPr>
              <w:t>September 30, 2026</w:t>
            </w:r>
          </w:p>
        </w:tc>
        <w:tc>
          <w:tcPr>
            <w:tcW w:w="100" w:type="dxa"/>
            <w:vAlign w:val="bottom"/>
          </w:tcPr>
          <w:p>
            <w:pPr>
              <w:spacing w:after="0"/>
              <w:rPr>
                <w:sz w:val="10"/>
                <w:szCs w:val="10"/>
                <w:color w:val="auto"/>
              </w:rPr>
            </w:pPr>
          </w:p>
        </w:tc>
        <w:tc>
          <w:tcPr>
            <w:tcW w:w="840" w:type="dxa"/>
            <w:vAlign w:val="bottom"/>
            <w:gridSpan w:val="2"/>
          </w:tcPr>
          <w:p>
            <w:pPr>
              <w:ind w:left="40"/>
              <w:spacing w:after="0"/>
              <w:rPr>
                <w:sz w:val="20"/>
                <w:szCs w:val="20"/>
                <w:color w:val="auto"/>
              </w:rPr>
            </w:pPr>
            <w:r>
              <w:rPr>
                <w:rFonts w:ascii="Arial" w:cs="Arial" w:eastAsia="Arial" w:hAnsi="Arial"/>
                <w:sz w:val="10"/>
                <w:szCs w:val="10"/>
                <w:color w:val="auto"/>
              </w:rPr>
              <w:t>June 30, 2026</w:t>
            </w:r>
          </w:p>
        </w:tc>
        <w:tc>
          <w:tcPr>
            <w:tcW w:w="10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0"/>
                <w:szCs w:val="10"/>
                <w:color w:val="auto"/>
              </w:rPr>
              <w:t>March 31, 2026</w:t>
            </w:r>
          </w:p>
        </w:tc>
        <w:tc>
          <w:tcPr>
            <w:tcW w:w="8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0"/>
                <w:szCs w:val="10"/>
                <w:color w:val="auto"/>
              </w:rPr>
              <w:t>December 31, 2025</w:t>
            </w:r>
          </w:p>
        </w:tc>
        <w:tc>
          <w:tcPr>
            <w:tcW w:w="80" w:type="dxa"/>
            <w:vAlign w:val="bottom"/>
          </w:tcPr>
          <w:p>
            <w:pPr>
              <w:spacing w:after="0"/>
              <w:rPr>
                <w:sz w:val="10"/>
                <w:szCs w:val="10"/>
                <w:color w:val="auto"/>
              </w:rPr>
            </w:pPr>
          </w:p>
        </w:tc>
        <w:tc>
          <w:tcPr>
            <w:tcW w:w="1020" w:type="dxa"/>
            <w:vAlign w:val="bottom"/>
            <w:gridSpan w:val="2"/>
          </w:tcPr>
          <w:p>
            <w:pPr>
              <w:spacing w:after="0"/>
              <w:rPr>
                <w:sz w:val="20"/>
                <w:szCs w:val="20"/>
                <w:color w:val="auto"/>
              </w:rPr>
            </w:pPr>
            <w:r>
              <w:rPr>
                <w:rFonts w:ascii="Arial" w:cs="Arial" w:eastAsia="Arial" w:hAnsi="Arial"/>
                <w:sz w:val="10"/>
                <w:szCs w:val="10"/>
                <w:color w:val="auto"/>
              </w:rPr>
              <w:t>September 30, 2025</w:t>
            </w:r>
          </w:p>
        </w:tc>
        <w:tc>
          <w:tcPr>
            <w:tcW w:w="60" w:type="dxa"/>
            <w:vAlign w:val="bottom"/>
          </w:tcPr>
          <w:p>
            <w:pPr>
              <w:spacing w:after="0"/>
              <w:rPr>
                <w:sz w:val="10"/>
                <w:szCs w:val="10"/>
                <w:color w:val="auto"/>
              </w:rPr>
            </w:pPr>
          </w:p>
        </w:tc>
        <w:tc>
          <w:tcPr>
            <w:tcW w:w="1040" w:type="dxa"/>
            <w:vAlign w:val="bottom"/>
            <w:gridSpan w:val="2"/>
          </w:tcPr>
          <w:p>
            <w:pPr>
              <w:spacing w:after="0"/>
              <w:rPr>
                <w:sz w:val="20"/>
                <w:szCs w:val="20"/>
                <w:color w:val="auto"/>
              </w:rPr>
            </w:pPr>
            <w:r>
              <w:rPr>
                <w:rFonts w:ascii="Arial" w:cs="Arial" w:eastAsia="Arial" w:hAnsi="Arial"/>
                <w:sz w:val="10"/>
                <w:szCs w:val="10"/>
                <w:b w:val="1"/>
                <w:bCs w:val="1"/>
                <w:color w:val="auto"/>
              </w:rPr>
              <w:t>September 30, 2026</w:t>
            </w:r>
          </w:p>
        </w:tc>
        <w:tc>
          <w:tcPr>
            <w:tcW w:w="60" w:type="dxa"/>
            <w:vAlign w:val="bottom"/>
          </w:tcPr>
          <w:p>
            <w:pPr>
              <w:spacing w:after="0"/>
              <w:rPr>
                <w:sz w:val="10"/>
                <w:szCs w:val="10"/>
                <w:color w:val="auto"/>
              </w:rPr>
            </w:pPr>
          </w:p>
        </w:tc>
        <w:tc>
          <w:tcPr>
            <w:tcW w:w="980" w:type="dxa"/>
            <w:vAlign w:val="bottom"/>
          </w:tcPr>
          <w:p>
            <w:pPr>
              <w:jc w:val="right"/>
              <w:ind w:right="52"/>
              <w:spacing w:after="0"/>
              <w:rPr>
                <w:sz w:val="20"/>
                <w:szCs w:val="20"/>
                <w:color w:val="auto"/>
              </w:rPr>
            </w:pPr>
            <w:r>
              <w:rPr>
                <w:rFonts w:ascii="Arial" w:cs="Arial" w:eastAsia="Arial" w:hAnsi="Arial"/>
                <w:sz w:val="10"/>
                <w:szCs w:val="10"/>
                <w:color w:val="auto"/>
                <w:w w:val="94"/>
              </w:rPr>
              <w:t>September 30, 2025</w:t>
            </w:r>
          </w:p>
        </w:tc>
      </w:tr>
      <w:tr>
        <w:trPr>
          <w:trHeight w:val="116"/>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Interest income</w:t>
            </w:r>
          </w:p>
        </w:tc>
        <w:tc>
          <w:tcPr>
            <w:tcW w:w="6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r>
      <w:tr>
        <w:trPr>
          <w:trHeight w:val="134"/>
        </w:trPr>
        <w:tc>
          <w:tcPr>
            <w:tcW w:w="3660" w:type="dxa"/>
            <w:vAlign w:val="bottom"/>
          </w:tcPr>
          <w:p>
            <w:pPr>
              <w:ind w:left="80"/>
              <w:spacing w:after="0"/>
              <w:rPr>
                <w:sz w:val="20"/>
                <w:szCs w:val="20"/>
                <w:color w:val="auto"/>
              </w:rPr>
            </w:pPr>
            <w:r>
              <w:rPr>
                <w:rFonts w:ascii="Arial" w:cs="Arial" w:eastAsia="Arial" w:hAnsi="Arial"/>
                <w:sz w:val="10"/>
                <w:szCs w:val="10"/>
                <w:color w:val="auto"/>
              </w:rPr>
              <w:t>Loans, including fees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68,136</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65,362</w:t>
            </w:r>
          </w:p>
        </w:tc>
        <w:tc>
          <w:tcPr>
            <w:tcW w:w="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64,186</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64,933</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60,838</w:t>
            </w:r>
          </w:p>
        </w:tc>
        <w:tc>
          <w:tcPr>
            <w:tcW w:w="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197,684</w:t>
            </w:r>
          </w:p>
        </w:tc>
        <w:tc>
          <w:tcPr>
            <w:tcW w:w="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180,339</w:t>
            </w:r>
          </w:p>
        </w:tc>
      </w:tr>
      <w:tr>
        <w:trPr>
          <w:trHeight w:val="136"/>
        </w:trPr>
        <w:tc>
          <w:tcPr>
            <w:tcW w:w="3660" w:type="dxa"/>
            <w:vAlign w:val="bottom"/>
            <w:shd w:val="clear" w:color="auto" w:fill="CCEEFF"/>
          </w:tcPr>
          <w:p>
            <w:pPr>
              <w:ind w:left="80"/>
              <w:spacing w:after="0"/>
              <w:rPr>
                <w:sz w:val="20"/>
                <w:szCs w:val="20"/>
                <w:color w:val="auto"/>
              </w:rPr>
            </w:pPr>
            <w:r>
              <w:rPr>
                <w:rFonts w:ascii="Arial" w:cs="Arial" w:eastAsia="Arial" w:hAnsi="Arial"/>
                <w:sz w:val="10"/>
                <w:szCs w:val="10"/>
                <w:color w:val="auto"/>
              </w:rPr>
              <w:t>Investment securities available-for-sale</w:t>
            </w: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1,826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1,814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1,459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1,728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1,805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5,099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5,248</w:t>
            </w:r>
          </w:p>
        </w:tc>
      </w:tr>
      <w:tr>
        <w:trPr>
          <w:trHeight w:val="134"/>
        </w:trPr>
        <w:tc>
          <w:tcPr>
            <w:tcW w:w="366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Federal funds sold and other</w:t>
            </w: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2,330</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2,783</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2,325</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1,973</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2,248</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7,438</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6,650</w:t>
            </w:r>
          </w:p>
        </w:tc>
      </w:tr>
      <w:tr>
        <w:trPr>
          <w:trHeight w:val="124"/>
        </w:trPr>
        <w:tc>
          <w:tcPr>
            <w:tcW w:w="3660" w:type="dxa"/>
            <w:vAlign w:val="bottom"/>
            <w:shd w:val="clear" w:color="auto" w:fill="CCEEFF"/>
          </w:tcPr>
          <w:p>
            <w:pPr>
              <w:ind w:left="360"/>
              <w:spacing w:after="0"/>
              <w:rPr>
                <w:sz w:val="20"/>
                <w:szCs w:val="20"/>
                <w:color w:val="auto"/>
              </w:rPr>
            </w:pPr>
            <w:r>
              <w:rPr>
                <w:rFonts w:ascii="Arial" w:cs="Arial" w:eastAsia="Arial" w:hAnsi="Arial"/>
                <w:sz w:val="10"/>
                <w:szCs w:val="10"/>
                <w:color w:val="auto"/>
              </w:rPr>
              <w:t>Total interest income</w:t>
            </w:r>
          </w:p>
        </w:tc>
        <w:tc>
          <w:tcPr>
            <w:tcW w:w="6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72,292</w:t>
            </w: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69,959</w:t>
            </w:r>
          </w:p>
        </w:tc>
        <w:tc>
          <w:tcPr>
            <w:tcW w:w="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67,970</w:t>
            </w:r>
          </w:p>
        </w:tc>
        <w:tc>
          <w:tcPr>
            <w:tcW w:w="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68,634</w:t>
            </w:r>
          </w:p>
        </w:tc>
        <w:tc>
          <w:tcPr>
            <w:tcW w:w="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64,891</w:t>
            </w:r>
          </w:p>
        </w:tc>
        <w:tc>
          <w:tcPr>
            <w:tcW w:w="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210,221</w:t>
            </w:r>
          </w:p>
        </w:tc>
        <w:tc>
          <w:tcPr>
            <w:tcW w:w="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192,237</w:t>
            </w:r>
          </w:p>
        </w:tc>
      </w:tr>
      <w:tr>
        <w:trPr>
          <w:trHeight w:val="44"/>
        </w:trPr>
        <w:tc>
          <w:tcPr>
            <w:tcW w:w="366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135"/>
        </w:trPr>
        <w:tc>
          <w:tcPr>
            <w:tcW w:w="36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Interest expense</w:t>
            </w: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34"/>
        </w:trPr>
        <w:tc>
          <w:tcPr>
            <w:tcW w:w="3660" w:type="dxa"/>
            <w:vAlign w:val="bottom"/>
          </w:tcPr>
          <w:p>
            <w:pPr>
              <w:ind w:left="80"/>
              <w:spacing w:after="0"/>
              <w:rPr>
                <w:sz w:val="20"/>
                <w:szCs w:val="20"/>
                <w:color w:val="auto"/>
              </w:rPr>
            </w:pPr>
            <w:r>
              <w:rPr>
                <w:rFonts w:ascii="Arial" w:cs="Arial" w:eastAsia="Arial" w:hAnsi="Arial"/>
                <w:sz w:val="10"/>
                <w:szCs w:val="10"/>
                <w:color w:val="auto"/>
              </w:rPr>
              <w:t>Deposits</w:t>
            </w: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18,959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18,522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18,070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17,805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12,732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55,551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45,966</w:t>
            </w:r>
          </w:p>
        </w:tc>
      </w:tr>
      <w:tr>
        <w:trPr>
          <w:trHeight w:val="136"/>
        </w:trPr>
        <w:tc>
          <w:tcPr>
            <w:tcW w:w="3660" w:type="dxa"/>
            <w:vAlign w:val="bottom"/>
            <w:shd w:val="clear" w:color="auto" w:fill="CCEEFF"/>
          </w:tcPr>
          <w:p>
            <w:pPr>
              <w:ind w:left="80"/>
              <w:spacing w:after="0"/>
              <w:rPr>
                <w:sz w:val="20"/>
                <w:szCs w:val="20"/>
                <w:color w:val="auto"/>
              </w:rPr>
            </w:pPr>
            <w:r>
              <w:rPr>
                <w:rFonts w:ascii="Arial" w:cs="Arial" w:eastAsia="Arial" w:hAnsi="Arial"/>
                <w:sz w:val="10"/>
                <w:szCs w:val="10"/>
                <w:color w:val="auto"/>
              </w:rPr>
              <w:t>Borrowed funds</w:t>
            </w:r>
          </w:p>
        </w:tc>
        <w:tc>
          <w:tcPr>
            <w:tcW w:w="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255</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508</w:t>
            </w: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502</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550</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139</w:t>
            </w: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1,265</w:t>
            </w: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558</w:t>
            </w:r>
          </w:p>
        </w:tc>
      </w:tr>
      <w:tr>
        <w:trPr>
          <w:trHeight w:val="172"/>
        </w:trPr>
        <w:tc>
          <w:tcPr>
            <w:tcW w:w="3660" w:type="dxa"/>
            <w:vAlign w:val="bottom"/>
            <w:tcBorders>
              <w:bottom w:val="single" w:sz="8" w:color="CCEEFF"/>
            </w:tcBorders>
          </w:tcPr>
          <w:p>
            <w:pPr>
              <w:ind w:left="360"/>
              <w:spacing w:after="0"/>
              <w:rPr>
                <w:sz w:val="20"/>
                <w:szCs w:val="20"/>
                <w:color w:val="auto"/>
              </w:rPr>
            </w:pPr>
            <w:r>
              <w:rPr>
                <w:rFonts w:ascii="Arial" w:cs="Arial" w:eastAsia="Arial" w:hAnsi="Arial"/>
                <w:sz w:val="10"/>
                <w:szCs w:val="10"/>
                <w:color w:val="auto"/>
              </w:rPr>
              <w:t>Total interest expense</w:t>
            </w: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19,214</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19,030</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18,572</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18,355</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12,871</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56,816</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46,524</w:t>
            </w:r>
          </w:p>
        </w:tc>
      </w:tr>
      <w:tr>
        <w:trPr>
          <w:trHeight w:val="134"/>
        </w:trPr>
        <w:tc>
          <w:tcPr>
            <w:tcW w:w="3660" w:type="dxa"/>
            <w:vAlign w:val="bottom"/>
            <w:tcBorders>
              <w:top w:val="single" w:sz="8" w:color="CCEEFF"/>
            </w:tcBorders>
          </w:tcPr>
          <w:p>
            <w:pPr>
              <w:spacing w:after="0"/>
              <w:rPr>
                <w:sz w:val="20"/>
                <w:szCs w:val="20"/>
                <w:color w:val="auto"/>
              </w:rPr>
            </w:pPr>
            <w:r>
              <w:rPr>
                <w:rFonts w:ascii="Arial" w:cs="Arial" w:eastAsia="Arial" w:hAnsi="Arial"/>
                <w:sz w:val="10"/>
                <w:szCs w:val="10"/>
                <w:b w:val="1"/>
                <w:bCs w:val="1"/>
                <w:color w:val="auto"/>
              </w:rPr>
              <w:t>Net interest income</w:t>
            </w:r>
          </w:p>
        </w:tc>
        <w:tc>
          <w:tcPr>
            <w:tcW w:w="60" w:type="dxa"/>
            <w:vAlign w:val="bottom"/>
            <w:tcBorders>
              <w:top w:val="single" w:sz="8" w:color="CCEEFF"/>
            </w:tcBorders>
          </w:tcPr>
          <w:p>
            <w:pPr>
              <w:spacing w:after="0"/>
              <w:rPr>
                <w:sz w:val="11"/>
                <w:szCs w:val="11"/>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0"/>
                <w:szCs w:val="10"/>
                <w:b w:val="1"/>
                <w:bCs w:val="1"/>
                <w:color w:val="auto"/>
              </w:rPr>
              <w:t>53,078</w:t>
            </w:r>
          </w:p>
        </w:tc>
        <w:tc>
          <w:tcPr>
            <w:tcW w:w="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jc w:val="right"/>
              <w:ind w:right="12"/>
              <w:spacing w:after="0"/>
              <w:rPr>
                <w:sz w:val="20"/>
                <w:szCs w:val="20"/>
                <w:color w:val="auto"/>
              </w:rPr>
            </w:pPr>
            <w:r>
              <w:rPr>
                <w:rFonts w:ascii="Arial" w:cs="Arial" w:eastAsia="Arial" w:hAnsi="Arial"/>
                <w:sz w:val="10"/>
                <w:szCs w:val="10"/>
                <w:color w:val="auto"/>
              </w:rPr>
              <w:t>50,929</w:t>
            </w:r>
          </w:p>
        </w:tc>
        <w:tc>
          <w:tcPr>
            <w:tcW w:w="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49,398</w:t>
            </w:r>
          </w:p>
        </w:tc>
        <w:tc>
          <w:tcPr>
            <w:tcW w:w="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50,279</w:t>
            </w:r>
          </w:p>
        </w:tc>
        <w:tc>
          <w:tcPr>
            <w:tcW w:w="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52,020</w:t>
            </w:r>
          </w:p>
        </w:tc>
        <w:tc>
          <w:tcPr>
            <w:tcW w:w="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0"/>
                <w:szCs w:val="10"/>
                <w:b w:val="1"/>
                <w:bCs w:val="1"/>
                <w:color w:val="auto"/>
              </w:rPr>
              <w:t>153,405</w:t>
            </w:r>
          </w:p>
        </w:tc>
        <w:tc>
          <w:tcPr>
            <w:tcW w:w="6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145,713</w:t>
            </w:r>
          </w:p>
        </w:tc>
      </w:tr>
      <w:tr>
        <w:trPr>
          <w:trHeight w:val="136"/>
        </w:trPr>
        <w:tc>
          <w:tcPr>
            <w:tcW w:w="3660" w:type="dxa"/>
            <w:vAlign w:val="bottom"/>
            <w:shd w:val="clear" w:color="auto" w:fill="CCEEFF"/>
          </w:tcPr>
          <w:p>
            <w:pPr>
              <w:ind w:left="80"/>
              <w:spacing w:after="0"/>
              <w:rPr>
                <w:sz w:val="20"/>
                <w:szCs w:val="20"/>
                <w:color w:val="auto"/>
              </w:rPr>
            </w:pPr>
            <w:r>
              <w:rPr>
                <w:rFonts w:ascii="Arial" w:cs="Arial" w:eastAsia="Arial" w:hAnsi="Arial"/>
                <w:sz w:val="10"/>
                <w:szCs w:val="10"/>
                <w:color w:val="auto"/>
              </w:rPr>
              <w:t>Provision for credit losses</w:t>
            </w: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4,903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3,585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3,014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3,988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4,650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11,502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10,977</w:t>
            </w:r>
          </w:p>
        </w:tc>
      </w:tr>
      <w:tr>
        <w:trPr>
          <w:trHeight w:val="134"/>
        </w:trPr>
        <w:tc>
          <w:tcPr>
            <w:tcW w:w="366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Provision for (release of) credit losses on unfunded commitments</w:t>
            </w: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(54)</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65</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205</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217</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216</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217</w:t>
            </w:r>
          </w:p>
        </w:tc>
      </w:tr>
      <w:tr>
        <w:trPr>
          <w:trHeight w:val="125"/>
        </w:trPr>
        <w:tc>
          <w:tcPr>
            <w:tcW w:w="36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interest income after provision for credit losses</w:t>
            </w:r>
          </w:p>
        </w:tc>
        <w:tc>
          <w:tcPr>
            <w:tcW w:w="6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48,229</w:t>
            </w: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47,279</w:t>
            </w:r>
          </w:p>
        </w:tc>
        <w:tc>
          <w:tcPr>
            <w:tcW w:w="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46,179</w:t>
            </w:r>
          </w:p>
        </w:tc>
        <w:tc>
          <w:tcPr>
            <w:tcW w:w="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46,320</w:t>
            </w:r>
          </w:p>
        </w:tc>
        <w:tc>
          <w:tcPr>
            <w:tcW w:w="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47,153</w:t>
            </w:r>
          </w:p>
        </w:tc>
        <w:tc>
          <w:tcPr>
            <w:tcW w:w="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141,687</w:t>
            </w:r>
          </w:p>
        </w:tc>
        <w:tc>
          <w:tcPr>
            <w:tcW w:w="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134,519</w:t>
            </w:r>
          </w:p>
        </w:tc>
      </w:tr>
      <w:tr>
        <w:trPr>
          <w:trHeight w:val="114"/>
        </w:trPr>
        <w:tc>
          <w:tcPr>
            <w:tcW w:w="3660" w:type="dxa"/>
            <w:vAlign w:val="bottom"/>
          </w:tcPr>
          <w:p>
            <w:pPr>
              <w:spacing w:after="0" w:line="113" w:lineRule="exact"/>
              <w:rPr>
                <w:sz w:val="20"/>
                <w:szCs w:val="20"/>
                <w:color w:val="auto"/>
              </w:rPr>
            </w:pPr>
            <w:r>
              <w:rPr>
                <w:rFonts w:ascii="Arial" w:cs="Arial" w:eastAsia="Arial" w:hAnsi="Arial"/>
                <w:sz w:val="10"/>
                <w:szCs w:val="10"/>
                <w:b w:val="1"/>
                <w:bCs w:val="1"/>
                <w:color w:val="auto"/>
              </w:rPr>
              <w:t>Noninterest income</w:t>
            </w: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36"/>
        </w:trPr>
        <w:tc>
          <w:tcPr>
            <w:tcW w:w="3660" w:type="dxa"/>
            <w:vAlign w:val="bottom"/>
            <w:shd w:val="clear" w:color="auto" w:fill="CCEEFF"/>
          </w:tcPr>
          <w:p>
            <w:pPr>
              <w:ind w:left="80"/>
              <w:spacing w:after="0"/>
              <w:rPr>
                <w:sz w:val="20"/>
                <w:szCs w:val="20"/>
                <w:color w:val="auto"/>
              </w:rPr>
            </w:pPr>
            <w:r>
              <w:rPr>
                <w:rFonts w:ascii="Arial" w:cs="Arial" w:eastAsia="Arial" w:hAnsi="Arial"/>
                <w:sz w:val="10"/>
                <w:szCs w:val="10"/>
                <w:color w:val="auto"/>
              </w:rPr>
              <w:t>Service charges on deposits</w:t>
            </w: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418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409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1,230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945</w:t>
            </w:r>
          </w:p>
        </w:tc>
      </w:tr>
      <w:tr>
        <w:trPr>
          <w:trHeight w:val="134"/>
        </w:trPr>
        <w:tc>
          <w:tcPr>
            <w:tcW w:w="3660" w:type="dxa"/>
            <w:vAlign w:val="bottom"/>
          </w:tcPr>
          <w:p>
            <w:pPr>
              <w:ind w:left="80"/>
              <w:spacing w:after="0"/>
              <w:rPr>
                <w:sz w:val="20"/>
                <w:szCs w:val="20"/>
                <w:color w:val="auto"/>
              </w:rPr>
            </w:pPr>
            <w:r>
              <w:rPr>
                <w:rFonts w:ascii="Arial" w:cs="Arial" w:eastAsia="Arial" w:hAnsi="Arial"/>
                <w:sz w:val="10"/>
                <w:szCs w:val="10"/>
                <w:color w:val="auto"/>
              </w:rPr>
              <w:t>Credit card fees</w:t>
            </w: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4,520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4,395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4,692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4,837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4,509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13,607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12,529</w:t>
            </w:r>
          </w:p>
        </w:tc>
      </w:tr>
      <w:tr>
        <w:trPr>
          <w:trHeight w:val="136"/>
        </w:trPr>
        <w:tc>
          <w:tcPr>
            <w:tcW w:w="3660" w:type="dxa"/>
            <w:vAlign w:val="bottom"/>
            <w:shd w:val="clear" w:color="auto" w:fill="CCEEFF"/>
          </w:tcPr>
          <w:p>
            <w:pPr>
              <w:ind w:left="80"/>
              <w:spacing w:after="0"/>
              <w:rPr>
                <w:sz w:val="20"/>
                <w:szCs w:val="20"/>
                <w:color w:val="auto"/>
              </w:rPr>
            </w:pPr>
            <w:r>
              <w:rPr>
                <w:rFonts w:ascii="Arial" w:cs="Arial" w:eastAsia="Arial" w:hAnsi="Arial"/>
                <w:sz w:val="10"/>
                <w:szCs w:val="10"/>
                <w:color w:val="auto"/>
              </w:rPr>
              <w:t>Mortgage banking revenue</w:t>
            </w: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1,849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1,960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1,960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1,927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5,365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5,512</w:t>
            </w:r>
          </w:p>
        </w:tc>
      </w:tr>
      <w:tr>
        <w:trPr>
          <w:trHeight w:val="134"/>
        </w:trPr>
        <w:tc>
          <w:tcPr>
            <w:tcW w:w="3660" w:type="dxa"/>
            <w:vAlign w:val="bottom"/>
          </w:tcPr>
          <w:p>
            <w:pPr>
              <w:ind w:left="80"/>
              <w:spacing w:after="0"/>
              <w:rPr>
                <w:sz w:val="20"/>
                <w:szCs w:val="20"/>
                <w:color w:val="auto"/>
              </w:rPr>
            </w:pPr>
            <w:r>
              <w:rPr>
                <w:rFonts w:ascii="Arial" w:cs="Arial" w:eastAsia="Arial" w:hAnsi="Arial"/>
                <w:sz w:val="10"/>
                <w:szCs w:val="10"/>
                <w:color w:val="auto"/>
              </w:rPr>
              <w:t>Government lending revenue</w:t>
            </w: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1,474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1,207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923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3,604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4,222</w:t>
            </w:r>
          </w:p>
        </w:tc>
      </w:tr>
      <w:tr>
        <w:trPr>
          <w:trHeight w:val="136"/>
        </w:trPr>
        <w:tc>
          <w:tcPr>
            <w:tcW w:w="3660" w:type="dxa"/>
            <w:vAlign w:val="bottom"/>
            <w:shd w:val="clear" w:color="auto" w:fill="CCEEFF"/>
          </w:tcPr>
          <w:p>
            <w:pPr>
              <w:ind w:left="80"/>
              <w:spacing w:after="0"/>
              <w:rPr>
                <w:sz w:val="20"/>
                <w:szCs w:val="20"/>
                <w:color w:val="auto"/>
              </w:rPr>
            </w:pPr>
            <w:r>
              <w:rPr>
                <w:rFonts w:ascii="Arial" w:cs="Arial" w:eastAsia="Arial" w:hAnsi="Arial"/>
                <w:sz w:val="10"/>
                <w:szCs w:val="10"/>
                <w:color w:val="auto"/>
              </w:rPr>
              <w:t>Government loan servicing revenue</w:t>
            </w: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5,073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5,303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4,345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4,036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4,265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14,721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11,477</w:t>
            </w:r>
          </w:p>
        </w:tc>
      </w:tr>
      <w:tr>
        <w:trPr>
          <w:trHeight w:val="134"/>
        </w:trPr>
        <w:tc>
          <w:tcPr>
            <w:tcW w:w="3660" w:type="dxa"/>
            <w:vAlign w:val="bottom"/>
          </w:tcPr>
          <w:p>
            <w:pPr>
              <w:ind w:left="80"/>
              <w:spacing w:after="0"/>
              <w:rPr>
                <w:sz w:val="20"/>
                <w:szCs w:val="20"/>
                <w:color w:val="auto"/>
              </w:rPr>
            </w:pPr>
            <w:r>
              <w:rPr>
                <w:rFonts w:ascii="Arial" w:cs="Arial" w:eastAsia="Arial" w:hAnsi="Arial"/>
                <w:sz w:val="10"/>
                <w:szCs w:val="10"/>
                <w:color w:val="auto"/>
              </w:rPr>
              <w:t>Loan servicing rights</w:t>
            </w: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523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292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497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295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368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1,312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250</w:t>
            </w:r>
          </w:p>
        </w:tc>
      </w:tr>
      <w:tr>
        <w:trPr>
          <w:trHeight w:val="136"/>
        </w:trPr>
        <w:tc>
          <w:tcPr>
            <w:tcW w:w="3660" w:type="dxa"/>
            <w:vAlign w:val="bottom"/>
            <w:shd w:val="clear" w:color="auto" w:fill="CCEEFF"/>
          </w:tcPr>
          <w:p>
            <w:pPr>
              <w:ind w:left="80"/>
              <w:spacing w:after="0"/>
              <w:rPr>
                <w:sz w:val="20"/>
                <w:szCs w:val="20"/>
                <w:color w:val="auto"/>
              </w:rPr>
            </w:pPr>
            <w:r>
              <w:rPr>
                <w:rFonts w:ascii="Arial" w:cs="Arial" w:eastAsia="Arial" w:hAnsi="Arial"/>
                <w:sz w:val="10"/>
                <w:szCs w:val="10"/>
                <w:color w:val="auto"/>
              </w:rPr>
              <w:t>Other income (loss)</w:t>
            </w:r>
          </w:p>
        </w:tc>
        <w:tc>
          <w:tcPr>
            <w:tcW w:w="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1,182</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795</w:t>
            </w: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957</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965</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(440)</w:t>
            </w: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2,934</w:t>
            </w: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1,788</w:t>
            </w:r>
          </w:p>
        </w:tc>
      </w:tr>
      <w:tr>
        <w:trPr>
          <w:trHeight w:val="123"/>
        </w:trPr>
        <w:tc>
          <w:tcPr>
            <w:tcW w:w="3660" w:type="dxa"/>
            <w:vAlign w:val="bottom"/>
            <w:tcBorders>
              <w:bottom w:val="single" w:sz="8" w:color="CCEEFF"/>
            </w:tcBorders>
          </w:tcPr>
          <w:p>
            <w:pPr>
              <w:ind w:left="360"/>
              <w:spacing w:after="0"/>
              <w:rPr>
                <w:sz w:val="20"/>
                <w:szCs w:val="20"/>
                <w:color w:val="auto"/>
              </w:rPr>
            </w:pPr>
            <w:r>
              <w:rPr>
                <w:rFonts w:ascii="Arial" w:cs="Arial" w:eastAsia="Arial" w:hAnsi="Arial"/>
                <w:sz w:val="10"/>
                <w:szCs w:val="10"/>
                <w:color w:val="auto"/>
              </w:rPr>
              <w:t>Total noninterest income</w:t>
            </w:r>
          </w:p>
        </w:tc>
        <w:tc>
          <w:tcPr>
            <w:tcW w:w="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15,039</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14,361</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13,373</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12,464</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11,068</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42,773</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36,723</w:t>
            </w:r>
          </w:p>
        </w:tc>
      </w:tr>
      <w:tr>
        <w:trPr>
          <w:trHeight w:val="116"/>
        </w:trPr>
        <w:tc>
          <w:tcPr>
            <w:tcW w:w="36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Noninterest expenses</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34"/>
        </w:trPr>
        <w:tc>
          <w:tcPr>
            <w:tcW w:w="3660" w:type="dxa"/>
            <w:vAlign w:val="bottom"/>
          </w:tcPr>
          <w:p>
            <w:pPr>
              <w:ind w:left="80"/>
              <w:spacing w:after="0"/>
              <w:rPr>
                <w:sz w:val="20"/>
                <w:szCs w:val="20"/>
                <w:color w:val="auto"/>
              </w:rPr>
            </w:pPr>
            <w:r>
              <w:rPr>
                <w:rFonts w:ascii="Arial" w:cs="Arial" w:eastAsia="Arial" w:hAnsi="Arial"/>
                <w:sz w:val="10"/>
                <w:szCs w:val="10"/>
                <w:color w:val="auto"/>
              </w:rPr>
              <w:t>Salaries and employee benefits</w:t>
            </w: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21,116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20,067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20,317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17,914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17,728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61,500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54,255</w:t>
            </w:r>
          </w:p>
        </w:tc>
      </w:tr>
      <w:tr>
        <w:trPr>
          <w:trHeight w:val="136"/>
        </w:trPr>
        <w:tc>
          <w:tcPr>
            <w:tcW w:w="3660" w:type="dxa"/>
            <w:vAlign w:val="bottom"/>
            <w:shd w:val="clear" w:color="auto" w:fill="CCEEFF"/>
          </w:tcPr>
          <w:p>
            <w:pPr>
              <w:ind w:left="80"/>
              <w:spacing w:after="0"/>
              <w:rPr>
                <w:sz w:val="20"/>
                <w:szCs w:val="20"/>
                <w:color w:val="auto"/>
              </w:rPr>
            </w:pPr>
            <w:r>
              <w:rPr>
                <w:rFonts w:ascii="Arial" w:cs="Arial" w:eastAsia="Arial" w:hAnsi="Arial"/>
                <w:sz w:val="10"/>
                <w:szCs w:val="10"/>
                <w:color w:val="auto"/>
              </w:rPr>
              <w:t>Occupancy and equipment</w:t>
            </w: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4,144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3,942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3,562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2,638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2,849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11,648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8,754</w:t>
            </w:r>
          </w:p>
        </w:tc>
      </w:tr>
      <w:tr>
        <w:trPr>
          <w:trHeight w:val="134"/>
        </w:trPr>
        <w:tc>
          <w:tcPr>
            <w:tcW w:w="3660" w:type="dxa"/>
            <w:vAlign w:val="bottom"/>
          </w:tcPr>
          <w:p>
            <w:pPr>
              <w:ind w:left="80"/>
              <w:spacing w:after="0"/>
              <w:rPr>
                <w:sz w:val="20"/>
                <w:szCs w:val="20"/>
                <w:color w:val="auto"/>
              </w:rPr>
            </w:pPr>
            <w:r>
              <w:rPr>
                <w:rFonts w:ascii="Arial" w:cs="Arial" w:eastAsia="Arial" w:hAnsi="Arial"/>
                <w:sz w:val="10"/>
                <w:szCs w:val="10"/>
                <w:color w:val="auto"/>
              </w:rPr>
              <w:t>Professional fees</w:t>
            </w: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4,919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4,125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4,965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4,294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2,131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14,009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6,665</w:t>
            </w:r>
          </w:p>
        </w:tc>
      </w:tr>
      <w:tr>
        <w:trPr>
          <w:trHeight w:val="136"/>
        </w:trPr>
        <w:tc>
          <w:tcPr>
            <w:tcW w:w="3660" w:type="dxa"/>
            <w:vAlign w:val="bottom"/>
            <w:shd w:val="clear" w:color="auto" w:fill="CCEEFF"/>
          </w:tcPr>
          <w:p>
            <w:pPr>
              <w:ind w:left="80"/>
              <w:spacing w:after="0"/>
              <w:rPr>
                <w:sz w:val="20"/>
                <w:szCs w:val="20"/>
                <w:color w:val="auto"/>
              </w:rPr>
            </w:pPr>
            <w:r>
              <w:rPr>
                <w:rFonts w:ascii="Arial" w:cs="Arial" w:eastAsia="Arial" w:hAnsi="Arial"/>
                <w:sz w:val="10"/>
                <w:szCs w:val="10"/>
                <w:color w:val="auto"/>
              </w:rPr>
              <w:t>Data processing</w:t>
            </w: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7,708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7,551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7,767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7,502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7,654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23,026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22,286</w:t>
            </w:r>
          </w:p>
        </w:tc>
      </w:tr>
      <w:tr>
        <w:trPr>
          <w:trHeight w:val="134"/>
        </w:trPr>
        <w:tc>
          <w:tcPr>
            <w:tcW w:w="3660" w:type="dxa"/>
            <w:vAlign w:val="bottom"/>
          </w:tcPr>
          <w:p>
            <w:pPr>
              <w:ind w:left="80"/>
              <w:spacing w:after="0"/>
              <w:rPr>
                <w:sz w:val="20"/>
                <w:szCs w:val="20"/>
                <w:color w:val="auto"/>
              </w:rPr>
            </w:pPr>
            <w:r>
              <w:rPr>
                <w:rFonts w:ascii="Arial" w:cs="Arial" w:eastAsia="Arial" w:hAnsi="Arial"/>
                <w:sz w:val="10"/>
                <w:szCs w:val="10"/>
                <w:color w:val="auto"/>
              </w:rPr>
              <w:t>Advertising</w:t>
            </w: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1,566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1,816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1,466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1,398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1,714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4,848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4,864</w:t>
            </w:r>
          </w:p>
        </w:tc>
      </w:tr>
      <w:tr>
        <w:trPr>
          <w:trHeight w:val="136"/>
        </w:trPr>
        <w:tc>
          <w:tcPr>
            <w:tcW w:w="3660" w:type="dxa"/>
            <w:vAlign w:val="bottom"/>
            <w:shd w:val="clear" w:color="auto" w:fill="CCEEFF"/>
          </w:tcPr>
          <w:p>
            <w:pPr>
              <w:ind w:left="80"/>
              <w:spacing w:after="0"/>
              <w:rPr>
                <w:sz w:val="20"/>
                <w:szCs w:val="20"/>
                <w:color w:val="auto"/>
              </w:rPr>
            </w:pPr>
            <w:r>
              <w:rPr>
                <w:rFonts w:ascii="Arial" w:cs="Arial" w:eastAsia="Arial" w:hAnsi="Arial"/>
                <w:sz w:val="10"/>
                <w:szCs w:val="10"/>
                <w:color w:val="auto"/>
              </w:rPr>
              <w:t>Loan processing</w:t>
            </w: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543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1,475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1,383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1,152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3,401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2,836</w:t>
            </w:r>
          </w:p>
        </w:tc>
      </w:tr>
      <w:tr>
        <w:trPr>
          <w:trHeight w:val="134"/>
        </w:trPr>
        <w:tc>
          <w:tcPr>
            <w:tcW w:w="3660" w:type="dxa"/>
            <w:vAlign w:val="bottom"/>
          </w:tcPr>
          <w:p>
            <w:pPr>
              <w:ind w:left="80"/>
              <w:spacing w:after="0"/>
              <w:rPr>
                <w:sz w:val="20"/>
                <w:szCs w:val="20"/>
                <w:color w:val="auto"/>
              </w:rPr>
            </w:pPr>
            <w:r>
              <w:rPr>
                <w:rFonts w:ascii="Arial" w:cs="Arial" w:eastAsia="Arial" w:hAnsi="Arial"/>
                <w:sz w:val="10"/>
                <w:szCs w:val="10"/>
                <w:color w:val="auto"/>
              </w:rPr>
              <w:t>Merger-related expenses</w:t>
            </w: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1,577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697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1,577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3,361</w:t>
            </w:r>
          </w:p>
        </w:tc>
      </w:tr>
      <w:tr>
        <w:trPr>
          <w:trHeight w:val="136"/>
        </w:trPr>
        <w:tc>
          <w:tcPr>
            <w:tcW w:w="3660" w:type="dxa"/>
            <w:vAlign w:val="bottom"/>
            <w:shd w:val="clear" w:color="auto" w:fill="CCEEFF"/>
          </w:tcPr>
          <w:p>
            <w:pPr>
              <w:ind w:left="80"/>
              <w:spacing w:after="0"/>
              <w:rPr>
                <w:sz w:val="20"/>
                <w:szCs w:val="20"/>
                <w:color w:val="auto"/>
              </w:rPr>
            </w:pPr>
            <w:r>
              <w:rPr>
                <w:rFonts w:ascii="Arial" w:cs="Arial" w:eastAsia="Arial" w:hAnsi="Arial"/>
                <w:sz w:val="10"/>
                <w:szCs w:val="10"/>
                <w:color w:val="auto"/>
              </w:rPr>
              <w:t>Operational and other card fraud related losses</w:t>
            </w: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930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690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2,310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2,759</w:t>
            </w:r>
          </w:p>
        </w:tc>
      </w:tr>
      <w:tr>
        <w:trPr>
          <w:trHeight w:val="134"/>
        </w:trPr>
        <w:tc>
          <w:tcPr>
            <w:tcW w:w="3660" w:type="dxa"/>
            <w:vAlign w:val="bottom"/>
          </w:tcPr>
          <w:p>
            <w:pPr>
              <w:ind w:left="80"/>
              <w:spacing w:after="0"/>
              <w:rPr>
                <w:sz w:val="20"/>
                <w:szCs w:val="20"/>
                <w:color w:val="auto"/>
              </w:rPr>
            </w:pPr>
            <w:r>
              <w:rPr>
                <w:rFonts w:ascii="Arial" w:cs="Arial" w:eastAsia="Arial" w:hAnsi="Arial"/>
                <w:sz w:val="10"/>
                <w:szCs w:val="10"/>
                <w:color w:val="auto"/>
              </w:rPr>
              <w:t>Regulatory assessment expenses</w:t>
            </w: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930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925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941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858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740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2,796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2,513</w:t>
            </w:r>
          </w:p>
        </w:tc>
      </w:tr>
      <w:tr>
        <w:trPr>
          <w:trHeight w:val="136"/>
        </w:trPr>
        <w:tc>
          <w:tcPr>
            <w:tcW w:w="3660" w:type="dxa"/>
            <w:vAlign w:val="bottom"/>
            <w:shd w:val="clear" w:color="auto" w:fill="CCEEFF"/>
          </w:tcPr>
          <w:p>
            <w:pPr>
              <w:ind w:left="80"/>
              <w:spacing w:after="0"/>
              <w:rPr>
                <w:sz w:val="20"/>
                <w:szCs w:val="20"/>
                <w:color w:val="auto"/>
              </w:rPr>
            </w:pPr>
            <w:r>
              <w:rPr>
                <w:rFonts w:ascii="Arial" w:cs="Arial" w:eastAsia="Arial" w:hAnsi="Arial"/>
                <w:sz w:val="10"/>
                <w:szCs w:val="10"/>
                <w:color w:val="auto"/>
              </w:rPr>
              <w:t>Other operating</w:t>
            </w:r>
          </w:p>
        </w:tc>
        <w:tc>
          <w:tcPr>
            <w:tcW w:w="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2,289</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2,595</w:t>
            </w: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2,590</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2,597</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2,804</w:t>
            </w: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7,474</w:t>
            </w: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7,686</w:t>
            </w:r>
          </w:p>
        </w:tc>
      </w:tr>
      <w:tr>
        <w:trPr>
          <w:trHeight w:val="123"/>
        </w:trPr>
        <w:tc>
          <w:tcPr>
            <w:tcW w:w="3660" w:type="dxa"/>
            <w:vAlign w:val="bottom"/>
            <w:tcBorders>
              <w:bottom w:val="single" w:sz="8" w:color="CCEEFF"/>
            </w:tcBorders>
          </w:tcPr>
          <w:p>
            <w:pPr>
              <w:ind w:left="360"/>
              <w:spacing w:after="0"/>
              <w:rPr>
                <w:sz w:val="20"/>
                <w:szCs w:val="20"/>
                <w:color w:val="auto"/>
              </w:rPr>
            </w:pPr>
            <w:r>
              <w:rPr>
                <w:rFonts w:ascii="Arial" w:cs="Arial" w:eastAsia="Arial" w:hAnsi="Arial"/>
                <w:sz w:val="10"/>
                <w:szCs w:val="10"/>
                <w:color w:val="auto"/>
              </w:rPr>
              <w:t>Total noninterest expenses</w:t>
            </w:r>
          </w:p>
        </w:tc>
        <w:tc>
          <w:tcPr>
            <w:tcW w:w="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45,722</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43,186</w:t>
            </w: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43,681</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39,103</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38,354</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132,589</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115,979</w:t>
            </w:r>
          </w:p>
        </w:tc>
      </w:tr>
      <w:tr>
        <w:trPr>
          <w:trHeight w:val="125"/>
        </w:trPr>
        <w:tc>
          <w:tcPr>
            <w:tcW w:w="3660" w:type="dxa"/>
            <w:vAlign w:val="bottom"/>
            <w:shd w:val="clear" w:color="auto" w:fill="CCEEFF"/>
          </w:tcPr>
          <w:p>
            <w:pPr>
              <w:spacing w:after="0"/>
              <w:rPr>
                <w:sz w:val="20"/>
                <w:szCs w:val="20"/>
                <w:color w:val="auto"/>
              </w:rPr>
            </w:pPr>
            <w:r>
              <w:rPr>
                <w:rFonts w:ascii="Arial" w:cs="Arial" w:eastAsia="Arial" w:hAnsi="Arial"/>
                <w:sz w:val="10"/>
                <w:szCs w:val="10"/>
                <w:color w:val="auto"/>
              </w:rPr>
              <w:t>Income before income taxes</w:t>
            </w: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17,546</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18,454</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15,871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19,681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19,867</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51,871</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55,263</w:t>
            </w:r>
          </w:p>
        </w:tc>
      </w:tr>
      <w:tr>
        <w:trPr>
          <w:trHeight w:val="134"/>
        </w:trPr>
        <w:tc>
          <w:tcPr>
            <w:tcW w:w="366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Income tax expense</w:t>
            </w: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4,424</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4,204</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3,853</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4,644</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4,802</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12,481</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13,130</w:t>
            </w:r>
          </w:p>
        </w:tc>
      </w:tr>
      <w:tr>
        <w:trPr>
          <w:trHeight w:val="141"/>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Net income</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13,122</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14,250</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12,018</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15,037</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15,065</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39,390</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42,133</w:t>
            </w:r>
          </w:p>
        </w:tc>
      </w:tr>
    </w:tbl>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100"/>
          </w:cols>
          <w:pgMar w:left="400" w:top="550" w:right="399" w:bottom="1440" w:gutter="0" w:footer="0" w:header="0"/>
        </w:sectPr>
      </w:pPr>
    </w:p>
    <w:bookmarkStart w:id="17" w:name="page18"/>
    <w:bookmarkEnd w:id="17"/>
    <w:p>
      <w:pPr>
        <w:ind w:left="428"/>
        <w:spacing w:after="0"/>
        <w:rPr>
          <w:sz w:val="20"/>
          <w:szCs w:val="20"/>
          <w:color w:val="auto"/>
        </w:rPr>
      </w:pPr>
      <w:r>
        <w:rPr>
          <w:rFonts w:ascii="Arial" w:cs="Arial" w:eastAsia="Arial" w:hAnsi="Arial"/>
          <w:sz w:val="14"/>
          <w:szCs w:val="14"/>
          <w:b w:val="1"/>
          <w:bCs w:val="1"/>
          <w:u w:val="single" w:color="auto"/>
          <w:color w:val="auto"/>
        </w:rPr>
        <w:t>Consolidated Balance Sheets</w:t>
      </w:r>
    </w:p>
    <w:p>
      <w:pPr>
        <w:spacing w:after="0" w:line="37" w:lineRule="exact"/>
        <w:rPr>
          <w:sz w:val="20"/>
          <w:szCs w:val="20"/>
          <w:color w:val="auto"/>
        </w:rPr>
      </w:pPr>
    </w:p>
    <w:tbl>
      <w:tblPr>
        <w:tblLayout w:type="fixed"/>
        <w:tblInd w:w="428" w:type="dxa"/>
        <w:tblCellMar>
          <w:top w:w="0" w:type="dxa"/>
          <w:left w:w="0" w:type="dxa"/>
          <w:bottom w:w="0" w:type="dxa"/>
          <w:right w:w="0" w:type="dxa"/>
        </w:tblCellMar>
      </w:tblPr>
      <w:tr>
        <w:trPr>
          <w:trHeight w:val="126"/>
        </w:trPr>
        <w:tc>
          <w:tcPr>
            <w:tcW w:w="56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(unaudited)</w:t>
            </w: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52"/>
              <w:spacing w:after="0"/>
              <w:rPr>
                <w:sz w:val="20"/>
                <w:szCs w:val="20"/>
                <w:color w:val="auto"/>
              </w:rPr>
            </w:pPr>
            <w:r>
              <w:rPr>
                <w:rFonts w:ascii="Arial" w:cs="Arial" w:eastAsia="Arial" w:hAnsi="Arial"/>
                <w:sz w:val="10"/>
                <w:szCs w:val="10"/>
                <w:color w:val="auto"/>
                <w:w w:val="94"/>
              </w:rPr>
              <w:t>(unaudited)</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52"/>
              <w:spacing w:after="0"/>
              <w:rPr>
                <w:sz w:val="20"/>
                <w:szCs w:val="20"/>
                <w:color w:val="auto"/>
              </w:rPr>
            </w:pPr>
            <w:r>
              <w:rPr>
                <w:rFonts w:ascii="Arial" w:cs="Arial" w:eastAsia="Arial" w:hAnsi="Arial"/>
                <w:sz w:val="10"/>
                <w:szCs w:val="10"/>
                <w:color w:val="auto"/>
                <w:w w:val="94"/>
              </w:rPr>
              <w:t>(unaudited)</w:t>
            </w: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right="52"/>
              <w:spacing w:after="0"/>
              <w:rPr>
                <w:sz w:val="20"/>
                <w:szCs w:val="20"/>
                <w:color w:val="auto"/>
              </w:rPr>
            </w:pPr>
            <w:r>
              <w:rPr>
                <w:rFonts w:ascii="Arial" w:cs="Arial" w:eastAsia="Arial" w:hAnsi="Arial"/>
                <w:sz w:val="10"/>
                <w:szCs w:val="10"/>
                <w:color w:val="auto"/>
                <w:w w:val="96"/>
              </w:rPr>
              <w:t>(audited)</w:t>
            </w: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(unaudited)</w:t>
            </w:r>
          </w:p>
        </w:tc>
      </w:tr>
      <w:tr>
        <w:trPr>
          <w:trHeight w:val="123"/>
        </w:trPr>
        <w:tc>
          <w:tcPr>
            <w:tcW w:w="5620" w:type="dxa"/>
            <w:vAlign w:val="bottom"/>
          </w:tcPr>
          <w:p>
            <w:pPr>
              <w:spacing w:after="0"/>
              <w:rPr>
                <w:sz w:val="20"/>
                <w:szCs w:val="20"/>
                <w:color w:val="auto"/>
              </w:rPr>
            </w:pPr>
            <w:r>
              <w:rPr>
                <w:rFonts w:ascii="Arial" w:cs="Arial" w:eastAsia="Arial" w:hAnsi="Arial"/>
                <w:sz w:val="7"/>
                <w:szCs w:val="7"/>
                <w:color w:val="auto"/>
              </w:rPr>
              <w:t>(in thousands, except share data)</w:t>
            </w:r>
          </w:p>
        </w:tc>
        <w:tc>
          <w:tcPr>
            <w:tcW w:w="1040" w:type="dxa"/>
            <w:vAlign w:val="bottom"/>
            <w:gridSpan w:val="3"/>
          </w:tcPr>
          <w:p>
            <w:pPr>
              <w:ind w:left="20"/>
              <w:spacing w:after="0"/>
              <w:rPr>
                <w:sz w:val="20"/>
                <w:szCs w:val="20"/>
                <w:color w:val="auto"/>
              </w:rPr>
            </w:pPr>
            <w:r>
              <w:rPr>
                <w:rFonts w:ascii="Arial" w:cs="Arial" w:eastAsia="Arial" w:hAnsi="Arial"/>
                <w:sz w:val="10"/>
                <w:szCs w:val="10"/>
                <w:b w:val="1"/>
                <w:bCs w:val="1"/>
                <w:color w:val="auto"/>
              </w:rPr>
              <w:t>September 30, 2026</w:t>
            </w:r>
          </w:p>
        </w:tc>
        <w:tc>
          <w:tcPr>
            <w:tcW w:w="100" w:type="dxa"/>
            <w:vAlign w:val="bottom"/>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0"/>
                <w:szCs w:val="10"/>
                <w:color w:val="auto"/>
                <w:w w:val="94"/>
              </w:rPr>
              <w:t>June 30, 2026</w:t>
            </w:r>
          </w:p>
        </w:tc>
        <w:tc>
          <w:tcPr>
            <w:tcW w:w="120" w:type="dxa"/>
            <w:vAlign w:val="bottom"/>
          </w:tcPr>
          <w:p>
            <w:pPr>
              <w:spacing w:after="0"/>
              <w:rPr>
                <w:sz w:val="10"/>
                <w:szCs w:val="1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0"/>
                <w:szCs w:val="10"/>
                <w:color w:val="auto"/>
                <w:w w:val="94"/>
              </w:rPr>
              <w:t>March 31, 2026</w:t>
            </w:r>
          </w:p>
        </w:tc>
        <w:tc>
          <w:tcPr>
            <w:tcW w:w="60" w:type="dxa"/>
            <w:vAlign w:val="bottom"/>
          </w:tcPr>
          <w:p>
            <w:pPr>
              <w:spacing w:after="0"/>
              <w:rPr>
                <w:sz w:val="10"/>
                <w:szCs w:val="10"/>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0"/>
                <w:szCs w:val="10"/>
                <w:color w:val="auto"/>
                <w:w w:val="95"/>
              </w:rPr>
              <w:t>December 31, 2025</w:t>
            </w:r>
          </w:p>
        </w:tc>
        <w:tc>
          <w:tcPr>
            <w:tcW w:w="980" w:type="dxa"/>
            <w:vAlign w:val="bottom"/>
            <w:gridSpan w:val="2"/>
          </w:tcPr>
          <w:p>
            <w:pPr>
              <w:jc w:val="right"/>
              <w:ind w:right="12"/>
              <w:spacing w:after="0"/>
              <w:rPr>
                <w:sz w:val="20"/>
                <w:szCs w:val="20"/>
                <w:color w:val="auto"/>
              </w:rPr>
            </w:pPr>
            <w:r>
              <w:rPr>
                <w:rFonts w:ascii="Arial" w:cs="Arial" w:eastAsia="Arial" w:hAnsi="Arial"/>
                <w:sz w:val="10"/>
                <w:szCs w:val="10"/>
                <w:color w:val="auto"/>
                <w:w w:val="99"/>
              </w:rPr>
              <w:t>September 30, 2025</w:t>
            </w:r>
          </w:p>
        </w:tc>
      </w:tr>
      <w:tr>
        <w:trPr>
          <w:trHeight w:val="116"/>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Assets</w:t>
            </w:r>
          </w:p>
        </w:tc>
        <w:tc>
          <w:tcPr>
            <w:tcW w:w="1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r>
      <w:tr>
        <w:trPr>
          <w:trHeight w:val="134"/>
        </w:trPr>
        <w:tc>
          <w:tcPr>
            <w:tcW w:w="5620" w:type="dxa"/>
            <w:vAlign w:val="bottom"/>
          </w:tcPr>
          <w:p>
            <w:pPr>
              <w:spacing w:after="0"/>
              <w:rPr>
                <w:sz w:val="20"/>
                <w:szCs w:val="20"/>
                <w:color w:val="auto"/>
              </w:rPr>
            </w:pPr>
            <w:r>
              <w:rPr>
                <w:rFonts w:ascii="Arial" w:cs="Arial" w:eastAsia="Arial" w:hAnsi="Arial"/>
                <w:sz w:val="10"/>
                <w:szCs w:val="10"/>
                <w:color w:val="auto"/>
              </w:rPr>
              <w:t>Cash and due from banks</w:t>
            </w:r>
          </w:p>
        </w:tc>
        <w:tc>
          <w:tcPr>
            <w:tcW w:w="140" w:type="dxa"/>
            <w:vAlign w:val="bottom"/>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ind w:right="12"/>
              <w:spacing w:after="0"/>
              <w:rPr>
                <w:sz w:val="20"/>
                <w:szCs w:val="20"/>
                <w:color w:val="auto"/>
              </w:rPr>
            </w:pPr>
            <w:r>
              <w:rPr>
                <w:rFonts w:ascii="Arial" w:cs="Arial" w:eastAsia="Arial" w:hAnsi="Arial"/>
                <w:sz w:val="10"/>
                <w:szCs w:val="10"/>
                <w:b w:val="1"/>
                <w:bCs w:val="1"/>
                <w:color w:val="auto"/>
              </w:rPr>
              <w:t>15,563</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24,771</w:t>
            </w:r>
          </w:p>
        </w:tc>
        <w:tc>
          <w:tcPr>
            <w:tcW w:w="60" w:type="dxa"/>
            <w:vAlign w:val="bottom"/>
          </w:tcPr>
          <w:p>
            <w:pPr>
              <w:spacing w:after="0"/>
              <w:rPr>
                <w:sz w:val="11"/>
                <w:szCs w:val="11"/>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20,182</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30,894</w:t>
            </w:r>
          </w:p>
        </w:tc>
        <w:tc>
          <w:tcPr>
            <w:tcW w:w="6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12"/>
              <w:spacing w:after="0"/>
              <w:rPr>
                <w:sz w:val="20"/>
                <w:szCs w:val="20"/>
                <w:color w:val="auto"/>
              </w:rPr>
            </w:pPr>
            <w:r>
              <w:rPr>
                <w:rFonts w:ascii="Arial" w:cs="Arial" w:eastAsia="Arial" w:hAnsi="Arial"/>
                <w:sz w:val="10"/>
                <w:szCs w:val="10"/>
                <w:color w:val="auto"/>
              </w:rPr>
              <w:t>25,724</w:t>
            </w:r>
          </w:p>
        </w:tc>
      </w:tr>
      <w:tr>
        <w:trPr>
          <w:trHeight w:val="136"/>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Interest-bearing deposits at other financial institutions</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246,469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393,428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379,069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224,611</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163,078</w:t>
            </w:r>
          </w:p>
        </w:tc>
      </w:tr>
      <w:tr>
        <w:trPr>
          <w:trHeight w:val="134"/>
        </w:trPr>
        <w:tc>
          <w:tcPr>
            <w:tcW w:w="5620" w:type="dxa"/>
            <w:vAlign w:val="bottom"/>
          </w:tcPr>
          <w:p>
            <w:pPr>
              <w:spacing w:after="0"/>
              <w:rPr>
                <w:sz w:val="20"/>
                <w:szCs w:val="20"/>
                <w:color w:val="auto"/>
              </w:rPr>
            </w:pPr>
            <w:r>
              <w:rPr>
                <w:rFonts w:ascii="Arial" w:cs="Arial" w:eastAsia="Arial" w:hAnsi="Arial"/>
                <w:sz w:val="10"/>
                <w:szCs w:val="10"/>
                <w:color w:val="auto"/>
              </w:rPr>
              <w:t>Federal funds sold</w:t>
            </w:r>
          </w:p>
        </w:tc>
        <w:tc>
          <w:tcPr>
            <w:tcW w:w="14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60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60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60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color w:val="auto"/>
              </w:rPr>
              <w:t>59</w:t>
            </w:r>
          </w:p>
        </w:tc>
      </w:tr>
      <w:tr>
        <w:trPr>
          <w:trHeight w:val="125"/>
        </w:trPr>
        <w:tc>
          <w:tcPr>
            <w:tcW w:w="56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0"/>
                <w:szCs w:val="10"/>
                <w:color w:val="auto"/>
              </w:rPr>
              <w:t>Total cash and cash equivalents</w:t>
            </w:r>
          </w:p>
        </w:tc>
        <w:tc>
          <w:tcPr>
            <w:tcW w:w="1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262,032</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418,259</w:t>
            </w: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399,311</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255,565</w:t>
            </w: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188,861</w:t>
            </w:r>
          </w:p>
        </w:tc>
      </w:tr>
      <w:tr>
        <w:trPr>
          <w:trHeight w:val="134"/>
        </w:trPr>
        <w:tc>
          <w:tcPr>
            <w:tcW w:w="5620" w:type="dxa"/>
            <w:vAlign w:val="bottom"/>
          </w:tcPr>
          <w:p>
            <w:pPr>
              <w:spacing w:after="0"/>
              <w:rPr>
                <w:sz w:val="20"/>
                <w:szCs w:val="20"/>
                <w:color w:val="auto"/>
              </w:rPr>
            </w:pPr>
            <w:r>
              <w:rPr>
                <w:rFonts w:ascii="Arial" w:cs="Arial" w:eastAsia="Arial" w:hAnsi="Arial"/>
                <w:sz w:val="10"/>
                <w:szCs w:val="10"/>
                <w:color w:val="auto"/>
              </w:rPr>
              <w:t>Investment securities available-for-sale</w:t>
            </w:r>
          </w:p>
        </w:tc>
        <w:tc>
          <w:tcPr>
            <w:tcW w:w="1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b w:val="1"/>
                <w:bCs w:val="1"/>
                <w:color w:val="auto"/>
              </w:rPr>
              <w:t>214,486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219,947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230,525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230,083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color w:val="auto"/>
              </w:rPr>
              <w:t>232,640</w:t>
            </w:r>
          </w:p>
        </w:tc>
      </w:tr>
      <w:tr>
        <w:trPr>
          <w:trHeight w:val="136"/>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Restricted investments</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6,360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8,707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8,691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8,397</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7,057</w:t>
            </w:r>
          </w:p>
        </w:tc>
      </w:tr>
      <w:tr>
        <w:trPr>
          <w:trHeight w:val="134"/>
        </w:trPr>
        <w:tc>
          <w:tcPr>
            <w:tcW w:w="5620" w:type="dxa"/>
            <w:vAlign w:val="bottom"/>
          </w:tcPr>
          <w:p>
            <w:pPr>
              <w:spacing w:after="0"/>
              <w:rPr>
                <w:sz w:val="20"/>
                <w:szCs w:val="20"/>
                <w:color w:val="auto"/>
              </w:rPr>
            </w:pPr>
            <w:r>
              <w:rPr>
                <w:rFonts w:ascii="Arial" w:cs="Arial" w:eastAsia="Arial" w:hAnsi="Arial"/>
                <w:sz w:val="10"/>
                <w:szCs w:val="10"/>
                <w:color w:val="auto"/>
              </w:rPr>
              <w:t>Loans held for sale</w:t>
            </w:r>
            <w:r>
              <w:rPr>
                <w:rFonts w:ascii="Arial" w:cs="Arial" w:eastAsia="Arial" w:hAnsi="Arial"/>
                <w:sz w:val="6"/>
                <w:szCs w:val="6"/>
                <w:color w:val="auto"/>
              </w:rPr>
              <w:t>(1)</w:t>
            </w:r>
          </w:p>
        </w:tc>
        <w:tc>
          <w:tcPr>
            <w:tcW w:w="1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b w:val="1"/>
                <w:bCs w:val="1"/>
                <w:color w:val="auto"/>
              </w:rPr>
              <w:t>74,251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22,370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13,739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25,828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color w:val="auto"/>
              </w:rPr>
              <w:t>14,146</w:t>
            </w:r>
          </w:p>
        </w:tc>
      </w:tr>
      <w:tr>
        <w:trPr>
          <w:trHeight w:val="136"/>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Portfolio loans receivable, net of deferred fees and costs</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3,114,264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3,085,950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3,026,431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2,959,457</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2,821,983</w:t>
            </w:r>
          </w:p>
        </w:tc>
      </w:tr>
      <w:tr>
        <w:trPr>
          <w:trHeight w:val="134"/>
        </w:trPr>
        <w:tc>
          <w:tcPr>
            <w:tcW w:w="562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Less allowance for credit losses</w:t>
            </w: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(55,493)</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(54,431)</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(54,680)</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(54,660)</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(53,045)</w:t>
            </w:r>
          </w:p>
        </w:tc>
      </w:tr>
      <w:tr>
        <w:trPr>
          <w:trHeight w:val="125"/>
        </w:trPr>
        <w:tc>
          <w:tcPr>
            <w:tcW w:w="5620" w:type="dxa"/>
            <w:vAlign w:val="bottom"/>
            <w:shd w:val="clear" w:color="auto" w:fill="CCEEFF"/>
          </w:tcPr>
          <w:p>
            <w:pPr>
              <w:ind w:left="260"/>
              <w:spacing w:after="0"/>
              <w:rPr>
                <w:sz w:val="20"/>
                <w:szCs w:val="20"/>
                <w:color w:val="auto"/>
              </w:rPr>
            </w:pPr>
            <w:r>
              <w:rPr>
                <w:rFonts w:ascii="Arial" w:cs="Arial" w:eastAsia="Arial" w:hAnsi="Arial"/>
                <w:sz w:val="10"/>
                <w:szCs w:val="10"/>
                <w:color w:val="auto"/>
              </w:rPr>
              <w:t>Total portfolio loans held for investment, net</w:t>
            </w: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3,058,771</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3,031,519</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2,971,751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2,904,797</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2,768,938</w:t>
            </w:r>
          </w:p>
        </w:tc>
      </w:tr>
      <w:tr>
        <w:trPr>
          <w:trHeight w:val="134"/>
        </w:trPr>
        <w:tc>
          <w:tcPr>
            <w:tcW w:w="5620" w:type="dxa"/>
            <w:vAlign w:val="bottom"/>
          </w:tcPr>
          <w:p>
            <w:pPr>
              <w:spacing w:after="0"/>
              <w:rPr>
                <w:sz w:val="20"/>
                <w:szCs w:val="20"/>
                <w:color w:val="auto"/>
              </w:rPr>
            </w:pPr>
            <w:r>
              <w:rPr>
                <w:rFonts w:ascii="Arial" w:cs="Arial" w:eastAsia="Arial" w:hAnsi="Arial"/>
                <w:sz w:val="10"/>
                <w:szCs w:val="10"/>
                <w:color w:val="auto"/>
              </w:rPr>
              <w:t>Premises and equipment, net</w:t>
            </w:r>
            <w:r>
              <w:rPr>
                <w:rFonts w:ascii="Arial" w:cs="Arial" w:eastAsia="Arial" w:hAnsi="Arial"/>
                <w:sz w:val="6"/>
                <w:szCs w:val="6"/>
                <w:color w:val="auto"/>
              </w:rPr>
              <w:t>(1)</w:t>
            </w:r>
          </w:p>
        </w:tc>
        <w:tc>
          <w:tcPr>
            <w:tcW w:w="1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b w:val="1"/>
                <w:bCs w:val="1"/>
                <w:color w:val="auto"/>
              </w:rPr>
              <w:t>17,531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17,669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17,732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15,072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color w:val="auto"/>
              </w:rPr>
              <w:t>15,304</w:t>
            </w:r>
          </w:p>
        </w:tc>
      </w:tr>
      <w:tr>
        <w:trPr>
          <w:trHeight w:val="136"/>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Accrued interest receivable</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23,189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19,429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16,795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16,695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19,011</w:t>
            </w:r>
          </w:p>
        </w:tc>
      </w:tr>
      <w:tr>
        <w:trPr>
          <w:trHeight w:val="134"/>
        </w:trPr>
        <w:tc>
          <w:tcPr>
            <w:tcW w:w="5620" w:type="dxa"/>
            <w:vAlign w:val="bottom"/>
          </w:tcPr>
          <w:p>
            <w:pPr>
              <w:spacing w:after="0"/>
              <w:rPr>
                <w:sz w:val="20"/>
                <w:szCs w:val="20"/>
                <w:color w:val="auto"/>
              </w:rPr>
            </w:pPr>
            <w:r>
              <w:rPr>
                <w:rFonts w:ascii="Arial" w:cs="Arial" w:eastAsia="Arial" w:hAnsi="Arial"/>
                <w:sz w:val="10"/>
                <w:szCs w:val="10"/>
                <w:color w:val="auto"/>
              </w:rPr>
              <w:t>Goodwill</w:t>
            </w:r>
          </w:p>
        </w:tc>
        <w:tc>
          <w:tcPr>
            <w:tcW w:w="1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b w:val="1"/>
                <w:bCs w:val="1"/>
                <w:color w:val="auto"/>
              </w:rPr>
              <w:t>25,969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25,969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25,969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25,969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color w:val="auto"/>
              </w:rPr>
              <w:t>25,969</w:t>
            </w:r>
          </w:p>
        </w:tc>
      </w:tr>
      <w:tr>
        <w:trPr>
          <w:trHeight w:val="136"/>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Intangible assets</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13,989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14,250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14,511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14,771</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15,033</w:t>
            </w:r>
          </w:p>
        </w:tc>
      </w:tr>
      <w:tr>
        <w:trPr>
          <w:trHeight w:val="134"/>
        </w:trPr>
        <w:tc>
          <w:tcPr>
            <w:tcW w:w="5620" w:type="dxa"/>
            <w:vAlign w:val="bottom"/>
          </w:tcPr>
          <w:p>
            <w:pPr>
              <w:spacing w:after="0"/>
              <w:rPr>
                <w:sz w:val="20"/>
                <w:szCs w:val="20"/>
                <w:color w:val="auto"/>
              </w:rPr>
            </w:pPr>
            <w:r>
              <w:rPr>
                <w:rFonts w:ascii="Arial" w:cs="Arial" w:eastAsia="Arial" w:hAnsi="Arial"/>
                <w:sz w:val="10"/>
                <w:szCs w:val="10"/>
                <w:color w:val="auto"/>
              </w:rPr>
              <w:t>Loan servicing assets</w:t>
            </w:r>
          </w:p>
        </w:tc>
        <w:tc>
          <w:tcPr>
            <w:tcW w:w="1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b w:val="1"/>
                <w:bCs w:val="1"/>
                <w:color w:val="auto"/>
              </w:rPr>
              <w:t>1,994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1,847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1,957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1,816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color w:val="auto"/>
              </w:rPr>
              <w:t>2,070</w:t>
            </w:r>
          </w:p>
        </w:tc>
      </w:tr>
      <w:tr>
        <w:trPr>
          <w:trHeight w:val="136"/>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Deferred tax asset</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18,206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16,504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15,187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14,992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14,885</w:t>
            </w:r>
          </w:p>
        </w:tc>
      </w:tr>
      <w:tr>
        <w:trPr>
          <w:trHeight w:val="134"/>
        </w:trPr>
        <w:tc>
          <w:tcPr>
            <w:tcW w:w="5620" w:type="dxa"/>
            <w:vAlign w:val="bottom"/>
          </w:tcPr>
          <w:p>
            <w:pPr>
              <w:spacing w:after="0"/>
              <w:rPr>
                <w:sz w:val="20"/>
                <w:szCs w:val="20"/>
                <w:color w:val="auto"/>
              </w:rPr>
            </w:pPr>
            <w:r>
              <w:rPr>
                <w:rFonts w:ascii="Arial" w:cs="Arial" w:eastAsia="Arial" w:hAnsi="Arial"/>
                <w:sz w:val="10"/>
                <w:szCs w:val="10"/>
                <w:color w:val="auto"/>
              </w:rPr>
              <w:t>Bank owned life insurance</w:t>
            </w:r>
          </w:p>
        </w:tc>
        <w:tc>
          <w:tcPr>
            <w:tcW w:w="1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b w:val="1"/>
                <w:bCs w:val="1"/>
                <w:color w:val="auto"/>
              </w:rPr>
              <w:t>46,654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46,260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45,871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45,488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color w:val="auto"/>
              </w:rPr>
              <w:t>45,105</w:t>
            </w:r>
          </w:p>
        </w:tc>
      </w:tr>
      <w:tr>
        <w:trPr>
          <w:trHeight w:val="135"/>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Other assets</w:t>
            </w:r>
          </w:p>
        </w:tc>
        <w:tc>
          <w:tcPr>
            <w:tcW w:w="1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39,121</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47,208</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46,428</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46,734</w:t>
            </w:r>
          </w:p>
        </w:tc>
        <w:tc>
          <w:tcPr>
            <w:tcW w:w="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40,423</w:t>
            </w:r>
          </w:p>
        </w:tc>
      </w:tr>
      <w:tr>
        <w:trPr>
          <w:trHeight w:val="141"/>
        </w:trPr>
        <w:tc>
          <w:tcPr>
            <w:tcW w:w="5620" w:type="dxa"/>
            <w:vAlign w:val="bottom"/>
            <w:tcBorders>
              <w:bottom w:val="single" w:sz="8" w:color="CCEEFF"/>
            </w:tcBorders>
          </w:tcPr>
          <w:p>
            <w:pPr>
              <w:ind w:left="260"/>
              <w:spacing w:after="0"/>
              <w:rPr>
                <w:sz w:val="20"/>
                <w:szCs w:val="20"/>
                <w:color w:val="auto"/>
              </w:rPr>
            </w:pPr>
            <w:r>
              <w:rPr>
                <w:rFonts w:ascii="Arial" w:cs="Arial" w:eastAsia="Arial" w:hAnsi="Arial"/>
                <w:sz w:val="10"/>
                <w:szCs w:val="10"/>
                <w:color w:val="auto"/>
              </w:rPr>
              <w:t>Total assets</w:t>
            </w: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3,802,553</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3,889,938</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3,808,467</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3,606,207</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3,389,442</w:t>
            </w:r>
          </w:p>
        </w:tc>
      </w:tr>
      <w:tr>
        <w:trPr>
          <w:trHeight w:val="117"/>
        </w:trPr>
        <w:tc>
          <w:tcPr>
            <w:tcW w:w="5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34"/>
        </w:trPr>
        <w:tc>
          <w:tcPr>
            <w:tcW w:w="5620" w:type="dxa"/>
            <w:vAlign w:val="bottom"/>
          </w:tcPr>
          <w:p>
            <w:pPr>
              <w:spacing w:after="0"/>
              <w:rPr>
                <w:sz w:val="20"/>
                <w:szCs w:val="20"/>
                <w:color w:val="auto"/>
              </w:rPr>
            </w:pPr>
            <w:r>
              <w:rPr>
                <w:rFonts w:ascii="Arial" w:cs="Arial" w:eastAsia="Arial" w:hAnsi="Arial"/>
                <w:sz w:val="10"/>
                <w:szCs w:val="10"/>
                <w:b w:val="1"/>
                <w:bCs w:val="1"/>
                <w:color w:val="auto"/>
              </w:rPr>
              <w:t>Liabilities</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6"/>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Deposits</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34"/>
        </w:trPr>
        <w:tc>
          <w:tcPr>
            <w:tcW w:w="5620" w:type="dxa"/>
            <w:vAlign w:val="bottom"/>
          </w:tcPr>
          <w:p>
            <w:pPr>
              <w:ind w:left="120"/>
              <w:spacing w:after="0"/>
              <w:rPr>
                <w:sz w:val="20"/>
                <w:szCs w:val="20"/>
                <w:color w:val="auto"/>
              </w:rPr>
            </w:pPr>
            <w:r>
              <w:rPr>
                <w:rFonts w:ascii="Arial" w:cs="Arial" w:eastAsia="Arial" w:hAnsi="Arial"/>
                <w:sz w:val="10"/>
                <w:szCs w:val="10"/>
                <w:color w:val="auto"/>
              </w:rPr>
              <w:t>Noninterest-bearing</w:t>
            </w:r>
          </w:p>
        </w:tc>
        <w:tc>
          <w:tcPr>
            <w:tcW w:w="140" w:type="dxa"/>
            <w:vAlign w:val="bottom"/>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ind w:right="12"/>
              <w:spacing w:after="0"/>
              <w:rPr>
                <w:sz w:val="20"/>
                <w:szCs w:val="20"/>
                <w:color w:val="auto"/>
              </w:rPr>
            </w:pPr>
            <w:r>
              <w:rPr>
                <w:rFonts w:ascii="Arial" w:cs="Arial" w:eastAsia="Arial" w:hAnsi="Arial"/>
                <w:sz w:val="10"/>
                <w:szCs w:val="10"/>
                <w:b w:val="1"/>
                <w:bCs w:val="1"/>
                <w:color w:val="auto"/>
              </w:rPr>
              <w:t>844,536</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897,363</w:t>
            </w:r>
          </w:p>
        </w:tc>
        <w:tc>
          <w:tcPr>
            <w:tcW w:w="60" w:type="dxa"/>
            <w:vAlign w:val="bottom"/>
          </w:tcPr>
          <w:p>
            <w:pPr>
              <w:spacing w:after="0"/>
              <w:rPr>
                <w:sz w:val="11"/>
                <w:szCs w:val="11"/>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0"/>
                <w:szCs w:val="10"/>
                <w:color w:val="auto"/>
              </w:rPr>
              <w:t>871,677</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852,741</w:t>
            </w:r>
          </w:p>
        </w:tc>
        <w:tc>
          <w:tcPr>
            <w:tcW w:w="6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12"/>
              <w:spacing w:after="0"/>
              <w:rPr>
                <w:sz w:val="20"/>
                <w:szCs w:val="20"/>
                <w:color w:val="auto"/>
              </w:rPr>
            </w:pPr>
            <w:r>
              <w:rPr>
                <w:rFonts w:ascii="Arial" w:cs="Arial" w:eastAsia="Arial" w:hAnsi="Arial"/>
                <w:sz w:val="10"/>
                <w:szCs w:val="10"/>
                <w:color w:val="auto"/>
              </w:rPr>
              <w:t>857,543</w:t>
            </w:r>
          </w:p>
        </w:tc>
      </w:tr>
      <w:tr>
        <w:trPr>
          <w:trHeight w:val="136"/>
        </w:trPr>
        <w:tc>
          <w:tcPr>
            <w:tcW w:w="5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Interest-bearing</w:t>
            </w:r>
          </w:p>
        </w:tc>
        <w:tc>
          <w:tcPr>
            <w:tcW w:w="1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2,474,599</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2,473,740</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2,420,370</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2,240,459</w:t>
            </w:r>
          </w:p>
        </w:tc>
        <w:tc>
          <w:tcPr>
            <w:tcW w:w="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2,054,510</w:t>
            </w:r>
          </w:p>
        </w:tc>
      </w:tr>
      <w:tr>
        <w:trPr>
          <w:trHeight w:val="123"/>
        </w:trPr>
        <w:tc>
          <w:tcPr>
            <w:tcW w:w="5620" w:type="dxa"/>
            <w:vAlign w:val="bottom"/>
          </w:tcPr>
          <w:p>
            <w:pPr>
              <w:ind w:left="260"/>
              <w:spacing w:after="0"/>
              <w:rPr>
                <w:sz w:val="20"/>
                <w:szCs w:val="20"/>
                <w:color w:val="auto"/>
              </w:rPr>
            </w:pPr>
            <w:r>
              <w:rPr>
                <w:rFonts w:ascii="Arial" w:cs="Arial" w:eastAsia="Arial" w:hAnsi="Arial"/>
                <w:sz w:val="10"/>
                <w:szCs w:val="10"/>
                <w:color w:val="auto"/>
              </w:rPr>
              <w:t>Total deposits</w:t>
            </w:r>
            <w:r>
              <w:rPr>
                <w:rFonts w:ascii="Arial" w:cs="Arial" w:eastAsia="Arial" w:hAnsi="Arial"/>
                <w:sz w:val="6"/>
                <w:szCs w:val="6"/>
                <w:color w:val="auto"/>
              </w:rPr>
              <w:t>(1)</w:t>
            </w:r>
          </w:p>
        </w:tc>
        <w:tc>
          <w:tcPr>
            <w:tcW w:w="140" w:type="dxa"/>
            <w:vAlign w:val="bottom"/>
          </w:tcPr>
          <w:p>
            <w:pPr>
              <w:spacing w:after="0"/>
              <w:rPr>
                <w:sz w:val="10"/>
                <w:szCs w:val="10"/>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b w:val="1"/>
                <w:bCs w:val="1"/>
                <w:color w:val="auto"/>
              </w:rPr>
              <w:t>3,319,135</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3,371,103</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3,292,047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3,093,200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color w:val="auto"/>
              </w:rPr>
              <w:t>2,912,053</w:t>
            </w:r>
          </w:p>
        </w:tc>
      </w:tr>
      <w:tr>
        <w:trPr>
          <w:trHeight w:val="136"/>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Federal Home Loan Bank advances</w:t>
            </w: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50,000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22,000</w:t>
            </w:r>
          </w:p>
        </w:tc>
      </w:tr>
      <w:tr>
        <w:trPr>
          <w:trHeight w:val="134"/>
        </w:trPr>
        <w:tc>
          <w:tcPr>
            <w:tcW w:w="5620" w:type="dxa"/>
            <w:vAlign w:val="bottom"/>
          </w:tcPr>
          <w:p>
            <w:pPr>
              <w:spacing w:after="0"/>
              <w:rPr>
                <w:sz w:val="20"/>
                <w:szCs w:val="20"/>
                <w:color w:val="auto"/>
              </w:rPr>
            </w:pPr>
            <w:r>
              <w:rPr>
                <w:rFonts w:ascii="Arial" w:cs="Arial" w:eastAsia="Arial" w:hAnsi="Arial"/>
                <w:sz w:val="10"/>
                <w:szCs w:val="10"/>
                <w:color w:val="auto"/>
              </w:rPr>
              <w:t>Other borrowed funds</w:t>
            </w:r>
          </w:p>
        </w:tc>
        <w:tc>
          <w:tcPr>
            <w:tcW w:w="1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b w:val="1"/>
                <w:bCs w:val="1"/>
                <w:color w:val="auto"/>
              </w:rPr>
              <w:t>2,062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2,062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2,062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2,062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color w:val="auto"/>
              </w:rPr>
              <w:t>12,062</w:t>
            </w:r>
          </w:p>
        </w:tc>
      </w:tr>
      <w:tr>
        <w:trPr>
          <w:trHeight w:val="136"/>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Accrued interest payable</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6,843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6,606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8,944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8,745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8,045</w:t>
            </w:r>
          </w:p>
        </w:tc>
      </w:tr>
      <w:tr>
        <w:trPr>
          <w:trHeight w:val="134"/>
        </w:trPr>
        <w:tc>
          <w:tcPr>
            <w:tcW w:w="56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Other liabilities</w:t>
            </w: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43,063</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37,962</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46,555</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50,443</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40,512</w:t>
            </w:r>
          </w:p>
        </w:tc>
      </w:tr>
      <w:tr>
        <w:trPr>
          <w:trHeight w:val="124"/>
        </w:trPr>
        <w:tc>
          <w:tcPr>
            <w:tcW w:w="5620" w:type="dxa"/>
            <w:vAlign w:val="bottom"/>
            <w:shd w:val="clear" w:color="auto" w:fill="CCEEFF"/>
          </w:tcPr>
          <w:p>
            <w:pPr>
              <w:ind w:left="260"/>
              <w:spacing w:after="0"/>
              <w:rPr>
                <w:sz w:val="20"/>
                <w:szCs w:val="20"/>
                <w:color w:val="auto"/>
              </w:rPr>
            </w:pPr>
            <w:r>
              <w:rPr>
                <w:rFonts w:ascii="Arial" w:cs="Arial" w:eastAsia="Arial" w:hAnsi="Arial"/>
                <w:sz w:val="10"/>
                <w:szCs w:val="10"/>
                <w:color w:val="auto"/>
              </w:rPr>
              <w:t>Total liabilities</w:t>
            </w:r>
          </w:p>
        </w:tc>
        <w:tc>
          <w:tcPr>
            <w:tcW w:w="14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3,371,103</w:t>
            </w: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3,467,733</w:t>
            </w:r>
          </w:p>
        </w:tc>
        <w:tc>
          <w:tcPr>
            <w:tcW w:w="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3,399,608</w:t>
            </w:r>
          </w:p>
        </w:tc>
        <w:tc>
          <w:tcPr>
            <w:tcW w:w="8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3,204,450</w:t>
            </w:r>
          </w:p>
        </w:tc>
        <w:tc>
          <w:tcPr>
            <w:tcW w:w="6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2,994,672</w:t>
            </w:r>
          </w:p>
        </w:tc>
      </w:tr>
      <w:tr>
        <w:trPr>
          <w:trHeight w:val="116"/>
        </w:trPr>
        <w:tc>
          <w:tcPr>
            <w:tcW w:w="5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35"/>
        </w:trPr>
        <w:tc>
          <w:tcPr>
            <w:tcW w:w="56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Stockholders' equity</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34"/>
        </w:trPr>
        <w:tc>
          <w:tcPr>
            <w:tcW w:w="5620" w:type="dxa"/>
            <w:vAlign w:val="bottom"/>
          </w:tcPr>
          <w:p>
            <w:pPr>
              <w:spacing w:after="0"/>
              <w:rPr>
                <w:sz w:val="20"/>
                <w:szCs w:val="20"/>
                <w:color w:val="auto"/>
              </w:rPr>
            </w:pPr>
            <w:r>
              <w:rPr>
                <w:rFonts w:ascii="Arial" w:cs="Arial" w:eastAsia="Arial" w:hAnsi="Arial"/>
                <w:sz w:val="10"/>
                <w:szCs w:val="10"/>
                <w:color w:val="auto"/>
              </w:rPr>
              <w:t>Common stock</w:t>
            </w:r>
          </w:p>
        </w:tc>
        <w:tc>
          <w:tcPr>
            <w:tcW w:w="1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b w:val="1"/>
                <w:bCs w:val="1"/>
                <w:color w:val="auto"/>
              </w:rPr>
              <w:t>163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163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163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164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color w:val="auto"/>
              </w:rPr>
              <w:t>166</w:t>
            </w:r>
          </w:p>
        </w:tc>
      </w:tr>
      <w:tr>
        <w:trPr>
          <w:trHeight w:val="136"/>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Additional paid-in capital</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114,557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113,217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112,268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114,604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121,707</w:t>
            </w:r>
          </w:p>
        </w:tc>
      </w:tr>
      <w:tr>
        <w:trPr>
          <w:trHeight w:val="134"/>
        </w:trPr>
        <w:tc>
          <w:tcPr>
            <w:tcW w:w="5620" w:type="dxa"/>
            <w:vAlign w:val="bottom"/>
          </w:tcPr>
          <w:p>
            <w:pPr>
              <w:spacing w:after="0"/>
              <w:rPr>
                <w:sz w:val="20"/>
                <w:szCs w:val="20"/>
                <w:color w:val="auto"/>
              </w:rPr>
            </w:pPr>
            <w:r>
              <w:rPr>
                <w:rFonts w:ascii="Arial" w:cs="Arial" w:eastAsia="Arial" w:hAnsi="Arial"/>
                <w:sz w:val="10"/>
                <w:szCs w:val="10"/>
                <w:color w:val="auto"/>
              </w:rPr>
              <w:t>Retained earnings</w:t>
            </w:r>
          </w:p>
        </w:tc>
        <w:tc>
          <w:tcPr>
            <w:tcW w:w="1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b w:val="1"/>
                <w:bCs w:val="1"/>
                <w:color w:val="auto"/>
              </w:rPr>
              <w:t>325,944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315,103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302,808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Arial" w:cs="Arial" w:eastAsia="Arial" w:hAnsi="Arial"/>
                <w:sz w:val="10"/>
                <w:szCs w:val="10"/>
                <w:color w:val="auto"/>
              </w:rPr>
              <w:t>292,749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12"/>
              <w:spacing w:after="0"/>
              <w:rPr>
                <w:sz w:val="20"/>
                <w:szCs w:val="20"/>
                <w:color w:val="auto"/>
              </w:rPr>
            </w:pPr>
            <w:r>
              <w:rPr>
                <w:rFonts w:ascii="Arial" w:cs="Arial" w:eastAsia="Arial" w:hAnsi="Arial"/>
                <w:sz w:val="10"/>
                <w:szCs w:val="10"/>
                <w:color w:val="auto"/>
              </w:rPr>
              <w:t>279,693</w:t>
            </w:r>
          </w:p>
        </w:tc>
      </w:tr>
      <w:tr>
        <w:trPr>
          <w:trHeight w:val="136"/>
        </w:trPr>
        <w:tc>
          <w:tcPr>
            <w:tcW w:w="5620" w:type="dxa"/>
            <w:vAlign w:val="bottom"/>
            <w:shd w:val="clear" w:color="auto" w:fill="CCEEFF"/>
          </w:tcPr>
          <w:p>
            <w:pPr>
              <w:spacing w:after="0"/>
              <w:rPr>
                <w:sz w:val="20"/>
                <w:szCs w:val="20"/>
                <w:color w:val="auto"/>
              </w:rPr>
            </w:pPr>
            <w:r>
              <w:rPr>
                <w:rFonts w:ascii="Arial" w:cs="Arial" w:eastAsia="Arial" w:hAnsi="Arial"/>
                <w:sz w:val="10"/>
                <w:szCs w:val="10"/>
                <w:color w:val="auto"/>
              </w:rPr>
              <w:t>Accumulated other comprehensive loss</w:t>
            </w:r>
          </w:p>
        </w:tc>
        <w:tc>
          <w:tcPr>
            <w:tcW w:w="1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(9,214)</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(6,278)</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(6,380)</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(5,760)</w:t>
            </w:r>
          </w:p>
        </w:tc>
        <w:tc>
          <w:tcPr>
            <w:tcW w:w="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(6,796)</w:t>
            </w:r>
          </w:p>
        </w:tc>
      </w:tr>
      <w:tr>
        <w:trPr>
          <w:trHeight w:val="123"/>
        </w:trPr>
        <w:tc>
          <w:tcPr>
            <w:tcW w:w="5620" w:type="dxa"/>
            <w:vAlign w:val="bottom"/>
            <w:tcBorders>
              <w:bottom w:val="single" w:sz="8" w:color="CCEEFF"/>
            </w:tcBorders>
          </w:tcPr>
          <w:p>
            <w:pPr>
              <w:ind w:left="260"/>
              <w:spacing w:after="0"/>
              <w:rPr>
                <w:sz w:val="20"/>
                <w:szCs w:val="20"/>
                <w:color w:val="auto"/>
              </w:rPr>
            </w:pPr>
            <w:r>
              <w:rPr>
                <w:rFonts w:ascii="Arial" w:cs="Arial" w:eastAsia="Arial" w:hAnsi="Arial"/>
                <w:sz w:val="10"/>
                <w:szCs w:val="10"/>
                <w:color w:val="auto"/>
              </w:rPr>
              <w:t>Total stockholders' equity</w:t>
            </w: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431,450</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422,205</w:t>
            </w: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408,859</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401,757</w:t>
            </w:r>
          </w:p>
        </w:tc>
        <w:tc>
          <w:tcPr>
            <w:tcW w:w="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394,770</w:t>
            </w:r>
          </w:p>
        </w:tc>
      </w:tr>
      <w:tr>
        <w:trPr>
          <w:trHeight w:val="141"/>
        </w:trPr>
        <w:tc>
          <w:tcPr>
            <w:tcW w:w="5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0"/>
                <w:szCs w:val="10"/>
                <w:color w:val="auto"/>
              </w:rPr>
              <w:t>Total liabilities and stockholders' equity</w:t>
            </w: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3,802,553</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3,889,938</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3,808,467</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3,606,207</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3,389,442</w:t>
            </w:r>
          </w:p>
        </w:tc>
      </w:tr>
    </w:tbl>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w:t>
      </w:r>
    </w:p>
    <w:p>
      <w:pPr>
        <w:ind w:left="208" w:hanging="208"/>
        <w:spacing w:after="0" w:line="221" w:lineRule="auto"/>
        <w:tabs>
          <w:tab w:leader="none" w:pos="208" w:val="left"/>
        </w:tabs>
        <w:numPr>
          <w:ilvl w:val="0"/>
          <w:numId w:val="27"/>
        </w:numPr>
        <w:rPr>
          <w:rFonts w:ascii="Arial" w:cs="Arial" w:eastAsia="Arial" w:hAnsi="Arial"/>
          <w:sz w:val="11"/>
          <w:szCs w:val="11"/>
          <w:color w:val="auto"/>
          <w:vertAlign w:val="superscript"/>
        </w:rPr>
      </w:pPr>
      <w:r>
        <w:rPr>
          <w:rFonts w:ascii="Arial" w:cs="Arial" w:eastAsia="Arial" w:hAnsi="Arial"/>
          <w:sz w:val="8"/>
          <w:szCs w:val="8"/>
          <w:color w:val="auto"/>
        </w:rPr>
        <w:t>Balances include held for sale transactions in connection with sale of Chicago branch.</w:t>
      </w:r>
    </w:p>
    <w:p>
      <w:pPr>
        <w:spacing w:after="0" w:line="187" w:lineRule="exact"/>
        <w:rPr>
          <w:sz w:val="20"/>
          <w:szCs w:val="20"/>
          <w:color w:val="auto"/>
        </w:rPr>
      </w:pPr>
    </w:p>
    <w:p>
      <w:pPr>
        <w:jc w:val="center"/>
        <w:ind w:right="-187"/>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108"/>
          </w:cols>
          <w:pgMar w:left="292" w:top="544" w:right="499" w:bottom="1440" w:gutter="0" w:footer="0" w:header="0"/>
        </w:sectPr>
      </w:pPr>
    </w:p>
    <w:bookmarkStart w:id="18" w:name="page19"/>
    <w:bookmarkEnd w:id="18"/>
    <w:p>
      <w:pPr>
        <w:spacing w:after="0" w:line="286" w:lineRule="auto"/>
        <w:rPr>
          <w:sz w:val="20"/>
          <w:szCs w:val="20"/>
          <w:color w:val="auto"/>
        </w:rPr>
      </w:pPr>
      <w:r>
        <w:rPr>
          <w:rFonts w:ascii="Arial" w:cs="Arial" w:eastAsia="Arial" w:hAnsi="Arial"/>
          <w:sz w:val="12"/>
          <w:szCs w:val="12"/>
          <w:color w:val="auto"/>
        </w:rPr>
        <w:t>The following tables show the average outstanding balance of each principal category of our assets, liabilities and stockholders’ equity, together with the average yields on our assets and the average costs of our liabilities for the periods indicated. Such yields and costs are calculated by dividing the annualized income or expense by the average daily balances of the corresponding assets or liabilities for the same period.</w:t>
      </w:r>
    </w:p>
    <w:p>
      <w:pPr>
        <w:spacing w:after="0" w:line="37" w:lineRule="exact"/>
        <w:rPr>
          <w:sz w:val="20"/>
          <w:szCs w:val="20"/>
          <w:color w:val="auto"/>
        </w:rPr>
      </w:pPr>
    </w:p>
    <w:tbl>
      <w:tblPr>
        <w:tblLayout w:type="fixed"/>
        <w:tblInd w:w="70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6"/>
          </w:tcPr>
          <w:p>
            <w:pPr>
              <w:jc w:val="center"/>
              <w:ind w:left="492"/>
              <w:spacing w:after="0"/>
              <w:rPr>
                <w:sz w:val="20"/>
                <w:szCs w:val="20"/>
                <w:color w:val="auto"/>
              </w:rPr>
            </w:pPr>
            <w:r>
              <w:rPr>
                <w:rFonts w:ascii="Arial" w:cs="Arial" w:eastAsia="Arial" w:hAnsi="Arial"/>
                <w:sz w:val="10"/>
                <w:szCs w:val="10"/>
                <w:b w:val="1"/>
                <w:bCs w:val="1"/>
                <w:color w:val="auto"/>
                <w:w w:val="94"/>
              </w:rPr>
              <w:t>Three Months Ended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5"/>
          </w:tcPr>
          <w:p>
            <w:pPr>
              <w:jc w:val="center"/>
              <w:ind w:left="552"/>
              <w:spacing w:after="0"/>
              <w:rPr>
                <w:sz w:val="20"/>
                <w:szCs w:val="20"/>
                <w:color w:val="auto"/>
              </w:rPr>
            </w:pPr>
            <w:r>
              <w:rPr>
                <w:rFonts w:ascii="Arial" w:cs="Arial" w:eastAsia="Arial" w:hAnsi="Arial"/>
                <w:sz w:val="10"/>
                <w:szCs w:val="10"/>
                <w:color w:val="auto"/>
                <w:w w:val="96"/>
              </w:rPr>
              <w:t>Three Months Ended</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5"/>
          </w:tcPr>
          <w:p>
            <w:pPr>
              <w:ind w:left="620"/>
              <w:spacing w:after="0"/>
              <w:rPr>
                <w:sz w:val="20"/>
                <w:szCs w:val="20"/>
                <w:color w:val="auto"/>
              </w:rPr>
            </w:pPr>
            <w:r>
              <w:rPr>
                <w:rFonts w:ascii="Arial" w:cs="Arial" w:eastAsia="Arial" w:hAnsi="Arial"/>
                <w:sz w:val="10"/>
                <w:szCs w:val="10"/>
                <w:color w:val="auto"/>
                <w:w w:val="96"/>
              </w:rPr>
              <w:t>Three Months Ended</w:t>
            </w:r>
          </w:p>
        </w:tc>
        <w:tc>
          <w:tcPr>
            <w:tcW w:w="720" w:type="dxa"/>
            <w:vAlign w:val="bottom"/>
          </w:tcPr>
          <w:p>
            <w:pPr>
              <w:spacing w:after="0"/>
              <w:rPr>
                <w:sz w:val="10"/>
                <w:szCs w:val="10"/>
                <w:color w:val="auto"/>
              </w:rPr>
            </w:pPr>
          </w:p>
        </w:tc>
      </w:tr>
      <w:tr>
        <w:trPr>
          <w:trHeight w:val="126"/>
        </w:trPr>
        <w:tc>
          <w:tcPr>
            <w:tcW w:w="26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6"/>
          </w:tcPr>
          <w:p>
            <w:pPr>
              <w:jc w:val="center"/>
              <w:ind w:left="492"/>
              <w:spacing w:after="0"/>
              <w:rPr>
                <w:sz w:val="20"/>
                <w:szCs w:val="20"/>
                <w:color w:val="auto"/>
              </w:rPr>
            </w:pPr>
            <w:r>
              <w:rPr>
                <w:rFonts w:ascii="Arial" w:cs="Arial" w:eastAsia="Arial" w:hAnsi="Arial"/>
                <w:sz w:val="10"/>
                <w:szCs w:val="10"/>
                <w:b w:val="1"/>
                <w:bCs w:val="1"/>
                <w:color w:val="auto"/>
                <w:w w:val="96"/>
              </w:rPr>
              <w:t>September 30, 2026</w:t>
            </w: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0"/>
                <w:szCs w:val="10"/>
                <w:color w:val="auto"/>
                <w:w w:val="97"/>
              </w:rPr>
              <w:t>June 30, 2026</w:t>
            </w: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5"/>
          </w:tcPr>
          <w:p>
            <w:pPr>
              <w:ind w:left="640"/>
              <w:spacing w:after="0"/>
              <w:rPr>
                <w:sz w:val="20"/>
                <w:szCs w:val="20"/>
                <w:color w:val="auto"/>
              </w:rPr>
            </w:pPr>
            <w:r>
              <w:rPr>
                <w:rFonts w:ascii="Arial" w:cs="Arial" w:eastAsia="Arial" w:hAnsi="Arial"/>
                <w:sz w:val="10"/>
                <w:szCs w:val="10"/>
                <w:color w:val="auto"/>
                <w:w w:val="97"/>
              </w:rPr>
              <w:t>September 30, 2025</w:t>
            </w:r>
          </w:p>
        </w:tc>
        <w:tc>
          <w:tcPr>
            <w:tcW w:w="720" w:type="dxa"/>
            <w:vAlign w:val="bottom"/>
            <w:tcBorders>
              <w:bottom w:val="single" w:sz="8" w:color="auto"/>
            </w:tcBorders>
          </w:tcPr>
          <w:p>
            <w:pPr>
              <w:spacing w:after="0"/>
              <w:rPr>
                <w:sz w:val="10"/>
                <w:szCs w:val="10"/>
                <w:color w:val="auto"/>
              </w:rPr>
            </w:pPr>
          </w:p>
        </w:tc>
      </w:tr>
      <w:tr>
        <w:trPr>
          <w:trHeight w:val="88"/>
        </w:trPr>
        <w:tc>
          <w:tcPr>
            <w:tcW w:w="2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tcPr>
          <w:p>
            <w:pPr>
              <w:jc w:val="center"/>
              <w:ind w:right="180"/>
              <w:spacing w:after="0" w:line="88" w:lineRule="exact"/>
              <w:rPr>
                <w:sz w:val="20"/>
                <w:szCs w:val="20"/>
                <w:color w:val="auto"/>
              </w:rPr>
            </w:pPr>
            <w:r>
              <w:rPr>
                <w:rFonts w:ascii="Arial" w:cs="Arial" w:eastAsia="Arial" w:hAnsi="Arial"/>
                <w:sz w:val="10"/>
                <w:szCs w:val="10"/>
                <w:b w:val="1"/>
                <w:bCs w:val="1"/>
                <w:color w:val="auto"/>
                <w:w w:val="96"/>
              </w:rPr>
              <w:t>Average</w:t>
            </w:r>
          </w:p>
        </w:tc>
        <w:tc>
          <w:tcPr>
            <w:tcW w:w="100" w:type="dxa"/>
            <w:vAlign w:val="bottom"/>
          </w:tcPr>
          <w:p>
            <w:pPr>
              <w:spacing w:after="0"/>
              <w:rPr>
                <w:sz w:val="7"/>
                <w:szCs w:val="7"/>
                <w:color w:val="auto"/>
              </w:rPr>
            </w:pPr>
          </w:p>
        </w:tc>
        <w:tc>
          <w:tcPr>
            <w:tcW w:w="700" w:type="dxa"/>
            <w:vAlign w:val="bottom"/>
            <w:gridSpan w:val="3"/>
          </w:tcPr>
          <w:p>
            <w:pPr>
              <w:jc w:val="center"/>
              <w:ind w:right="260"/>
              <w:spacing w:after="0" w:line="88" w:lineRule="exact"/>
              <w:rPr>
                <w:sz w:val="20"/>
                <w:szCs w:val="20"/>
                <w:color w:val="auto"/>
              </w:rPr>
            </w:pPr>
            <w:r>
              <w:rPr>
                <w:rFonts w:ascii="Arial" w:cs="Arial" w:eastAsia="Arial" w:hAnsi="Arial"/>
                <w:sz w:val="10"/>
                <w:szCs w:val="10"/>
                <w:b w:val="1"/>
                <w:bCs w:val="1"/>
                <w:color w:val="auto"/>
                <w:w w:val="99"/>
              </w:rPr>
              <w:t>Interest</w:t>
            </w:r>
          </w:p>
        </w:tc>
        <w:tc>
          <w:tcPr>
            <w:tcW w:w="620" w:type="dxa"/>
            <w:vAlign w:val="bottom"/>
          </w:tcPr>
          <w:p>
            <w:pPr>
              <w:jc w:val="center"/>
              <w:ind w:right="72"/>
              <w:spacing w:after="0" w:line="88" w:lineRule="exact"/>
              <w:rPr>
                <w:sz w:val="20"/>
                <w:szCs w:val="20"/>
                <w:color w:val="auto"/>
              </w:rPr>
            </w:pPr>
            <w:r>
              <w:rPr>
                <w:rFonts w:ascii="Arial" w:cs="Arial" w:eastAsia="Arial" w:hAnsi="Arial"/>
                <w:sz w:val="10"/>
                <w:szCs w:val="10"/>
                <w:b w:val="1"/>
                <w:bCs w:val="1"/>
                <w:color w:val="auto"/>
                <w:w w:val="96"/>
              </w:rPr>
              <w:t>Average</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jc w:val="right"/>
              <w:ind w:right="232"/>
              <w:spacing w:after="0" w:line="88" w:lineRule="exact"/>
              <w:rPr>
                <w:sz w:val="20"/>
                <w:szCs w:val="20"/>
                <w:color w:val="auto"/>
              </w:rPr>
            </w:pPr>
            <w:r>
              <w:rPr>
                <w:rFonts w:ascii="Arial" w:cs="Arial" w:eastAsia="Arial" w:hAnsi="Arial"/>
                <w:sz w:val="10"/>
                <w:szCs w:val="10"/>
                <w:color w:val="auto"/>
              </w:rPr>
              <w:t>Average</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tcPr>
          <w:p>
            <w:pPr>
              <w:jc w:val="center"/>
              <w:ind w:right="180"/>
              <w:spacing w:after="0" w:line="88" w:lineRule="exact"/>
              <w:rPr>
                <w:sz w:val="20"/>
                <w:szCs w:val="20"/>
                <w:color w:val="auto"/>
              </w:rPr>
            </w:pPr>
            <w:r>
              <w:rPr>
                <w:rFonts w:ascii="Arial" w:cs="Arial" w:eastAsia="Arial" w:hAnsi="Arial"/>
                <w:sz w:val="10"/>
                <w:szCs w:val="10"/>
                <w:color w:val="auto"/>
                <w:w w:val="95"/>
              </w:rPr>
              <w:t>Interest</w:t>
            </w:r>
          </w:p>
        </w:tc>
        <w:tc>
          <w:tcPr>
            <w:tcW w:w="720" w:type="dxa"/>
            <w:vAlign w:val="bottom"/>
          </w:tcPr>
          <w:p>
            <w:pPr>
              <w:jc w:val="right"/>
              <w:ind w:right="152"/>
              <w:spacing w:after="0" w:line="88" w:lineRule="exact"/>
              <w:rPr>
                <w:sz w:val="20"/>
                <w:szCs w:val="20"/>
                <w:color w:val="auto"/>
              </w:rPr>
            </w:pPr>
            <w:r>
              <w:rPr>
                <w:rFonts w:ascii="Arial" w:cs="Arial" w:eastAsia="Arial" w:hAnsi="Arial"/>
                <w:sz w:val="10"/>
                <w:szCs w:val="10"/>
                <w:color w:val="auto"/>
              </w:rPr>
              <w:t>Average</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tcPr>
          <w:p>
            <w:pPr>
              <w:jc w:val="center"/>
              <w:ind w:right="220"/>
              <w:spacing w:after="0" w:line="88" w:lineRule="exact"/>
              <w:rPr>
                <w:sz w:val="20"/>
                <w:szCs w:val="20"/>
                <w:color w:val="auto"/>
              </w:rPr>
            </w:pPr>
            <w:r>
              <w:rPr>
                <w:rFonts w:ascii="Arial" w:cs="Arial" w:eastAsia="Arial" w:hAnsi="Arial"/>
                <w:sz w:val="10"/>
                <w:szCs w:val="10"/>
                <w:color w:val="auto"/>
                <w:w w:val="91"/>
              </w:rPr>
              <w:t>Average</w:t>
            </w:r>
          </w:p>
        </w:tc>
        <w:tc>
          <w:tcPr>
            <w:tcW w:w="100" w:type="dxa"/>
            <w:vAlign w:val="bottom"/>
          </w:tcPr>
          <w:p>
            <w:pPr>
              <w:spacing w:after="0"/>
              <w:rPr>
                <w:sz w:val="7"/>
                <w:szCs w:val="7"/>
                <w:color w:val="auto"/>
              </w:rPr>
            </w:pPr>
          </w:p>
        </w:tc>
        <w:tc>
          <w:tcPr>
            <w:tcW w:w="600" w:type="dxa"/>
            <w:vAlign w:val="bottom"/>
            <w:gridSpan w:val="2"/>
          </w:tcPr>
          <w:p>
            <w:pPr>
              <w:jc w:val="center"/>
              <w:ind w:right="160"/>
              <w:spacing w:after="0" w:line="88" w:lineRule="exact"/>
              <w:rPr>
                <w:sz w:val="20"/>
                <w:szCs w:val="20"/>
                <w:color w:val="auto"/>
              </w:rPr>
            </w:pPr>
            <w:r>
              <w:rPr>
                <w:rFonts w:ascii="Arial" w:cs="Arial" w:eastAsia="Arial" w:hAnsi="Arial"/>
                <w:sz w:val="10"/>
                <w:szCs w:val="10"/>
                <w:color w:val="auto"/>
                <w:w w:val="95"/>
              </w:rPr>
              <w:t>Interest</w:t>
            </w:r>
          </w:p>
        </w:tc>
        <w:tc>
          <w:tcPr>
            <w:tcW w:w="720" w:type="dxa"/>
            <w:vAlign w:val="bottom"/>
          </w:tcPr>
          <w:p>
            <w:pPr>
              <w:ind w:left="180"/>
              <w:spacing w:after="0" w:line="88" w:lineRule="exact"/>
              <w:rPr>
                <w:sz w:val="20"/>
                <w:szCs w:val="20"/>
                <w:color w:val="auto"/>
              </w:rPr>
            </w:pPr>
            <w:r>
              <w:rPr>
                <w:rFonts w:ascii="Arial" w:cs="Arial" w:eastAsia="Arial" w:hAnsi="Arial"/>
                <w:sz w:val="10"/>
                <w:szCs w:val="10"/>
                <w:color w:val="auto"/>
              </w:rPr>
              <w:t>Average</w:t>
            </w:r>
          </w:p>
        </w:tc>
      </w:tr>
      <w:tr>
        <w:trPr>
          <w:trHeight w:val="91"/>
        </w:trPr>
        <w:tc>
          <w:tcPr>
            <w:tcW w:w="2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tcPr>
          <w:p>
            <w:pPr>
              <w:jc w:val="center"/>
              <w:ind w:right="200"/>
              <w:spacing w:after="0" w:line="91" w:lineRule="exact"/>
              <w:rPr>
                <w:sz w:val="20"/>
                <w:szCs w:val="20"/>
                <w:color w:val="auto"/>
              </w:rPr>
            </w:pPr>
            <w:r>
              <w:rPr>
                <w:rFonts w:ascii="Arial" w:cs="Arial" w:eastAsia="Arial" w:hAnsi="Arial"/>
                <w:sz w:val="10"/>
                <w:szCs w:val="10"/>
                <w:b w:val="1"/>
                <w:bCs w:val="1"/>
                <w:color w:val="auto"/>
                <w:w w:val="95"/>
              </w:rPr>
              <w:t>Outstanding</w:t>
            </w:r>
          </w:p>
        </w:tc>
        <w:tc>
          <w:tcPr>
            <w:tcW w:w="100" w:type="dxa"/>
            <w:vAlign w:val="bottom"/>
          </w:tcPr>
          <w:p>
            <w:pPr>
              <w:spacing w:after="0"/>
              <w:rPr>
                <w:sz w:val="7"/>
                <w:szCs w:val="7"/>
                <w:color w:val="auto"/>
              </w:rPr>
            </w:pPr>
          </w:p>
        </w:tc>
        <w:tc>
          <w:tcPr>
            <w:tcW w:w="700" w:type="dxa"/>
            <w:vAlign w:val="bottom"/>
            <w:gridSpan w:val="3"/>
          </w:tcPr>
          <w:p>
            <w:pPr>
              <w:jc w:val="center"/>
              <w:ind w:right="300"/>
              <w:spacing w:after="0" w:line="91" w:lineRule="exact"/>
              <w:rPr>
                <w:sz w:val="20"/>
                <w:szCs w:val="20"/>
                <w:color w:val="auto"/>
              </w:rPr>
            </w:pPr>
            <w:r>
              <w:rPr>
                <w:rFonts w:ascii="Arial" w:cs="Arial" w:eastAsia="Arial" w:hAnsi="Arial"/>
                <w:sz w:val="10"/>
                <w:szCs w:val="10"/>
                <w:b w:val="1"/>
                <w:bCs w:val="1"/>
                <w:color w:val="auto"/>
                <w:w w:val="95"/>
              </w:rPr>
              <w:t>Income/</w:t>
            </w:r>
          </w:p>
        </w:tc>
        <w:tc>
          <w:tcPr>
            <w:tcW w:w="620" w:type="dxa"/>
            <w:vAlign w:val="bottom"/>
          </w:tcPr>
          <w:p>
            <w:pPr>
              <w:jc w:val="center"/>
              <w:ind w:right="72"/>
              <w:spacing w:after="0" w:line="91" w:lineRule="exact"/>
              <w:rPr>
                <w:sz w:val="20"/>
                <w:szCs w:val="20"/>
                <w:color w:val="auto"/>
              </w:rPr>
            </w:pPr>
            <w:r>
              <w:rPr>
                <w:rFonts w:ascii="Arial" w:cs="Arial" w:eastAsia="Arial" w:hAnsi="Arial"/>
                <w:sz w:val="10"/>
                <w:szCs w:val="10"/>
                <w:b w:val="1"/>
                <w:bCs w:val="1"/>
                <w:color w:val="auto"/>
                <w:w w:val="97"/>
              </w:rPr>
              <w:t>Yield/</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jc w:val="right"/>
              <w:ind w:right="152"/>
              <w:spacing w:after="0" w:line="91" w:lineRule="exact"/>
              <w:rPr>
                <w:sz w:val="20"/>
                <w:szCs w:val="20"/>
                <w:color w:val="auto"/>
              </w:rPr>
            </w:pPr>
            <w:r>
              <w:rPr>
                <w:rFonts w:ascii="Arial" w:cs="Arial" w:eastAsia="Arial" w:hAnsi="Arial"/>
                <w:sz w:val="10"/>
                <w:szCs w:val="10"/>
                <w:color w:val="auto"/>
              </w:rPr>
              <w:t>Outstanding</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tcPr>
          <w:p>
            <w:pPr>
              <w:jc w:val="center"/>
              <w:ind w:right="200"/>
              <w:spacing w:after="0" w:line="91" w:lineRule="exact"/>
              <w:rPr>
                <w:sz w:val="20"/>
                <w:szCs w:val="20"/>
                <w:color w:val="auto"/>
              </w:rPr>
            </w:pPr>
            <w:r>
              <w:rPr>
                <w:rFonts w:ascii="Arial" w:cs="Arial" w:eastAsia="Arial" w:hAnsi="Arial"/>
                <w:sz w:val="10"/>
                <w:szCs w:val="10"/>
                <w:color w:val="auto"/>
                <w:w w:val="95"/>
              </w:rPr>
              <w:t>Income/</w:t>
            </w:r>
          </w:p>
        </w:tc>
        <w:tc>
          <w:tcPr>
            <w:tcW w:w="720" w:type="dxa"/>
            <w:vAlign w:val="bottom"/>
          </w:tcPr>
          <w:p>
            <w:pPr>
              <w:jc w:val="right"/>
              <w:ind w:right="212"/>
              <w:spacing w:after="0" w:line="91" w:lineRule="exact"/>
              <w:rPr>
                <w:sz w:val="20"/>
                <w:szCs w:val="20"/>
                <w:color w:val="auto"/>
              </w:rPr>
            </w:pPr>
            <w:r>
              <w:rPr>
                <w:rFonts w:ascii="Arial" w:cs="Arial" w:eastAsia="Arial" w:hAnsi="Arial"/>
                <w:sz w:val="10"/>
                <w:szCs w:val="10"/>
                <w:color w:val="auto"/>
              </w:rPr>
              <w:t>Yield/</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tcPr>
          <w:p>
            <w:pPr>
              <w:jc w:val="center"/>
              <w:ind w:right="200"/>
              <w:spacing w:after="0" w:line="91" w:lineRule="exact"/>
              <w:rPr>
                <w:sz w:val="20"/>
                <w:szCs w:val="20"/>
                <w:color w:val="auto"/>
              </w:rPr>
            </w:pPr>
            <w:r>
              <w:rPr>
                <w:rFonts w:ascii="Arial" w:cs="Arial" w:eastAsia="Arial" w:hAnsi="Arial"/>
                <w:sz w:val="10"/>
                <w:szCs w:val="10"/>
                <w:color w:val="auto"/>
                <w:w w:val="96"/>
              </w:rPr>
              <w:t>Outstanding</w:t>
            </w:r>
          </w:p>
        </w:tc>
        <w:tc>
          <w:tcPr>
            <w:tcW w:w="100" w:type="dxa"/>
            <w:vAlign w:val="bottom"/>
          </w:tcPr>
          <w:p>
            <w:pPr>
              <w:spacing w:after="0"/>
              <w:rPr>
                <w:sz w:val="7"/>
                <w:szCs w:val="7"/>
                <w:color w:val="auto"/>
              </w:rPr>
            </w:pPr>
          </w:p>
        </w:tc>
        <w:tc>
          <w:tcPr>
            <w:tcW w:w="600" w:type="dxa"/>
            <w:vAlign w:val="bottom"/>
            <w:gridSpan w:val="2"/>
          </w:tcPr>
          <w:p>
            <w:pPr>
              <w:jc w:val="center"/>
              <w:ind w:right="200"/>
              <w:spacing w:after="0" w:line="91" w:lineRule="exact"/>
              <w:rPr>
                <w:sz w:val="20"/>
                <w:szCs w:val="20"/>
                <w:color w:val="auto"/>
              </w:rPr>
            </w:pPr>
            <w:r>
              <w:rPr>
                <w:rFonts w:ascii="Arial" w:cs="Arial" w:eastAsia="Arial" w:hAnsi="Arial"/>
                <w:sz w:val="10"/>
                <w:szCs w:val="10"/>
                <w:color w:val="auto"/>
              </w:rPr>
              <w:t>Income/</w:t>
            </w:r>
          </w:p>
        </w:tc>
        <w:tc>
          <w:tcPr>
            <w:tcW w:w="720" w:type="dxa"/>
            <w:vAlign w:val="bottom"/>
          </w:tcPr>
          <w:p>
            <w:pPr>
              <w:ind w:left="240"/>
              <w:spacing w:after="0" w:line="91" w:lineRule="exact"/>
              <w:rPr>
                <w:sz w:val="20"/>
                <w:szCs w:val="20"/>
                <w:color w:val="auto"/>
              </w:rPr>
            </w:pPr>
            <w:r>
              <w:rPr>
                <w:rFonts w:ascii="Arial" w:cs="Arial" w:eastAsia="Arial" w:hAnsi="Arial"/>
                <w:sz w:val="10"/>
                <w:szCs w:val="10"/>
                <w:color w:val="auto"/>
              </w:rPr>
              <w:t>Yield/</w:t>
            </w:r>
          </w:p>
        </w:tc>
      </w:tr>
      <w:tr>
        <w:trPr>
          <w:trHeight w:val="134"/>
        </w:trPr>
        <w:tc>
          <w:tcPr>
            <w:tcW w:w="2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Balance</w:t>
            </w: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0"/>
                <w:szCs w:val="10"/>
                <w:b w:val="1"/>
                <w:bCs w:val="1"/>
                <w:color w:val="auto"/>
                <w:w w:val="97"/>
              </w:rPr>
              <w:t>Expense</w:t>
            </w:r>
          </w:p>
        </w:tc>
        <w:tc>
          <w:tcPr>
            <w:tcW w:w="620" w:type="dxa"/>
            <w:vAlign w:val="bottom"/>
            <w:tcBorders>
              <w:bottom w:val="single" w:sz="8" w:color="auto"/>
            </w:tcBorders>
          </w:tcPr>
          <w:p>
            <w:pPr>
              <w:jc w:val="center"/>
              <w:ind w:right="32"/>
              <w:spacing w:after="0" w:line="134" w:lineRule="exact"/>
              <w:rPr>
                <w:sz w:val="20"/>
                <w:szCs w:val="20"/>
                <w:color w:val="auto"/>
              </w:rPr>
            </w:pPr>
            <w:r>
              <w:rPr>
                <w:rFonts w:ascii="Arial" w:cs="Arial" w:eastAsia="Arial" w:hAnsi="Arial"/>
                <w:sz w:val="10"/>
                <w:szCs w:val="10"/>
                <w:b w:val="1"/>
                <w:bCs w:val="1"/>
                <w:color w:val="auto"/>
                <w:w w:val="95"/>
              </w:rPr>
              <w:t>Rate</w:t>
            </w:r>
            <w:r>
              <w:rPr>
                <w:rFonts w:ascii="Arial" w:cs="Arial" w:eastAsia="Arial" w:hAnsi="Arial"/>
                <w:sz w:val="12"/>
                <w:szCs w:val="12"/>
                <w:b w:val="1"/>
                <w:bCs w:val="1"/>
                <w:color w:val="auto"/>
                <w:w w:val="95"/>
                <w:vertAlign w:val="superscript"/>
              </w:rPr>
              <w:t>(1)</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Balance</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0"/>
                <w:szCs w:val="10"/>
                <w:color w:val="auto"/>
                <w:w w:val="97"/>
              </w:rPr>
              <w:t>Expense</w:t>
            </w:r>
          </w:p>
        </w:tc>
        <w:tc>
          <w:tcPr>
            <w:tcW w:w="720" w:type="dxa"/>
            <w:vAlign w:val="bottom"/>
            <w:tcBorders>
              <w:bottom w:val="single" w:sz="8" w:color="auto"/>
            </w:tcBorders>
          </w:tcPr>
          <w:p>
            <w:pPr>
              <w:jc w:val="right"/>
              <w:ind w:right="172"/>
              <w:spacing w:after="0" w:line="134" w:lineRule="exact"/>
              <w:rPr>
                <w:sz w:val="20"/>
                <w:szCs w:val="20"/>
                <w:color w:val="auto"/>
              </w:rPr>
            </w:pPr>
            <w:r>
              <w:rPr>
                <w:rFonts w:ascii="Arial" w:cs="Arial" w:eastAsia="Arial" w:hAnsi="Arial"/>
                <w:sz w:val="10"/>
                <w:szCs w:val="10"/>
                <w:color w:val="auto"/>
              </w:rPr>
              <w:t>Rate</w:t>
            </w:r>
            <w:r>
              <w:rPr>
                <w:rFonts w:ascii="Arial" w:cs="Arial" w:eastAsia="Arial" w:hAnsi="Arial"/>
                <w:sz w:val="12"/>
                <w:szCs w:val="12"/>
                <w:color w:val="auto"/>
                <w:vertAlign w:val="superscript"/>
              </w:rPr>
              <w:t>(1)</w:t>
            </w: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color w:val="auto"/>
              </w:rPr>
              <w:t>Balance</w:t>
            </w: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color w:val="auto"/>
                <w:w w:val="97"/>
              </w:rPr>
              <w:t>Expense</w:t>
            </w:r>
          </w:p>
        </w:tc>
        <w:tc>
          <w:tcPr>
            <w:tcW w:w="720" w:type="dxa"/>
            <w:vAlign w:val="bottom"/>
            <w:tcBorders>
              <w:bottom w:val="single" w:sz="8" w:color="auto"/>
            </w:tcBorders>
          </w:tcPr>
          <w:p>
            <w:pPr>
              <w:ind w:left="220"/>
              <w:spacing w:after="0" w:line="134" w:lineRule="exact"/>
              <w:rPr>
                <w:sz w:val="20"/>
                <w:szCs w:val="20"/>
                <w:color w:val="auto"/>
              </w:rPr>
            </w:pPr>
            <w:r>
              <w:rPr>
                <w:rFonts w:ascii="Arial" w:cs="Arial" w:eastAsia="Arial" w:hAnsi="Arial"/>
                <w:sz w:val="10"/>
                <w:szCs w:val="10"/>
                <w:color w:val="auto"/>
              </w:rPr>
              <w:t>Rate</w:t>
            </w:r>
            <w:r>
              <w:rPr>
                <w:rFonts w:ascii="Arial" w:cs="Arial" w:eastAsia="Arial" w:hAnsi="Arial"/>
                <w:sz w:val="12"/>
                <w:szCs w:val="12"/>
                <w:color w:val="auto"/>
                <w:vertAlign w:val="superscript"/>
              </w:rPr>
              <w:t>(1)</w:t>
            </w:r>
          </w:p>
        </w:tc>
      </w:tr>
      <w:tr>
        <w:trPr>
          <w:trHeight w:val="92"/>
        </w:trPr>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gridSpan w:val="4"/>
          </w:tcPr>
          <w:p>
            <w:pPr>
              <w:ind w:left="60"/>
              <w:spacing w:after="0"/>
              <w:rPr>
                <w:sz w:val="20"/>
                <w:szCs w:val="20"/>
                <w:color w:val="auto"/>
              </w:rPr>
            </w:pPr>
            <w:r>
              <w:rPr>
                <w:rFonts w:ascii="Arial" w:cs="Arial" w:eastAsia="Arial" w:hAnsi="Arial"/>
                <w:sz w:val="7"/>
                <w:szCs w:val="7"/>
                <w:b w:val="1"/>
                <w:bCs w:val="1"/>
                <w:color w:val="auto"/>
              </w:rPr>
              <w:t>(in thousands)</w:t>
            </w: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40"/>
        </w:trPr>
        <w:tc>
          <w:tcPr>
            <w:tcW w:w="26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Assets</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32"/>
        </w:trPr>
        <w:tc>
          <w:tcPr>
            <w:tcW w:w="2620" w:type="dxa"/>
            <w:vAlign w:val="bottom"/>
          </w:tcPr>
          <w:p>
            <w:pPr>
              <w:ind w:left="20"/>
              <w:spacing w:after="0"/>
              <w:rPr>
                <w:sz w:val="20"/>
                <w:szCs w:val="20"/>
                <w:color w:val="auto"/>
              </w:rPr>
            </w:pPr>
            <w:r>
              <w:rPr>
                <w:rFonts w:ascii="Arial" w:cs="Arial" w:eastAsia="Arial" w:hAnsi="Arial"/>
                <w:sz w:val="10"/>
                <w:szCs w:val="10"/>
                <w:color w:val="auto"/>
              </w:rPr>
              <w:t>Interest earning assets: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8"/>
        </w:trPr>
        <w:tc>
          <w:tcPr>
            <w:tcW w:w="2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Interest-bearing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242,761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2,218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3.62 %</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295,167</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2,646</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3.60 %</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194,858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2,139</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ind w:left="420"/>
              <w:spacing w:after="0"/>
              <w:rPr>
                <w:sz w:val="20"/>
                <w:szCs w:val="20"/>
                <w:color w:val="auto"/>
              </w:rPr>
            </w:pPr>
            <w:r>
              <w:rPr>
                <w:rFonts w:ascii="Arial" w:cs="Arial" w:eastAsia="Arial" w:hAnsi="Arial"/>
                <w:sz w:val="10"/>
                <w:szCs w:val="10"/>
                <w:color w:val="auto"/>
                <w:w w:val="89"/>
              </w:rPr>
              <w:t>4.36 %</w:t>
            </w:r>
          </w:p>
        </w:tc>
      </w:tr>
      <w:tr>
        <w:trPr>
          <w:trHeight w:val="134"/>
        </w:trPr>
        <w:tc>
          <w:tcPr>
            <w:tcW w:w="2620" w:type="dxa"/>
            <w:vAlign w:val="bottom"/>
          </w:tcPr>
          <w:p>
            <w:pPr>
              <w:ind w:left="120"/>
              <w:spacing w:after="0"/>
              <w:rPr>
                <w:sz w:val="20"/>
                <w:szCs w:val="20"/>
                <w:color w:val="auto"/>
              </w:rPr>
            </w:pPr>
            <w:r>
              <w:rPr>
                <w:rFonts w:ascii="Arial" w:cs="Arial" w:eastAsia="Arial" w:hAnsi="Arial"/>
                <w:sz w:val="10"/>
                <w:szCs w:val="10"/>
                <w:color w:val="auto"/>
              </w:rPr>
              <w:t>Federal funds sold</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22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0"/>
                <w:szCs w:val="10"/>
                <w:b w:val="1"/>
                <w:bCs w:val="1"/>
                <w:color w:val="auto"/>
              </w:rPr>
              <w:t>—</w:t>
            </w:r>
          </w:p>
        </w:tc>
        <w:tc>
          <w:tcPr>
            <w:tcW w:w="620" w:type="dxa"/>
            <w:vAlign w:val="bottom"/>
          </w:tcPr>
          <w:p>
            <w:pPr>
              <w:jc w:val="right"/>
              <w:ind w:right="72"/>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2"/>
              <w:spacing w:after="0"/>
              <w:rPr>
                <w:sz w:val="20"/>
                <w:szCs w:val="20"/>
                <w:color w:val="auto"/>
              </w:rPr>
            </w:pPr>
            <w:r>
              <w:rPr>
                <w:rFonts w:ascii="Arial" w:cs="Arial" w:eastAsia="Arial" w:hAnsi="Arial"/>
                <w:sz w:val="10"/>
                <w:szCs w:val="10"/>
                <w:color w:val="auto"/>
              </w:rPr>
              <w:t>60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1"/>
                <w:szCs w:val="11"/>
                <w:color w:val="auto"/>
              </w:rPr>
            </w:pPr>
          </w:p>
        </w:tc>
        <w:tc>
          <w:tcPr>
            <w:tcW w:w="720" w:type="dxa"/>
            <w:vAlign w:val="bottom"/>
          </w:tcPr>
          <w:p>
            <w:pPr>
              <w:ind w:left="420"/>
              <w:spacing w:after="0"/>
              <w:rPr>
                <w:sz w:val="20"/>
                <w:szCs w:val="20"/>
                <w:color w:val="auto"/>
              </w:rPr>
            </w:pPr>
            <w:r>
              <w:rPr>
                <w:rFonts w:ascii="Arial" w:cs="Arial" w:eastAsia="Arial" w:hAnsi="Arial"/>
                <w:sz w:val="10"/>
                <w:szCs w:val="10"/>
                <w:color w:val="auto"/>
              </w:rPr>
              <w:t>5.79</w:t>
            </w:r>
          </w:p>
        </w:tc>
      </w:tr>
      <w:tr>
        <w:trPr>
          <w:trHeight w:val="136"/>
        </w:trPr>
        <w:tc>
          <w:tcPr>
            <w:tcW w:w="2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Investment securities available-for-sale</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227,537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1,826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3.18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240,102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1,814</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3.03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241,086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1,805</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ind w:left="420"/>
              <w:spacing w:after="0"/>
              <w:rPr>
                <w:sz w:val="20"/>
                <w:szCs w:val="20"/>
                <w:color w:val="auto"/>
              </w:rPr>
            </w:pPr>
            <w:r>
              <w:rPr>
                <w:rFonts w:ascii="Arial" w:cs="Arial" w:eastAsia="Arial" w:hAnsi="Arial"/>
                <w:sz w:val="10"/>
                <w:szCs w:val="10"/>
                <w:color w:val="auto"/>
              </w:rPr>
              <w:t>2.97</w:t>
            </w:r>
          </w:p>
        </w:tc>
      </w:tr>
      <w:tr>
        <w:trPr>
          <w:trHeight w:val="134"/>
        </w:trPr>
        <w:tc>
          <w:tcPr>
            <w:tcW w:w="2620" w:type="dxa"/>
            <w:vAlign w:val="bottom"/>
          </w:tcPr>
          <w:p>
            <w:pPr>
              <w:ind w:left="120"/>
              <w:spacing w:after="0"/>
              <w:rPr>
                <w:sz w:val="20"/>
                <w:szCs w:val="20"/>
                <w:color w:val="auto"/>
              </w:rPr>
            </w:pPr>
            <w:r>
              <w:rPr>
                <w:rFonts w:ascii="Arial" w:cs="Arial" w:eastAsia="Arial" w:hAnsi="Arial"/>
                <w:sz w:val="10"/>
                <w:szCs w:val="10"/>
                <w:color w:val="auto"/>
              </w:rPr>
              <w:t>Restricted investments</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7,441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112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72"/>
              <w:spacing w:after="0"/>
              <w:rPr>
                <w:sz w:val="20"/>
                <w:szCs w:val="20"/>
                <w:color w:val="auto"/>
              </w:rPr>
            </w:pPr>
            <w:r>
              <w:rPr>
                <w:rFonts w:ascii="Arial" w:cs="Arial" w:eastAsia="Arial" w:hAnsi="Arial"/>
                <w:sz w:val="10"/>
                <w:szCs w:val="10"/>
                <w:b w:val="1"/>
                <w:bCs w:val="1"/>
                <w:color w:val="auto"/>
              </w:rPr>
              <w:t>5.97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2"/>
              <w:spacing w:after="0"/>
              <w:rPr>
                <w:sz w:val="20"/>
                <w:szCs w:val="20"/>
                <w:color w:val="auto"/>
              </w:rPr>
            </w:pPr>
            <w:r>
              <w:rPr>
                <w:rFonts w:ascii="Arial" w:cs="Arial" w:eastAsia="Arial" w:hAnsi="Arial"/>
                <w:sz w:val="10"/>
                <w:szCs w:val="10"/>
                <w:color w:val="auto"/>
              </w:rPr>
              <w:t>8,701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137</w:t>
            </w:r>
          </w:p>
        </w:tc>
        <w:tc>
          <w:tcPr>
            <w:tcW w:w="80" w:type="dxa"/>
            <w:vAlign w:val="bottom"/>
          </w:tcPr>
          <w:p>
            <w:pPr>
              <w:spacing w:after="0"/>
              <w:rPr>
                <w:sz w:val="11"/>
                <w:szCs w:val="11"/>
                <w:color w:val="auto"/>
              </w:rPr>
            </w:pP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6.32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7,052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108</w:t>
            </w:r>
          </w:p>
        </w:tc>
        <w:tc>
          <w:tcPr>
            <w:tcW w:w="60" w:type="dxa"/>
            <w:vAlign w:val="bottom"/>
          </w:tcPr>
          <w:p>
            <w:pPr>
              <w:spacing w:after="0"/>
              <w:rPr>
                <w:sz w:val="11"/>
                <w:szCs w:val="11"/>
                <w:color w:val="auto"/>
              </w:rPr>
            </w:pPr>
          </w:p>
        </w:tc>
        <w:tc>
          <w:tcPr>
            <w:tcW w:w="720" w:type="dxa"/>
            <w:vAlign w:val="bottom"/>
          </w:tcPr>
          <w:p>
            <w:pPr>
              <w:ind w:left="420"/>
              <w:spacing w:after="0"/>
              <w:rPr>
                <w:sz w:val="20"/>
                <w:szCs w:val="20"/>
                <w:color w:val="auto"/>
              </w:rPr>
            </w:pPr>
            <w:r>
              <w:rPr>
                <w:rFonts w:ascii="Arial" w:cs="Arial" w:eastAsia="Arial" w:hAnsi="Arial"/>
                <w:sz w:val="10"/>
                <w:szCs w:val="10"/>
                <w:color w:val="auto"/>
              </w:rPr>
              <w:t>6.06</w:t>
            </w:r>
          </w:p>
        </w:tc>
      </w:tr>
      <w:tr>
        <w:trPr>
          <w:trHeight w:val="136"/>
        </w:trPr>
        <w:tc>
          <w:tcPr>
            <w:tcW w:w="2620" w:type="dxa"/>
            <w:vAlign w:val="bottom"/>
            <w:shd w:val="clear" w:color="auto" w:fill="CCEEFF"/>
          </w:tcPr>
          <w:p>
            <w:pPr>
              <w:ind w:left="120"/>
              <w:spacing w:after="0" w:line="136" w:lineRule="exact"/>
              <w:rPr>
                <w:sz w:val="20"/>
                <w:szCs w:val="20"/>
                <w:color w:val="auto"/>
              </w:rPr>
            </w:pPr>
            <w:r>
              <w:rPr>
                <w:rFonts w:ascii="Arial" w:cs="Arial" w:eastAsia="Arial" w:hAnsi="Arial"/>
                <w:sz w:val="10"/>
                <w:szCs w:val="10"/>
                <w:color w:val="auto"/>
              </w:rPr>
              <w:t xml:space="preserve">Loans held for sale </w:t>
            </w:r>
            <w:r>
              <w:rPr>
                <w:rFonts w:ascii="Arial" w:cs="Arial" w:eastAsia="Arial" w:hAnsi="Arial"/>
                <w:sz w:val="12"/>
                <w:szCs w:val="12"/>
                <w:color w:val="auto"/>
                <w:vertAlign w:val="superscript"/>
              </w:rPr>
              <w:t>(2)(3)</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11,630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194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6.62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17,381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252</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5.82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13,783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228</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ind w:left="420"/>
              <w:spacing w:after="0"/>
              <w:rPr>
                <w:sz w:val="20"/>
                <w:szCs w:val="20"/>
                <w:color w:val="auto"/>
              </w:rPr>
            </w:pPr>
            <w:r>
              <w:rPr>
                <w:rFonts w:ascii="Arial" w:cs="Arial" w:eastAsia="Arial" w:hAnsi="Arial"/>
                <w:sz w:val="10"/>
                <w:szCs w:val="10"/>
                <w:color w:val="auto"/>
              </w:rPr>
              <w:t>6.57</w:t>
            </w:r>
          </w:p>
        </w:tc>
      </w:tr>
      <w:tr>
        <w:trPr>
          <w:trHeight w:val="135"/>
        </w:trPr>
        <w:tc>
          <w:tcPr>
            <w:tcW w:w="262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0"/>
                <w:szCs w:val="10"/>
                <w:color w:val="auto"/>
              </w:rPr>
              <w:t>Portfolio loans receivable</w:t>
            </w:r>
            <w:r>
              <w:rPr>
                <w:rFonts w:ascii="Arial" w:cs="Arial" w:eastAsia="Arial" w:hAnsi="Arial"/>
                <w:sz w:val="12"/>
                <w:szCs w:val="12"/>
                <w:color w:val="auto"/>
                <w:vertAlign w:val="superscript"/>
              </w:rPr>
              <w:t>(3)(4)</w:t>
            </w: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3,135,648</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67,942</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8.60</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3,058,476</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65,110</w:t>
            </w: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8.54</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2,789,815</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60,610</w:t>
            </w:r>
          </w:p>
        </w:tc>
        <w:tc>
          <w:tcPr>
            <w:tcW w:w="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ind w:left="420"/>
              <w:spacing w:after="0"/>
              <w:rPr>
                <w:sz w:val="20"/>
                <w:szCs w:val="20"/>
                <w:color w:val="auto"/>
              </w:rPr>
            </w:pPr>
            <w:r>
              <w:rPr>
                <w:rFonts w:ascii="Arial" w:cs="Arial" w:eastAsia="Arial" w:hAnsi="Arial"/>
                <w:sz w:val="10"/>
                <w:szCs w:val="10"/>
                <w:color w:val="auto"/>
              </w:rPr>
              <w:t>8.62</w:t>
            </w:r>
          </w:p>
        </w:tc>
      </w:tr>
      <w:tr>
        <w:trPr>
          <w:trHeight w:val="124"/>
        </w:trPr>
        <w:tc>
          <w:tcPr>
            <w:tcW w:w="26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Total interest earning assets</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3,625,039</w:t>
            </w: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72,292</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7.91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3,619,887</w:t>
            </w: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69,959</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7.75</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3,246,653</w:t>
            </w: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64,891</w:t>
            </w: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ind w:left="420"/>
              <w:spacing w:after="0"/>
              <w:rPr>
                <w:sz w:val="20"/>
                <w:szCs w:val="20"/>
                <w:color w:val="auto"/>
              </w:rPr>
            </w:pPr>
            <w:r>
              <w:rPr>
                <w:rFonts w:ascii="Arial" w:cs="Arial" w:eastAsia="Arial" w:hAnsi="Arial"/>
                <w:sz w:val="10"/>
                <w:szCs w:val="10"/>
                <w:color w:val="auto"/>
              </w:rPr>
              <w:t>7.93</w:t>
            </w:r>
          </w:p>
        </w:tc>
      </w:tr>
      <w:tr>
        <w:trPr>
          <w:trHeight w:val="115"/>
        </w:trPr>
        <w:tc>
          <w:tcPr>
            <w:tcW w:w="2620" w:type="dxa"/>
            <w:vAlign w:val="bottom"/>
            <w:tcBorders>
              <w:bottom w:val="single" w:sz="8" w:color="CCEEFF"/>
            </w:tcBorders>
          </w:tcPr>
          <w:p>
            <w:pPr>
              <w:ind w:left="20"/>
              <w:spacing w:after="0" w:line="115" w:lineRule="exact"/>
              <w:rPr>
                <w:sz w:val="20"/>
                <w:szCs w:val="20"/>
                <w:color w:val="auto"/>
              </w:rPr>
            </w:pPr>
            <w:r>
              <w:rPr>
                <w:rFonts w:ascii="Arial" w:cs="Arial" w:eastAsia="Arial" w:hAnsi="Arial"/>
                <w:sz w:val="10"/>
                <w:szCs w:val="10"/>
                <w:color w:val="auto"/>
              </w:rPr>
              <w:t>Noninterest earning assets</w:t>
            </w:r>
            <w:r>
              <w:rPr>
                <w:rFonts w:ascii="Arial" w:cs="Arial" w:eastAsia="Arial" w:hAnsi="Arial"/>
                <w:sz w:val="12"/>
                <w:szCs w:val="12"/>
                <w:color w:val="auto"/>
                <w:vertAlign w:val="superscript"/>
              </w:rPr>
              <w:t>(2)</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140,002</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2"/>
              <w:spacing w:after="0" w:line="109" w:lineRule="exact"/>
              <w:rPr>
                <w:sz w:val="20"/>
                <w:szCs w:val="20"/>
                <w:color w:val="auto"/>
              </w:rPr>
            </w:pPr>
            <w:r>
              <w:rPr>
                <w:rFonts w:ascii="Arial" w:cs="Arial" w:eastAsia="Arial" w:hAnsi="Arial"/>
                <w:sz w:val="10"/>
                <w:szCs w:val="10"/>
                <w:color w:val="auto"/>
              </w:rPr>
              <w:t>141,624</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131,643</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r>
      <w:tr>
        <w:trPr>
          <w:trHeight w:val="140"/>
        </w:trPr>
        <w:tc>
          <w:tcPr>
            <w:tcW w:w="2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3,765,041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3,761,511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3,378,296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54"/>
        </w:trPr>
        <w:tc>
          <w:tcPr>
            <w:tcW w:w="2620" w:type="dxa"/>
            <w:vAlign w:val="bottom"/>
            <w:tcBorders>
              <w:top w:val="single" w:sz="8" w:color="CCEEFF"/>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5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720" w:type="dxa"/>
            <w:vAlign w:val="bottom"/>
            <w:tcBorders>
              <w:top w:val="single" w:sz="8" w:color="CCEEFF"/>
            </w:tcBorders>
          </w:tcPr>
          <w:p>
            <w:pPr>
              <w:spacing w:after="0"/>
              <w:rPr>
                <w:sz w:val="4"/>
                <w:szCs w:val="4"/>
                <w:color w:val="auto"/>
              </w:rPr>
            </w:pPr>
          </w:p>
        </w:tc>
      </w:tr>
      <w:tr>
        <w:trPr>
          <w:trHeight w:val="135"/>
        </w:trPr>
        <w:tc>
          <w:tcPr>
            <w:tcW w:w="26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Liabilities and Stockholders’ Equity</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32"/>
        </w:trPr>
        <w:tc>
          <w:tcPr>
            <w:tcW w:w="2620" w:type="dxa"/>
            <w:vAlign w:val="bottom"/>
          </w:tcPr>
          <w:p>
            <w:pPr>
              <w:ind w:left="20"/>
              <w:spacing w:after="0"/>
              <w:rPr>
                <w:sz w:val="20"/>
                <w:szCs w:val="20"/>
                <w:color w:val="auto"/>
              </w:rPr>
            </w:pPr>
            <w:r>
              <w:rPr>
                <w:rFonts w:ascii="Arial" w:cs="Arial" w:eastAsia="Arial" w:hAnsi="Arial"/>
                <w:sz w:val="10"/>
                <w:szCs w:val="10"/>
                <w:color w:val="auto"/>
              </w:rPr>
              <w:t>Interest-bearing liabilities: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8"/>
        </w:trPr>
        <w:tc>
          <w:tcPr>
            <w:tcW w:w="2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Interest-bearing demand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332,684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768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0.92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346,671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816</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0.94</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282,873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388</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ind w:left="420"/>
              <w:spacing w:after="0"/>
              <w:rPr>
                <w:sz w:val="20"/>
                <w:szCs w:val="20"/>
                <w:color w:val="auto"/>
              </w:rPr>
            </w:pPr>
            <w:r>
              <w:rPr>
                <w:rFonts w:ascii="Arial" w:cs="Arial" w:eastAsia="Arial" w:hAnsi="Arial"/>
                <w:sz w:val="10"/>
                <w:szCs w:val="10"/>
                <w:color w:val="auto"/>
              </w:rPr>
              <w:t>0.54</w:t>
            </w:r>
          </w:p>
        </w:tc>
      </w:tr>
      <w:tr>
        <w:trPr>
          <w:trHeight w:val="134"/>
        </w:trPr>
        <w:tc>
          <w:tcPr>
            <w:tcW w:w="2620" w:type="dxa"/>
            <w:vAlign w:val="bottom"/>
          </w:tcPr>
          <w:p>
            <w:pPr>
              <w:ind w:left="120"/>
              <w:spacing w:after="0"/>
              <w:rPr>
                <w:sz w:val="20"/>
                <w:szCs w:val="20"/>
                <w:color w:val="auto"/>
              </w:rPr>
            </w:pPr>
            <w:r>
              <w:rPr>
                <w:rFonts w:ascii="Arial" w:cs="Arial" w:eastAsia="Arial" w:hAnsi="Arial"/>
                <w:sz w:val="10"/>
                <w:szCs w:val="10"/>
                <w:color w:val="auto"/>
              </w:rPr>
              <w:t>Savings</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22,479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115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72"/>
              <w:spacing w:after="0"/>
              <w:rPr>
                <w:sz w:val="20"/>
                <w:szCs w:val="20"/>
                <w:color w:val="auto"/>
              </w:rPr>
            </w:pPr>
            <w:r>
              <w:rPr>
                <w:rFonts w:ascii="Arial" w:cs="Arial" w:eastAsia="Arial" w:hAnsi="Arial"/>
                <w:sz w:val="10"/>
                <w:szCs w:val="10"/>
                <w:b w:val="1"/>
                <w:bCs w:val="1"/>
                <w:color w:val="auto"/>
              </w:rPr>
              <w:t>2.03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2"/>
              <w:spacing w:after="0"/>
              <w:rPr>
                <w:sz w:val="20"/>
                <w:szCs w:val="20"/>
                <w:color w:val="auto"/>
              </w:rPr>
            </w:pPr>
            <w:r>
              <w:rPr>
                <w:rFonts w:ascii="Arial" w:cs="Arial" w:eastAsia="Arial" w:hAnsi="Arial"/>
                <w:sz w:val="10"/>
                <w:szCs w:val="10"/>
                <w:color w:val="auto"/>
              </w:rPr>
              <w:t>17,790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70</w:t>
            </w:r>
          </w:p>
        </w:tc>
        <w:tc>
          <w:tcPr>
            <w:tcW w:w="80" w:type="dxa"/>
            <w:vAlign w:val="bottom"/>
          </w:tcPr>
          <w:p>
            <w:pPr>
              <w:spacing w:after="0"/>
              <w:rPr>
                <w:sz w:val="11"/>
                <w:szCs w:val="11"/>
                <w:color w:val="auto"/>
              </w:rPr>
            </w:pP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1.58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12,887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15</w:t>
            </w:r>
          </w:p>
        </w:tc>
        <w:tc>
          <w:tcPr>
            <w:tcW w:w="60" w:type="dxa"/>
            <w:vAlign w:val="bottom"/>
          </w:tcPr>
          <w:p>
            <w:pPr>
              <w:spacing w:after="0"/>
              <w:rPr>
                <w:sz w:val="11"/>
                <w:szCs w:val="11"/>
                <w:color w:val="auto"/>
              </w:rPr>
            </w:pPr>
          </w:p>
        </w:tc>
        <w:tc>
          <w:tcPr>
            <w:tcW w:w="720" w:type="dxa"/>
            <w:vAlign w:val="bottom"/>
          </w:tcPr>
          <w:p>
            <w:pPr>
              <w:ind w:left="420"/>
              <w:spacing w:after="0"/>
              <w:rPr>
                <w:sz w:val="20"/>
                <w:szCs w:val="20"/>
                <w:color w:val="auto"/>
              </w:rPr>
            </w:pPr>
            <w:r>
              <w:rPr>
                <w:rFonts w:ascii="Arial" w:cs="Arial" w:eastAsia="Arial" w:hAnsi="Arial"/>
                <w:sz w:val="10"/>
                <w:szCs w:val="10"/>
                <w:color w:val="auto"/>
              </w:rPr>
              <w:t>0.47</w:t>
            </w:r>
          </w:p>
        </w:tc>
      </w:tr>
      <w:tr>
        <w:trPr>
          <w:trHeight w:val="136"/>
        </w:trPr>
        <w:tc>
          <w:tcPr>
            <w:tcW w:w="2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Money market accounts</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1,375,162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11,389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3.29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1,315,061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10,797</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3.29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985,106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8,650</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ind w:left="420"/>
              <w:spacing w:after="0"/>
              <w:rPr>
                <w:sz w:val="20"/>
                <w:szCs w:val="20"/>
                <w:color w:val="auto"/>
              </w:rPr>
            </w:pPr>
            <w:r>
              <w:rPr>
                <w:rFonts w:ascii="Arial" w:cs="Arial" w:eastAsia="Arial" w:hAnsi="Arial"/>
                <w:sz w:val="10"/>
                <w:szCs w:val="10"/>
                <w:color w:val="auto"/>
              </w:rPr>
              <w:t>3.48</w:t>
            </w:r>
          </w:p>
        </w:tc>
      </w:tr>
      <w:tr>
        <w:trPr>
          <w:trHeight w:val="134"/>
        </w:trPr>
        <w:tc>
          <w:tcPr>
            <w:tcW w:w="2620" w:type="dxa"/>
            <w:vAlign w:val="bottom"/>
          </w:tcPr>
          <w:p>
            <w:pPr>
              <w:ind w:left="120"/>
              <w:spacing w:after="0"/>
              <w:rPr>
                <w:sz w:val="20"/>
                <w:szCs w:val="20"/>
                <w:color w:val="auto"/>
              </w:rPr>
            </w:pPr>
            <w:r>
              <w:rPr>
                <w:rFonts w:ascii="Arial" w:cs="Arial" w:eastAsia="Arial" w:hAnsi="Arial"/>
                <w:sz w:val="10"/>
                <w:szCs w:val="10"/>
                <w:color w:val="auto"/>
              </w:rPr>
              <w:t>Time deposits</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703,072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6,687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72"/>
              <w:spacing w:after="0"/>
              <w:rPr>
                <w:sz w:val="20"/>
                <w:szCs w:val="20"/>
                <w:color w:val="auto"/>
              </w:rPr>
            </w:pPr>
            <w:r>
              <w:rPr>
                <w:rFonts w:ascii="Arial" w:cs="Arial" w:eastAsia="Arial" w:hAnsi="Arial"/>
                <w:sz w:val="10"/>
                <w:szCs w:val="10"/>
                <w:b w:val="1"/>
                <w:bCs w:val="1"/>
                <w:color w:val="auto"/>
              </w:rPr>
              <w:t>3.77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2"/>
              <w:spacing w:after="0"/>
              <w:rPr>
                <w:sz w:val="20"/>
                <w:szCs w:val="20"/>
                <w:color w:val="auto"/>
              </w:rPr>
            </w:pPr>
            <w:r>
              <w:rPr>
                <w:rFonts w:ascii="Arial" w:cs="Arial" w:eastAsia="Arial" w:hAnsi="Arial"/>
                <w:sz w:val="10"/>
                <w:szCs w:val="10"/>
                <w:color w:val="auto"/>
              </w:rPr>
              <w:t>722,144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6,839</w:t>
            </w:r>
          </w:p>
        </w:tc>
        <w:tc>
          <w:tcPr>
            <w:tcW w:w="80" w:type="dxa"/>
            <w:vAlign w:val="bottom"/>
          </w:tcPr>
          <w:p>
            <w:pPr>
              <w:spacing w:after="0"/>
              <w:rPr>
                <w:sz w:val="11"/>
                <w:szCs w:val="11"/>
                <w:color w:val="auto"/>
              </w:rPr>
            </w:pPr>
          </w:p>
        </w:tc>
        <w:tc>
          <w:tcPr>
            <w:tcW w:w="720" w:type="dxa"/>
            <w:vAlign w:val="bottom"/>
          </w:tcPr>
          <w:p>
            <w:pPr>
              <w:jc w:val="right"/>
              <w:ind w:right="72"/>
              <w:spacing w:after="0"/>
              <w:rPr>
                <w:sz w:val="20"/>
                <w:szCs w:val="20"/>
                <w:color w:val="auto"/>
              </w:rPr>
            </w:pPr>
            <w:r>
              <w:rPr>
                <w:rFonts w:ascii="Arial" w:cs="Arial" w:eastAsia="Arial" w:hAnsi="Arial"/>
                <w:sz w:val="10"/>
                <w:szCs w:val="10"/>
                <w:color w:val="auto"/>
              </w:rPr>
              <w:t>3.80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815,302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2"/>
              <w:spacing w:after="0"/>
              <w:rPr>
                <w:sz w:val="20"/>
                <w:szCs w:val="20"/>
                <w:color w:val="auto"/>
              </w:rPr>
            </w:pPr>
            <w:r>
              <w:rPr>
                <w:rFonts w:ascii="Arial" w:cs="Arial" w:eastAsia="Arial" w:hAnsi="Arial"/>
                <w:sz w:val="10"/>
                <w:szCs w:val="10"/>
                <w:color w:val="auto"/>
              </w:rPr>
              <w:t>3,679</w:t>
            </w:r>
          </w:p>
        </w:tc>
        <w:tc>
          <w:tcPr>
            <w:tcW w:w="60" w:type="dxa"/>
            <w:vAlign w:val="bottom"/>
          </w:tcPr>
          <w:p>
            <w:pPr>
              <w:spacing w:after="0"/>
              <w:rPr>
                <w:sz w:val="11"/>
                <w:szCs w:val="11"/>
                <w:color w:val="auto"/>
              </w:rPr>
            </w:pPr>
          </w:p>
        </w:tc>
        <w:tc>
          <w:tcPr>
            <w:tcW w:w="720" w:type="dxa"/>
            <w:vAlign w:val="bottom"/>
          </w:tcPr>
          <w:p>
            <w:pPr>
              <w:ind w:left="420"/>
              <w:spacing w:after="0"/>
              <w:rPr>
                <w:sz w:val="20"/>
                <w:szCs w:val="20"/>
                <w:color w:val="auto"/>
              </w:rPr>
            </w:pPr>
            <w:r>
              <w:rPr>
                <w:rFonts w:ascii="Arial" w:cs="Arial" w:eastAsia="Arial" w:hAnsi="Arial"/>
                <w:sz w:val="10"/>
                <w:szCs w:val="10"/>
                <w:color w:val="auto"/>
              </w:rPr>
              <w:t>1.79</w:t>
            </w:r>
          </w:p>
        </w:tc>
      </w:tr>
      <w:tr>
        <w:trPr>
          <w:trHeight w:val="136"/>
        </w:trPr>
        <w:tc>
          <w:tcPr>
            <w:tcW w:w="2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Borrowed funds</w:t>
            </w:r>
          </w:p>
        </w:tc>
        <w:tc>
          <w:tcPr>
            <w:tcW w:w="1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25,051</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255</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4.04</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52,062</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508</w:t>
            </w:r>
          </w:p>
        </w:tc>
        <w:tc>
          <w:tcPr>
            <w:tcW w:w="8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3.91</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34,062</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139</w:t>
            </w:r>
          </w:p>
        </w:tc>
        <w:tc>
          <w:tcPr>
            <w:tcW w:w="60" w:type="dxa"/>
            <w:vAlign w:val="bottom"/>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0"/>
                <w:szCs w:val="10"/>
                <w:color w:val="auto"/>
              </w:rPr>
              <w:t>1.62</w:t>
            </w:r>
          </w:p>
        </w:tc>
      </w:tr>
      <w:tr>
        <w:trPr>
          <w:trHeight w:val="124"/>
        </w:trPr>
        <w:tc>
          <w:tcPr>
            <w:tcW w:w="2620" w:type="dxa"/>
            <w:vAlign w:val="bottom"/>
            <w:tcBorders>
              <w:bottom w:val="single" w:sz="8" w:color="CCEEFF"/>
            </w:tcBorders>
          </w:tcPr>
          <w:p>
            <w:pPr>
              <w:ind w:left="240"/>
              <w:spacing w:after="0" w:line="124" w:lineRule="exact"/>
              <w:rPr>
                <w:sz w:val="20"/>
                <w:szCs w:val="20"/>
                <w:color w:val="auto"/>
              </w:rPr>
            </w:pPr>
            <w:r>
              <w:rPr>
                <w:rFonts w:ascii="Arial" w:cs="Arial" w:eastAsia="Arial" w:hAnsi="Arial"/>
                <w:sz w:val="10"/>
                <w:szCs w:val="10"/>
                <w:color w:val="auto"/>
              </w:rPr>
              <w:t>Total interest-bearing liabilities</w:t>
            </w:r>
            <w:r>
              <w:rPr>
                <w:rFonts w:ascii="Arial" w:cs="Arial" w:eastAsia="Arial" w:hAnsi="Arial"/>
                <w:sz w:val="12"/>
                <w:szCs w:val="12"/>
                <w:color w:val="auto"/>
                <w:vertAlign w:val="superscript"/>
              </w:rPr>
              <w:t>(2)</w:t>
            </w:r>
          </w:p>
        </w:tc>
        <w:tc>
          <w:tcPr>
            <w:tcW w:w="10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0"/>
                <w:szCs w:val="10"/>
                <w:b w:val="1"/>
                <w:bCs w:val="1"/>
                <w:color w:val="auto"/>
              </w:rPr>
              <w:t>2,458,448</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19,214</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CCEEFF"/>
            </w:tcBorders>
          </w:tcPr>
          <w:p>
            <w:pPr>
              <w:jc w:val="right"/>
              <w:ind w:right="72"/>
              <w:spacing w:after="0"/>
              <w:rPr>
                <w:sz w:val="20"/>
                <w:szCs w:val="20"/>
                <w:color w:val="auto"/>
              </w:rPr>
            </w:pPr>
            <w:r>
              <w:rPr>
                <w:rFonts w:ascii="Arial" w:cs="Arial" w:eastAsia="Arial" w:hAnsi="Arial"/>
                <w:sz w:val="10"/>
                <w:szCs w:val="10"/>
                <w:b w:val="1"/>
                <w:bCs w:val="1"/>
                <w:color w:val="auto"/>
              </w:rPr>
              <w:t>3.10</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jc w:val="right"/>
              <w:ind w:right="12"/>
              <w:spacing w:after="0"/>
              <w:rPr>
                <w:sz w:val="20"/>
                <w:szCs w:val="20"/>
                <w:color w:val="auto"/>
              </w:rPr>
            </w:pPr>
            <w:r>
              <w:rPr>
                <w:rFonts w:ascii="Arial" w:cs="Arial" w:eastAsia="Arial" w:hAnsi="Arial"/>
                <w:sz w:val="10"/>
                <w:szCs w:val="10"/>
                <w:color w:val="auto"/>
              </w:rPr>
              <w:t>2,453,728</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19,030</w:t>
            </w:r>
          </w:p>
        </w:tc>
        <w:tc>
          <w:tcPr>
            <w:tcW w:w="8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jc w:val="right"/>
              <w:ind w:right="72"/>
              <w:spacing w:after="0"/>
              <w:rPr>
                <w:sz w:val="20"/>
                <w:szCs w:val="20"/>
                <w:color w:val="auto"/>
              </w:rPr>
            </w:pPr>
            <w:r>
              <w:rPr>
                <w:rFonts w:ascii="Arial" w:cs="Arial" w:eastAsia="Arial" w:hAnsi="Arial"/>
                <w:sz w:val="10"/>
                <w:szCs w:val="10"/>
                <w:color w:val="auto"/>
              </w:rPr>
              <w:t>3.11</w:t>
            </w: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2,130,230</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12,871</w:t>
            </w:r>
          </w:p>
        </w:tc>
        <w:tc>
          <w:tcPr>
            <w:tcW w:w="6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ind w:left="420"/>
              <w:spacing w:after="0"/>
              <w:rPr>
                <w:sz w:val="20"/>
                <w:szCs w:val="20"/>
                <w:color w:val="auto"/>
              </w:rPr>
            </w:pPr>
            <w:r>
              <w:rPr>
                <w:rFonts w:ascii="Arial" w:cs="Arial" w:eastAsia="Arial" w:hAnsi="Arial"/>
                <w:sz w:val="10"/>
                <w:szCs w:val="10"/>
                <w:color w:val="auto"/>
              </w:rPr>
              <w:t>2.40</w:t>
            </w:r>
          </w:p>
        </w:tc>
      </w:tr>
      <w:tr>
        <w:trPr>
          <w:trHeight w:val="115"/>
        </w:trPr>
        <w:tc>
          <w:tcPr>
            <w:tcW w:w="2620" w:type="dxa"/>
            <w:vAlign w:val="bottom"/>
            <w:shd w:val="clear" w:color="auto" w:fill="CCEEFF"/>
          </w:tcPr>
          <w:p>
            <w:pPr>
              <w:ind w:left="20"/>
              <w:spacing w:after="0" w:line="109" w:lineRule="exact"/>
              <w:rPr>
                <w:sz w:val="20"/>
                <w:szCs w:val="20"/>
                <w:color w:val="auto"/>
              </w:rPr>
            </w:pPr>
            <w:r>
              <w:rPr>
                <w:rFonts w:ascii="Arial" w:cs="Arial" w:eastAsia="Arial" w:hAnsi="Arial"/>
                <w:sz w:val="10"/>
                <w:szCs w:val="10"/>
                <w:color w:val="auto"/>
              </w:rPr>
              <w:t>Noninterest-bearing liabilities:</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r>
      <w:tr>
        <w:trPr>
          <w:trHeight w:val="134"/>
        </w:trPr>
        <w:tc>
          <w:tcPr>
            <w:tcW w:w="2620" w:type="dxa"/>
            <w:vAlign w:val="bottom"/>
          </w:tcPr>
          <w:p>
            <w:pPr>
              <w:ind w:left="120"/>
              <w:spacing w:after="0"/>
              <w:rPr>
                <w:sz w:val="20"/>
                <w:szCs w:val="20"/>
                <w:color w:val="auto"/>
              </w:rPr>
            </w:pPr>
            <w:r>
              <w:rPr>
                <w:rFonts w:ascii="Arial" w:cs="Arial" w:eastAsia="Arial" w:hAnsi="Arial"/>
                <w:sz w:val="10"/>
                <w:szCs w:val="10"/>
                <w:color w:val="auto"/>
              </w:rPr>
              <w:t>Noninterest-bearing liabilities</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46,904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12"/>
              <w:spacing w:after="0"/>
              <w:rPr>
                <w:sz w:val="20"/>
                <w:szCs w:val="20"/>
                <w:color w:val="auto"/>
              </w:rPr>
            </w:pPr>
            <w:r>
              <w:rPr>
                <w:rFonts w:ascii="Arial" w:cs="Arial" w:eastAsia="Arial" w:hAnsi="Arial"/>
                <w:sz w:val="10"/>
                <w:szCs w:val="10"/>
                <w:color w:val="auto"/>
              </w:rPr>
              <w:t>51,427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43,245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6"/>
        </w:trPr>
        <w:tc>
          <w:tcPr>
            <w:tcW w:w="2620" w:type="dxa"/>
            <w:vAlign w:val="bottom"/>
            <w:shd w:val="clear" w:color="auto" w:fill="CCEEFF"/>
          </w:tcPr>
          <w:p>
            <w:pPr>
              <w:ind w:left="120"/>
              <w:spacing w:after="0" w:line="136" w:lineRule="exact"/>
              <w:rPr>
                <w:sz w:val="20"/>
                <w:szCs w:val="20"/>
                <w:color w:val="auto"/>
              </w:rPr>
            </w:pPr>
            <w:r>
              <w:rPr>
                <w:rFonts w:ascii="Arial" w:cs="Arial" w:eastAsia="Arial" w:hAnsi="Arial"/>
                <w:sz w:val="10"/>
                <w:szCs w:val="10"/>
                <w:color w:val="auto"/>
              </w:rPr>
              <w:t>Noninterest-bearing deposits</w:t>
            </w:r>
            <w:r>
              <w:rPr>
                <w:rFonts w:ascii="Arial" w:cs="Arial" w:eastAsia="Arial" w:hAnsi="Arial"/>
                <w:sz w:val="12"/>
                <w:szCs w:val="12"/>
                <w:color w:val="auto"/>
                <w:vertAlign w:val="superscript"/>
              </w:rPr>
              <w:t>(2)</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831,739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842,312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820,899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34"/>
        </w:trPr>
        <w:tc>
          <w:tcPr>
            <w:tcW w:w="262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Stockholders’ equity</w:t>
            </w: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427,950</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414,044</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383,922</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r>
      <w:tr>
        <w:trPr>
          <w:trHeight w:val="141"/>
        </w:trPr>
        <w:tc>
          <w:tcPr>
            <w:tcW w:w="26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3,765,041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3,761,511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3,378,296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45"/>
        </w:trPr>
        <w:tc>
          <w:tcPr>
            <w:tcW w:w="2620" w:type="dxa"/>
            <w:vAlign w:val="bottom"/>
            <w:tcBorders>
              <w:top w:val="single" w:sz="8" w:color="CCEEFF"/>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60" w:type="dxa"/>
            <w:vAlign w:val="bottom"/>
            <w:tcBorders>
              <w:top w:val="single" w:sz="8" w:color="CCEEFF"/>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540" w:type="dxa"/>
            <w:vAlign w:val="bottom"/>
            <w:tcBorders>
              <w:top w:val="single" w:sz="8" w:color="CCEEFF"/>
            </w:tcBorders>
          </w:tcPr>
          <w:p>
            <w:pPr>
              <w:spacing w:after="0"/>
              <w:rPr>
                <w:sz w:val="3"/>
                <w:szCs w:val="3"/>
                <w:color w:val="auto"/>
              </w:rPr>
            </w:pPr>
          </w:p>
        </w:tc>
        <w:tc>
          <w:tcPr>
            <w:tcW w:w="60" w:type="dxa"/>
            <w:vAlign w:val="bottom"/>
            <w:tcBorders>
              <w:top w:val="single" w:sz="8" w:color="CCEEFF"/>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620" w:type="dxa"/>
            <w:vAlign w:val="bottom"/>
            <w:tcBorders>
              <w:top w:val="single" w:sz="8" w:color="CCEEFF"/>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60" w:type="dxa"/>
            <w:vAlign w:val="bottom"/>
            <w:tcBorders>
              <w:top w:val="single" w:sz="8" w:color="CCEEFF"/>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540" w:type="dxa"/>
            <w:vAlign w:val="bottom"/>
            <w:tcBorders>
              <w:top w:val="single" w:sz="8" w:color="CCEEFF"/>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720" w:type="dxa"/>
            <w:vAlign w:val="bottom"/>
            <w:tcBorders>
              <w:top w:val="single" w:sz="8" w:color="CCEEFF"/>
            </w:tcBorders>
          </w:tcPr>
          <w:p>
            <w:pPr>
              <w:spacing w:after="0"/>
              <w:rPr>
                <w:sz w:val="3"/>
                <w:szCs w:val="3"/>
                <w:color w:val="auto"/>
              </w:rPr>
            </w:pPr>
          </w:p>
        </w:tc>
        <w:tc>
          <w:tcPr>
            <w:tcW w:w="60" w:type="dxa"/>
            <w:vAlign w:val="bottom"/>
            <w:tcBorders>
              <w:top w:val="single" w:sz="8" w:color="CCEEFF"/>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540" w:type="dxa"/>
            <w:vAlign w:val="bottom"/>
            <w:tcBorders>
              <w:top w:val="single" w:sz="8" w:color="CCEEFF"/>
            </w:tcBorders>
          </w:tcPr>
          <w:p>
            <w:pPr>
              <w:spacing w:after="0"/>
              <w:rPr>
                <w:sz w:val="3"/>
                <w:szCs w:val="3"/>
                <w:color w:val="auto"/>
              </w:rPr>
            </w:pPr>
          </w:p>
        </w:tc>
        <w:tc>
          <w:tcPr>
            <w:tcW w:w="60" w:type="dxa"/>
            <w:vAlign w:val="bottom"/>
            <w:tcBorders>
              <w:top w:val="single" w:sz="8" w:color="CCEEFF"/>
            </w:tcBorders>
          </w:tcPr>
          <w:p>
            <w:pPr>
              <w:spacing w:after="0"/>
              <w:rPr>
                <w:sz w:val="3"/>
                <w:szCs w:val="3"/>
                <w:color w:val="auto"/>
              </w:rPr>
            </w:pPr>
          </w:p>
        </w:tc>
        <w:tc>
          <w:tcPr>
            <w:tcW w:w="720" w:type="dxa"/>
            <w:vAlign w:val="bottom"/>
            <w:tcBorders>
              <w:top w:val="single" w:sz="8" w:color="CCEEFF"/>
            </w:tcBorders>
          </w:tcPr>
          <w:p>
            <w:pPr>
              <w:spacing w:after="0"/>
              <w:rPr>
                <w:sz w:val="3"/>
                <w:szCs w:val="3"/>
                <w:color w:val="auto"/>
              </w:rPr>
            </w:pPr>
          </w:p>
        </w:tc>
      </w:tr>
      <w:tr>
        <w:trPr>
          <w:trHeight w:val="155"/>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interest spread</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4.81 %</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4.64 %</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0"/>
                <w:szCs w:val="10"/>
                <w:color w:val="auto"/>
                <w:w w:val="89"/>
              </w:rPr>
              <w:t>5.53 %</w:t>
            </w:r>
          </w:p>
        </w:tc>
      </w:tr>
      <w:tr>
        <w:trPr>
          <w:trHeight w:val="129"/>
        </w:trPr>
        <w:tc>
          <w:tcPr>
            <w:tcW w:w="2620" w:type="dxa"/>
            <w:vAlign w:val="bottom"/>
          </w:tcPr>
          <w:p>
            <w:pPr>
              <w:ind w:left="20"/>
              <w:spacing w:after="0" w:line="113" w:lineRule="exact"/>
              <w:rPr>
                <w:sz w:val="20"/>
                <w:szCs w:val="20"/>
                <w:color w:val="auto"/>
              </w:rPr>
            </w:pPr>
            <w:r>
              <w:rPr>
                <w:rFonts w:ascii="Arial" w:cs="Arial" w:eastAsia="Arial" w:hAnsi="Arial"/>
                <w:sz w:val="10"/>
                <w:szCs w:val="10"/>
                <w:color w:val="auto"/>
              </w:rPr>
              <w:t>Net interest income</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jc w:val="right"/>
              <w:spacing w:after="0" w:line="111" w:lineRule="exact"/>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spacing w:after="0" w:line="111" w:lineRule="exact"/>
              <w:rPr>
                <w:sz w:val="20"/>
                <w:szCs w:val="20"/>
                <w:color w:val="auto"/>
              </w:rPr>
            </w:pPr>
            <w:r>
              <w:rPr>
                <w:rFonts w:ascii="Arial" w:cs="Arial" w:eastAsia="Arial" w:hAnsi="Arial"/>
                <w:sz w:val="10"/>
                <w:szCs w:val="10"/>
                <w:b w:val="1"/>
                <w:bCs w:val="1"/>
                <w:color w:val="auto"/>
              </w:rPr>
              <w:t>53,078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gridSpan w:val="2"/>
          </w:tcPr>
          <w:p>
            <w:pPr>
              <w:ind w:left="80"/>
              <w:spacing w:after="0" w:line="107" w:lineRule="exact"/>
              <w:rPr>
                <w:sz w:val="20"/>
                <w:szCs w:val="20"/>
                <w:color w:val="auto"/>
              </w:rPr>
            </w:pPr>
            <w:r>
              <w:rPr>
                <w:rFonts w:ascii="Arial" w:cs="Arial" w:eastAsia="Arial" w:hAnsi="Arial"/>
                <w:sz w:val="10"/>
                <w:szCs w:val="10"/>
                <w:color w:val="auto"/>
              </w:rPr>
              <w:t>$</w:t>
            </w:r>
          </w:p>
        </w:tc>
        <w:tc>
          <w:tcPr>
            <w:tcW w:w="540" w:type="dxa"/>
            <w:vAlign w:val="bottom"/>
          </w:tcPr>
          <w:p>
            <w:pPr>
              <w:jc w:val="right"/>
              <w:spacing w:after="0" w:line="107" w:lineRule="exact"/>
              <w:rPr>
                <w:sz w:val="20"/>
                <w:szCs w:val="20"/>
                <w:color w:val="auto"/>
              </w:rPr>
            </w:pPr>
            <w:r>
              <w:rPr>
                <w:rFonts w:ascii="Arial" w:cs="Arial" w:eastAsia="Arial" w:hAnsi="Arial"/>
                <w:sz w:val="10"/>
                <w:szCs w:val="10"/>
                <w:color w:val="auto"/>
              </w:rPr>
              <w:t>50,929</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jc w:val="right"/>
              <w:spacing w:after="0" w:line="107" w:lineRule="exact"/>
              <w:rPr>
                <w:sz w:val="20"/>
                <w:szCs w:val="20"/>
                <w:color w:val="auto"/>
              </w:rPr>
            </w:pPr>
            <w:r>
              <w:rPr>
                <w:rFonts w:ascii="Arial" w:cs="Arial" w:eastAsia="Arial" w:hAnsi="Arial"/>
                <w:sz w:val="10"/>
                <w:szCs w:val="10"/>
                <w:color w:val="auto"/>
                <w:w w:val="71"/>
              </w:rPr>
              <w:t>$</w:t>
            </w:r>
          </w:p>
        </w:tc>
        <w:tc>
          <w:tcPr>
            <w:tcW w:w="540" w:type="dxa"/>
            <w:vAlign w:val="bottom"/>
          </w:tcPr>
          <w:p>
            <w:pPr>
              <w:jc w:val="right"/>
              <w:ind w:right="12"/>
              <w:spacing w:after="0" w:line="107" w:lineRule="exact"/>
              <w:rPr>
                <w:sz w:val="20"/>
                <w:szCs w:val="20"/>
                <w:color w:val="auto"/>
              </w:rPr>
            </w:pPr>
            <w:r>
              <w:rPr>
                <w:rFonts w:ascii="Arial" w:cs="Arial" w:eastAsia="Arial" w:hAnsi="Arial"/>
                <w:sz w:val="10"/>
                <w:szCs w:val="10"/>
                <w:color w:val="auto"/>
              </w:rPr>
              <w:t>52,020</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3"/>
        </w:trPr>
        <w:tc>
          <w:tcPr>
            <w:tcW w:w="2620" w:type="dxa"/>
            <w:vAlign w:val="bottom"/>
            <w:tcBorders>
              <w:top w:val="single" w:sz="8" w:color="CCEEFF"/>
              <w:bottom w:val="single" w:sz="8" w:color="CCEEFF"/>
            </w:tcBorders>
            <w:shd w:val="clear" w:color="auto" w:fill="CCEEFF"/>
          </w:tcPr>
          <w:p>
            <w:pPr>
              <w:ind w:left="20"/>
              <w:spacing w:after="0" w:line="117" w:lineRule="exact"/>
              <w:rPr>
                <w:sz w:val="20"/>
                <w:szCs w:val="20"/>
                <w:color w:val="auto"/>
              </w:rPr>
            </w:pPr>
            <w:r>
              <w:rPr>
                <w:rFonts w:ascii="Arial" w:cs="Arial" w:eastAsia="Arial" w:hAnsi="Arial"/>
                <w:sz w:val="10"/>
                <w:szCs w:val="10"/>
                <w:color w:val="auto"/>
              </w:rPr>
              <w:t>Net interest margin</w:t>
            </w:r>
            <w:r>
              <w:rPr>
                <w:rFonts w:ascii="Arial" w:cs="Arial" w:eastAsia="Arial" w:hAnsi="Arial"/>
                <w:sz w:val="12"/>
                <w:szCs w:val="12"/>
                <w:color w:val="auto"/>
                <w:vertAlign w:val="superscript"/>
              </w:rPr>
              <w:t>(5)</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auto"/>
            </w:tcBorders>
            <w:shd w:val="clear" w:color="auto" w:fill="CCEEFF"/>
          </w:tcPr>
          <w:p>
            <w:pPr>
              <w:spacing w:after="0"/>
              <w:rPr>
                <w:sz w:val="11"/>
                <w:szCs w:val="11"/>
                <w:color w:val="auto"/>
              </w:rPr>
            </w:pPr>
          </w:p>
        </w:tc>
        <w:tc>
          <w:tcPr>
            <w:tcW w:w="6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5.81 %</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auto"/>
            </w:tcBorders>
            <w:shd w:val="clear" w:color="auto" w:fill="CCEEFF"/>
          </w:tcPr>
          <w:p>
            <w:pPr>
              <w:jc w:val="right"/>
              <w:spacing w:after="0" w:line="111" w:lineRule="exact"/>
              <w:rPr>
                <w:sz w:val="20"/>
                <w:szCs w:val="20"/>
                <w:color w:val="auto"/>
              </w:rPr>
            </w:pPr>
            <w:r>
              <w:rPr>
                <w:rFonts w:ascii="Arial" w:cs="Arial" w:eastAsia="Arial" w:hAnsi="Arial"/>
                <w:sz w:val="10"/>
                <w:szCs w:val="10"/>
                <w:color w:val="auto"/>
              </w:rPr>
              <w:t>5.64 %</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20" w:type="dxa"/>
            <w:vAlign w:val="bottom"/>
            <w:tcBorders>
              <w:top w:val="single" w:sz="8" w:color="CCEEFF"/>
              <w:bottom w:val="single" w:sz="8" w:color="auto"/>
            </w:tcBorders>
            <w:shd w:val="clear" w:color="auto" w:fill="CCEEFF"/>
          </w:tcPr>
          <w:p>
            <w:pPr>
              <w:ind w:left="420"/>
              <w:spacing w:after="0" w:line="111" w:lineRule="exact"/>
              <w:rPr>
                <w:sz w:val="20"/>
                <w:szCs w:val="20"/>
                <w:color w:val="auto"/>
              </w:rPr>
            </w:pPr>
            <w:r>
              <w:rPr>
                <w:rFonts w:ascii="Arial" w:cs="Arial" w:eastAsia="Arial" w:hAnsi="Arial"/>
                <w:sz w:val="10"/>
                <w:szCs w:val="10"/>
                <w:color w:val="auto"/>
                <w:w w:val="89"/>
              </w:rPr>
              <w:t>6.36 %</w:t>
            </w:r>
          </w:p>
        </w:tc>
      </w:tr>
    </w:tbl>
    <w:p>
      <w:pPr>
        <w:spacing w:after="0" w:line="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_______________</w:t>
      </w:r>
    </w:p>
    <w:p>
      <w:pPr>
        <w:spacing w:after="0" w:line="26" w:lineRule="exact"/>
        <w:rPr>
          <w:sz w:val="20"/>
          <w:szCs w:val="20"/>
          <w:color w:val="auto"/>
        </w:rPr>
      </w:pPr>
    </w:p>
    <w:p>
      <w:pPr>
        <w:ind w:left="640" w:hanging="216"/>
        <w:spacing w:after="0"/>
        <w:tabs>
          <w:tab w:leader="none" w:pos="640" w:val="left"/>
        </w:tabs>
        <w:numPr>
          <w:ilvl w:val="0"/>
          <w:numId w:val="28"/>
        </w:numPr>
        <w:rPr>
          <w:rFonts w:ascii="Arial" w:cs="Arial" w:eastAsia="Arial" w:hAnsi="Arial"/>
          <w:sz w:val="11"/>
          <w:szCs w:val="11"/>
          <w:color w:val="auto"/>
          <w:vertAlign w:val="superscript"/>
        </w:rPr>
      </w:pPr>
      <w:r>
        <w:rPr>
          <w:rFonts w:ascii="Arial" w:cs="Arial" w:eastAsia="Arial" w:hAnsi="Arial"/>
          <w:sz w:val="8"/>
          <w:szCs w:val="8"/>
          <w:color w:val="auto"/>
        </w:rPr>
        <w:t>Annualized.</w:t>
      </w:r>
    </w:p>
    <w:p>
      <w:pPr>
        <w:spacing w:after="0" w:line="6" w:lineRule="exact"/>
        <w:rPr>
          <w:rFonts w:ascii="Arial" w:cs="Arial" w:eastAsia="Arial" w:hAnsi="Arial"/>
          <w:sz w:val="11"/>
          <w:szCs w:val="11"/>
          <w:color w:val="auto"/>
          <w:vertAlign w:val="superscript"/>
        </w:rPr>
      </w:pPr>
    </w:p>
    <w:p>
      <w:pPr>
        <w:ind w:left="640" w:hanging="216"/>
        <w:spacing w:after="0" w:line="187" w:lineRule="auto"/>
        <w:tabs>
          <w:tab w:leader="none" w:pos="640" w:val="left"/>
        </w:tabs>
        <w:numPr>
          <w:ilvl w:val="0"/>
          <w:numId w:val="28"/>
        </w:numPr>
        <w:rPr>
          <w:rFonts w:ascii="Arial" w:cs="Arial" w:eastAsia="Arial" w:hAnsi="Arial"/>
          <w:sz w:val="11"/>
          <w:szCs w:val="11"/>
          <w:color w:val="auto"/>
          <w:vertAlign w:val="superscript"/>
        </w:rPr>
      </w:pPr>
      <w:r>
        <w:rPr>
          <w:rFonts w:ascii="Arial" w:cs="Arial" w:eastAsia="Arial" w:hAnsi="Arial"/>
          <w:sz w:val="8"/>
          <w:szCs w:val="8"/>
          <w:color w:val="auto"/>
        </w:rPr>
        <w:t>Balances include held for sale transactions in connection with sale of Chicago branch.</w:t>
      </w:r>
    </w:p>
    <w:p>
      <w:pPr>
        <w:ind w:left="640" w:hanging="216"/>
        <w:spacing w:after="0" w:line="187" w:lineRule="auto"/>
        <w:tabs>
          <w:tab w:leader="none" w:pos="640" w:val="left"/>
        </w:tabs>
        <w:numPr>
          <w:ilvl w:val="0"/>
          <w:numId w:val="28"/>
        </w:numPr>
        <w:rPr>
          <w:rFonts w:ascii="Arial" w:cs="Arial" w:eastAsia="Arial" w:hAnsi="Arial"/>
          <w:sz w:val="11"/>
          <w:szCs w:val="11"/>
          <w:color w:val="auto"/>
          <w:vertAlign w:val="superscript"/>
        </w:rPr>
      </w:pPr>
      <w:r>
        <w:rPr>
          <w:rFonts w:ascii="Arial" w:cs="Arial" w:eastAsia="Arial" w:hAnsi="Arial"/>
          <w:sz w:val="8"/>
          <w:szCs w:val="8"/>
          <w:color w:val="auto"/>
        </w:rPr>
        <w:t>Average balances includes nonaccrual loans. As of September 30, 2026, nonaccrual loans of $0.3 million were included in Loans held for sale and $56.4 million in Portfolio loans receivable.</w:t>
      </w:r>
    </w:p>
    <w:p>
      <w:pPr>
        <w:ind w:left="640" w:hanging="216"/>
        <w:spacing w:after="0" w:line="187" w:lineRule="auto"/>
        <w:tabs>
          <w:tab w:leader="none" w:pos="640" w:val="left"/>
        </w:tabs>
        <w:numPr>
          <w:ilvl w:val="0"/>
          <w:numId w:val="28"/>
        </w:numPr>
        <w:rPr>
          <w:rFonts w:ascii="Arial" w:cs="Arial" w:eastAsia="Arial" w:hAnsi="Arial"/>
          <w:sz w:val="11"/>
          <w:szCs w:val="11"/>
          <w:color w:val="auto"/>
          <w:vertAlign w:val="superscript"/>
        </w:rPr>
      </w:pPr>
      <w:r>
        <w:rPr>
          <w:rFonts w:ascii="Arial" w:cs="Arial" w:eastAsia="Arial" w:hAnsi="Arial"/>
          <w:sz w:val="8"/>
          <w:szCs w:val="8"/>
          <w:color w:val="auto"/>
        </w:rPr>
        <w:t>For the three months ended September 30, 2026, June 30, 2026, and September 30, 2025, Core Loan Yield was 6.83%, 6.77% and 6.74%, respectively.</w:t>
      </w:r>
    </w:p>
    <w:p>
      <w:pPr>
        <w:ind w:left="640" w:hanging="216"/>
        <w:spacing w:after="0" w:line="193" w:lineRule="auto"/>
        <w:tabs>
          <w:tab w:leader="none" w:pos="640" w:val="left"/>
        </w:tabs>
        <w:numPr>
          <w:ilvl w:val="0"/>
          <w:numId w:val="28"/>
        </w:numPr>
        <w:rPr>
          <w:rFonts w:ascii="Arial" w:cs="Arial" w:eastAsia="Arial" w:hAnsi="Arial"/>
          <w:sz w:val="11"/>
          <w:szCs w:val="11"/>
          <w:color w:val="auto"/>
          <w:vertAlign w:val="superscript"/>
        </w:rPr>
      </w:pPr>
      <w:r>
        <w:rPr>
          <w:rFonts w:ascii="Arial" w:cs="Arial" w:eastAsia="Arial" w:hAnsi="Arial"/>
          <w:sz w:val="8"/>
          <w:szCs w:val="8"/>
          <w:color w:val="auto"/>
        </w:rPr>
        <w:t>For the three months ended September 30, 2026, June 30, 2026, and September 30, 2025, Core Net Interest Margin was 4.18%, 4.04% and 4.66%, respectively.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300"/>
          </w:cols>
          <w:pgMar w:left="300" w:top="640" w:right="299" w:bottom="1440" w:gutter="0" w:footer="0" w:header="0"/>
        </w:sectPr>
      </w:pPr>
    </w:p>
    <w:bookmarkStart w:id="19" w:name="page20"/>
    <w:bookmarkEnd w:id="19"/>
    <w:tbl>
      <w:tblPr>
        <w:tblLayout w:type="fixed"/>
        <w:tblInd w:w="8" w:type="dxa"/>
        <w:tblCellMar>
          <w:top w:w="0" w:type="dxa"/>
          <w:left w:w="0" w:type="dxa"/>
          <w:bottom w:w="0" w:type="dxa"/>
          <w:right w:w="0" w:type="dxa"/>
        </w:tblCellMar>
      </w:tblPr>
      <w:tr>
        <w:trPr>
          <w:trHeight w:val="132"/>
        </w:trPr>
        <w:tc>
          <w:tcPr>
            <w:tcW w:w="48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gridSpan w:val="5"/>
          </w:tcPr>
          <w:p>
            <w:pPr>
              <w:ind w:left="220"/>
              <w:spacing w:after="0"/>
              <w:rPr>
                <w:sz w:val="20"/>
                <w:szCs w:val="20"/>
                <w:color w:val="auto"/>
              </w:rPr>
            </w:pPr>
            <w:r>
              <w:rPr>
                <w:rFonts w:ascii="Arial" w:cs="Arial" w:eastAsia="Arial" w:hAnsi="Arial"/>
                <w:sz w:val="10"/>
                <w:szCs w:val="10"/>
                <w:b w:val="1"/>
                <w:bCs w:val="1"/>
                <w:color w:val="auto"/>
              </w:rPr>
              <w:t>Nine Months Ended September 30,</w:t>
            </w: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8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2026</w:t>
            </w: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color w:val="auto"/>
              </w:rPr>
              <w:t>2025</w:t>
            </w: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4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2"/>
          </w:tcPr>
          <w:p>
            <w:pPr>
              <w:jc w:val="center"/>
              <w:ind w:right="280"/>
              <w:spacing w:after="0" w:line="92" w:lineRule="exact"/>
              <w:rPr>
                <w:sz w:val="20"/>
                <w:szCs w:val="20"/>
                <w:color w:val="auto"/>
              </w:rPr>
            </w:pPr>
            <w:r>
              <w:rPr>
                <w:rFonts w:ascii="Arial" w:cs="Arial" w:eastAsia="Arial" w:hAnsi="Arial"/>
                <w:sz w:val="10"/>
                <w:szCs w:val="10"/>
                <w:b w:val="1"/>
                <w:bCs w:val="1"/>
                <w:color w:val="auto"/>
                <w:w w:val="96"/>
              </w:rPr>
              <w:t>Average</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0"/>
                <w:szCs w:val="10"/>
                <w:b w:val="1"/>
                <w:bCs w:val="1"/>
                <w:color w:val="auto"/>
                <w:w w:val="93"/>
              </w:rPr>
              <w:t>Interest Income/</w:t>
            </w:r>
          </w:p>
        </w:tc>
        <w:tc>
          <w:tcPr>
            <w:tcW w:w="960" w:type="dxa"/>
            <w:vAlign w:val="bottom"/>
          </w:tcPr>
          <w:p>
            <w:pPr>
              <w:jc w:val="center"/>
              <w:spacing w:after="0" w:line="92" w:lineRule="exact"/>
              <w:rPr>
                <w:sz w:val="20"/>
                <w:szCs w:val="20"/>
                <w:color w:val="auto"/>
              </w:rPr>
            </w:pPr>
            <w:r>
              <w:rPr>
                <w:rFonts w:ascii="Arial" w:cs="Arial" w:eastAsia="Arial" w:hAnsi="Arial"/>
                <w:sz w:val="10"/>
                <w:szCs w:val="10"/>
                <w:b w:val="1"/>
                <w:bCs w:val="1"/>
                <w:color w:val="auto"/>
                <w:w w:val="96"/>
              </w:rPr>
              <w:t>Average</w:t>
            </w: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gridSpan w:val="2"/>
          </w:tcPr>
          <w:p>
            <w:pPr>
              <w:jc w:val="center"/>
              <w:ind w:right="380"/>
              <w:spacing w:after="0" w:line="92" w:lineRule="exact"/>
              <w:rPr>
                <w:sz w:val="20"/>
                <w:szCs w:val="20"/>
                <w:color w:val="auto"/>
              </w:rPr>
            </w:pPr>
            <w:r>
              <w:rPr>
                <w:rFonts w:ascii="Arial" w:cs="Arial" w:eastAsia="Arial" w:hAnsi="Arial"/>
                <w:sz w:val="10"/>
                <w:szCs w:val="10"/>
                <w:color w:val="auto"/>
                <w:w w:val="96"/>
              </w:rPr>
              <w:t>Average</w:t>
            </w:r>
          </w:p>
        </w:tc>
        <w:tc>
          <w:tcPr>
            <w:tcW w:w="80" w:type="dxa"/>
            <w:vAlign w:val="bottom"/>
          </w:tcPr>
          <w:p>
            <w:pPr>
              <w:spacing w:after="0"/>
              <w:rPr>
                <w:sz w:val="7"/>
                <w:szCs w:val="7"/>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0"/>
                <w:szCs w:val="10"/>
                <w:color w:val="auto"/>
                <w:w w:val="94"/>
              </w:rPr>
              <w:t>Interest Income/</w:t>
            </w:r>
          </w:p>
        </w:tc>
        <w:tc>
          <w:tcPr>
            <w:tcW w:w="960" w:type="dxa"/>
            <w:vAlign w:val="bottom"/>
          </w:tcPr>
          <w:p>
            <w:pPr>
              <w:ind w:left="280"/>
              <w:spacing w:after="0" w:line="92" w:lineRule="exact"/>
              <w:rPr>
                <w:sz w:val="20"/>
                <w:szCs w:val="20"/>
                <w:color w:val="auto"/>
              </w:rPr>
            </w:pPr>
            <w:r>
              <w:rPr>
                <w:rFonts w:ascii="Arial" w:cs="Arial" w:eastAsia="Arial" w:hAnsi="Arial"/>
                <w:sz w:val="10"/>
                <w:szCs w:val="10"/>
                <w:color w:val="auto"/>
              </w:rPr>
              <w:t>Average</w:t>
            </w:r>
          </w:p>
        </w:tc>
        <w:tc>
          <w:tcPr>
            <w:tcW w:w="0" w:type="dxa"/>
            <w:vAlign w:val="bottom"/>
          </w:tcPr>
          <w:p>
            <w:pPr>
              <w:spacing w:after="0"/>
              <w:rPr>
                <w:sz w:val="1"/>
                <w:szCs w:val="1"/>
                <w:color w:val="auto"/>
              </w:rPr>
            </w:pPr>
          </w:p>
        </w:tc>
      </w:tr>
      <w:tr>
        <w:trPr>
          <w:trHeight w:val="97"/>
        </w:trPr>
        <w:tc>
          <w:tcPr>
            <w:tcW w:w="4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gridSpan w:val="2"/>
          </w:tcPr>
          <w:p>
            <w:pPr>
              <w:jc w:val="center"/>
              <w:ind w:right="280"/>
              <w:spacing w:after="0" w:line="97" w:lineRule="exact"/>
              <w:rPr>
                <w:sz w:val="20"/>
                <w:szCs w:val="20"/>
                <w:color w:val="auto"/>
              </w:rPr>
            </w:pPr>
            <w:r>
              <w:rPr>
                <w:rFonts w:ascii="Arial" w:cs="Arial" w:eastAsia="Arial" w:hAnsi="Arial"/>
                <w:sz w:val="10"/>
                <w:szCs w:val="10"/>
                <w:b w:val="1"/>
                <w:bCs w:val="1"/>
                <w:color w:val="auto"/>
                <w:w w:val="98"/>
              </w:rPr>
              <w:t>Outstanding</w:t>
            </w:r>
          </w:p>
        </w:tc>
        <w:tc>
          <w:tcPr>
            <w:tcW w:w="960" w:type="dxa"/>
            <w:vAlign w:val="bottom"/>
            <w:gridSpan w:val="3"/>
            <w:vMerge w:val="continue"/>
          </w:tcPr>
          <w:p>
            <w:pPr>
              <w:spacing w:after="0"/>
              <w:rPr>
                <w:sz w:val="8"/>
                <w:szCs w:val="8"/>
                <w:color w:val="auto"/>
              </w:rPr>
            </w:pPr>
          </w:p>
        </w:tc>
        <w:tc>
          <w:tcPr>
            <w:tcW w:w="960" w:type="dxa"/>
            <w:vAlign w:val="bottom"/>
          </w:tcPr>
          <w:p>
            <w:pPr>
              <w:jc w:val="center"/>
              <w:spacing w:after="0" w:line="97" w:lineRule="exact"/>
              <w:rPr>
                <w:sz w:val="20"/>
                <w:szCs w:val="20"/>
                <w:color w:val="auto"/>
              </w:rPr>
            </w:pPr>
            <w:r>
              <w:rPr>
                <w:rFonts w:ascii="Arial" w:cs="Arial" w:eastAsia="Arial" w:hAnsi="Arial"/>
                <w:sz w:val="10"/>
                <w:szCs w:val="10"/>
                <w:b w:val="1"/>
                <w:bCs w:val="1"/>
                <w:color w:val="auto"/>
                <w:w w:val="89"/>
              </w:rPr>
              <w:t>Yield/</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gridSpan w:val="2"/>
          </w:tcPr>
          <w:p>
            <w:pPr>
              <w:jc w:val="center"/>
              <w:ind w:right="380"/>
              <w:spacing w:after="0" w:line="97" w:lineRule="exact"/>
              <w:rPr>
                <w:sz w:val="20"/>
                <w:szCs w:val="20"/>
                <w:color w:val="auto"/>
              </w:rPr>
            </w:pPr>
            <w:r>
              <w:rPr>
                <w:rFonts w:ascii="Arial" w:cs="Arial" w:eastAsia="Arial" w:hAnsi="Arial"/>
                <w:sz w:val="10"/>
                <w:szCs w:val="10"/>
                <w:color w:val="auto"/>
                <w:w w:val="96"/>
              </w:rPr>
              <w:t>Outstanding</w:t>
            </w:r>
          </w:p>
        </w:tc>
        <w:tc>
          <w:tcPr>
            <w:tcW w:w="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60" w:type="dxa"/>
            <w:vAlign w:val="bottom"/>
          </w:tcPr>
          <w:p>
            <w:pPr>
              <w:ind w:left="340"/>
              <w:spacing w:after="0" w:line="97" w:lineRule="exact"/>
              <w:rPr>
                <w:sz w:val="20"/>
                <w:szCs w:val="20"/>
                <w:color w:val="auto"/>
              </w:rPr>
            </w:pPr>
            <w:r>
              <w:rPr>
                <w:rFonts w:ascii="Arial" w:cs="Arial" w:eastAsia="Arial" w:hAnsi="Arial"/>
                <w:sz w:val="10"/>
                <w:szCs w:val="10"/>
                <w:color w:val="auto"/>
              </w:rPr>
              <w:t>Yield/</w:t>
            </w:r>
          </w:p>
        </w:tc>
        <w:tc>
          <w:tcPr>
            <w:tcW w:w="0" w:type="dxa"/>
            <w:vAlign w:val="bottom"/>
          </w:tcPr>
          <w:p>
            <w:pPr>
              <w:spacing w:after="0"/>
              <w:rPr>
                <w:sz w:val="1"/>
                <w:szCs w:val="1"/>
                <w:color w:val="auto"/>
              </w:rPr>
            </w:pPr>
          </w:p>
        </w:tc>
      </w:tr>
      <w:tr>
        <w:trPr>
          <w:trHeight w:val="126"/>
        </w:trPr>
        <w:tc>
          <w:tcPr>
            <w:tcW w:w="48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3"/>
              </w:rPr>
              <w:t>Balance</w:t>
            </w: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2"/>
              </w:rPr>
              <w:t>Expense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Rate</w:t>
            </w:r>
            <w:r>
              <w:rPr>
                <w:rFonts w:ascii="Arial" w:cs="Arial" w:eastAsia="Arial" w:hAnsi="Arial"/>
                <w:sz w:val="6"/>
                <w:szCs w:val="6"/>
                <w:b w:val="1"/>
                <w:bCs w:val="1"/>
                <w:color w:val="auto"/>
                <w:w w:val="96"/>
              </w:rPr>
              <w:t>(1)</w:t>
            </w: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color w:val="auto"/>
              </w:rPr>
              <w:t>Balance</w:t>
            </w: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color w:val="auto"/>
                <w:w w:val="97"/>
              </w:rPr>
              <w:t>Expense</w:t>
            </w:r>
          </w:p>
        </w:tc>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0"/>
                <w:szCs w:val="10"/>
                <w:color w:val="auto"/>
              </w:rPr>
              <w:t>Rate</w:t>
            </w:r>
            <w:r>
              <w:rPr>
                <w:rFonts w:ascii="Arial" w:cs="Arial" w:eastAsia="Arial" w:hAnsi="Arial"/>
                <w:sz w:val="6"/>
                <w:szCs w:val="6"/>
                <w:color w:val="auto"/>
              </w:rPr>
              <w:t>(1)</w:t>
            </w:r>
          </w:p>
        </w:tc>
        <w:tc>
          <w:tcPr>
            <w:tcW w:w="0" w:type="dxa"/>
            <w:vAlign w:val="bottom"/>
          </w:tcPr>
          <w:p>
            <w:pPr>
              <w:spacing w:after="0"/>
              <w:rPr>
                <w:sz w:val="1"/>
                <w:szCs w:val="1"/>
                <w:color w:val="auto"/>
              </w:rPr>
            </w:pPr>
          </w:p>
        </w:tc>
      </w:tr>
      <w:tr>
        <w:trPr>
          <w:trHeight w:val="92"/>
        </w:trPr>
        <w:tc>
          <w:tcPr>
            <w:tcW w:w="4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gridSpan w:val="3"/>
          </w:tcPr>
          <w:p>
            <w:pPr>
              <w:ind w:left="760"/>
              <w:spacing w:after="0"/>
              <w:rPr>
                <w:sz w:val="20"/>
                <w:szCs w:val="20"/>
                <w:color w:val="auto"/>
              </w:rPr>
            </w:pPr>
            <w:r>
              <w:rPr>
                <w:rFonts w:ascii="Arial" w:cs="Arial" w:eastAsia="Arial" w:hAnsi="Arial"/>
                <w:sz w:val="7"/>
                <w:szCs w:val="7"/>
                <w:b w:val="1"/>
                <w:bCs w:val="1"/>
                <w:color w:val="auto"/>
              </w:rPr>
              <w:t>(in thousands)</w:t>
            </w: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48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Assets</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800" w:type="dxa"/>
            <w:vAlign w:val="bottom"/>
          </w:tcPr>
          <w:p>
            <w:pPr>
              <w:spacing w:after="0"/>
              <w:rPr>
                <w:sz w:val="20"/>
                <w:szCs w:val="20"/>
                <w:color w:val="auto"/>
              </w:rPr>
            </w:pPr>
            <w:r>
              <w:rPr>
                <w:rFonts w:ascii="Arial" w:cs="Arial" w:eastAsia="Arial" w:hAnsi="Arial"/>
                <w:sz w:val="10"/>
                <w:szCs w:val="10"/>
                <w:color w:val="auto"/>
              </w:rPr>
              <w:t>Interest earning assets:</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Interest-bearing deposits</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261,412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7,063</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0"/>
                <w:szCs w:val="10"/>
                <w:b w:val="1"/>
                <w:bCs w:val="1"/>
                <w:color w:val="auto"/>
                <w:w w:val="96"/>
              </w:rPr>
              <w:t>3.61 %</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193,337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6,342</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0"/>
                <w:szCs w:val="10"/>
                <w:color w:val="auto"/>
                <w:w w:val="96"/>
              </w:rPr>
              <w:t>4.39 %</w:t>
            </w:r>
          </w:p>
        </w:tc>
        <w:tc>
          <w:tcPr>
            <w:tcW w:w="0" w:type="dxa"/>
            <w:vAlign w:val="bottom"/>
          </w:tcPr>
          <w:p>
            <w:pPr>
              <w:spacing w:after="0"/>
              <w:rPr>
                <w:sz w:val="1"/>
                <w:szCs w:val="1"/>
                <w:color w:val="auto"/>
              </w:rPr>
            </w:pPr>
          </w:p>
        </w:tc>
      </w:tr>
      <w:tr>
        <w:trPr>
          <w:trHeight w:val="134"/>
        </w:trPr>
        <w:tc>
          <w:tcPr>
            <w:tcW w:w="4800" w:type="dxa"/>
            <w:vAlign w:val="bottom"/>
          </w:tcPr>
          <w:p>
            <w:pPr>
              <w:ind w:left="120"/>
              <w:spacing w:after="0"/>
              <w:rPr>
                <w:sz w:val="20"/>
                <w:szCs w:val="20"/>
                <w:color w:val="auto"/>
              </w:rPr>
            </w:pPr>
            <w:r>
              <w:rPr>
                <w:rFonts w:ascii="Arial" w:cs="Arial" w:eastAsia="Arial" w:hAnsi="Arial"/>
                <w:sz w:val="10"/>
                <w:szCs w:val="10"/>
                <w:color w:val="auto"/>
              </w:rPr>
              <w:t>Federal funds sold</w:t>
            </w:r>
          </w:p>
        </w:tc>
        <w:tc>
          <w:tcPr>
            <w:tcW w:w="1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47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1</w:t>
            </w:r>
          </w:p>
        </w:tc>
        <w:tc>
          <w:tcPr>
            <w:tcW w:w="100" w:type="dxa"/>
            <w:vAlign w:val="bottom"/>
          </w:tcPr>
          <w:p>
            <w:pPr>
              <w:spacing w:after="0"/>
              <w:rPr>
                <w:sz w:val="11"/>
                <w:szCs w:val="11"/>
                <w:color w:val="auto"/>
              </w:rPr>
            </w:pPr>
          </w:p>
        </w:tc>
        <w:tc>
          <w:tcPr>
            <w:tcW w:w="960" w:type="dxa"/>
            <w:vAlign w:val="bottom"/>
          </w:tcPr>
          <w:p>
            <w:pPr>
              <w:ind w:left="640"/>
              <w:spacing w:after="0"/>
              <w:rPr>
                <w:sz w:val="20"/>
                <w:szCs w:val="20"/>
                <w:color w:val="auto"/>
              </w:rPr>
            </w:pPr>
            <w:r>
              <w:rPr>
                <w:rFonts w:ascii="Arial" w:cs="Arial" w:eastAsia="Arial" w:hAnsi="Arial"/>
                <w:sz w:val="10"/>
                <w:szCs w:val="10"/>
                <w:b w:val="1"/>
                <w:bCs w:val="1"/>
                <w:color w:val="auto"/>
              </w:rPr>
              <w:t>2.84</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59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960" w:type="dxa"/>
            <w:vAlign w:val="bottom"/>
          </w:tcPr>
          <w:p>
            <w:pPr>
              <w:ind w:left="640"/>
              <w:spacing w:after="0"/>
              <w:rPr>
                <w:sz w:val="20"/>
                <w:szCs w:val="20"/>
                <w:color w:val="auto"/>
              </w:rPr>
            </w:pPr>
            <w:r>
              <w:rPr>
                <w:rFonts w:ascii="Arial" w:cs="Arial" w:eastAsia="Arial" w:hAnsi="Arial"/>
                <w:sz w:val="10"/>
                <w:szCs w:val="10"/>
                <w:color w:val="auto"/>
              </w:rPr>
              <w:t>4.24</w:t>
            </w:r>
          </w:p>
        </w:tc>
        <w:tc>
          <w:tcPr>
            <w:tcW w:w="0" w:type="dxa"/>
            <w:vAlign w:val="bottom"/>
          </w:tcPr>
          <w:p>
            <w:pPr>
              <w:spacing w:after="0"/>
              <w:rPr>
                <w:sz w:val="1"/>
                <w:szCs w:val="1"/>
                <w:color w:val="auto"/>
              </w:rPr>
            </w:pPr>
          </w:p>
        </w:tc>
      </w:tr>
      <w:tr>
        <w:trPr>
          <w:trHeight w:val="136"/>
        </w:trPr>
        <w:tc>
          <w:tcPr>
            <w:tcW w:w="4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Investment securities available-for-sale</w:t>
            </w: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233,592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5,099</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0"/>
                <w:szCs w:val="10"/>
                <w:b w:val="1"/>
                <w:bCs w:val="1"/>
                <w:color w:val="auto"/>
              </w:rPr>
              <w:t>2.92</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235,690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5,248</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0"/>
                <w:szCs w:val="10"/>
                <w:color w:val="auto"/>
              </w:rPr>
              <w:t>2.98</w:t>
            </w:r>
          </w:p>
        </w:tc>
        <w:tc>
          <w:tcPr>
            <w:tcW w:w="0" w:type="dxa"/>
            <w:vAlign w:val="bottom"/>
          </w:tcPr>
          <w:p>
            <w:pPr>
              <w:spacing w:after="0"/>
              <w:rPr>
                <w:sz w:val="1"/>
                <w:szCs w:val="1"/>
                <w:color w:val="auto"/>
              </w:rPr>
            </w:pPr>
          </w:p>
        </w:tc>
      </w:tr>
      <w:tr>
        <w:trPr>
          <w:trHeight w:val="134"/>
        </w:trPr>
        <w:tc>
          <w:tcPr>
            <w:tcW w:w="4800" w:type="dxa"/>
            <w:vAlign w:val="bottom"/>
          </w:tcPr>
          <w:p>
            <w:pPr>
              <w:ind w:left="120"/>
              <w:spacing w:after="0"/>
              <w:rPr>
                <w:sz w:val="20"/>
                <w:szCs w:val="20"/>
                <w:color w:val="auto"/>
              </w:rPr>
            </w:pPr>
            <w:r>
              <w:rPr>
                <w:rFonts w:ascii="Arial" w:cs="Arial" w:eastAsia="Arial" w:hAnsi="Arial"/>
                <w:sz w:val="10"/>
                <w:szCs w:val="10"/>
                <w:color w:val="auto"/>
              </w:rPr>
              <w:t>Restricted investments</w:t>
            </w:r>
          </w:p>
        </w:tc>
        <w:tc>
          <w:tcPr>
            <w:tcW w:w="1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8,191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373</w:t>
            </w:r>
          </w:p>
        </w:tc>
        <w:tc>
          <w:tcPr>
            <w:tcW w:w="100" w:type="dxa"/>
            <w:vAlign w:val="bottom"/>
          </w:tcPr>
          <w:p>
            <w:pPr>
              <w:spacing w:after="0"/>
              <w:rPr>
                <w:sz w:val="11"/>
                <w:szCs w:val="11"/>
                <w:color w:val="auto"/>
              </w:rPr>
            </w:pPr>
          </w:p>
        </w:tc>
        <w:tc>
          <w:tcPr>
            <w:tcW w:w="960" w:type="dxa"/>
            <w:vAlign w:val="bottom"/>
          </w:tcPr>
          <w:p>
            <w:pPr>
              <w:ind w:left="640"/>
              <w:spacing w:after="0"/>
              <w:rPr>
                <w:sz w:val="20"/>
                <w:szCs w:val="20"/>
                <w:color w:val="auto"/>
              </w:rPr>
            </w:pPr>
            <w:r>
              <w:rPr>
                <w:rFonts w:ascii="Arial" w:cs="Arial" w:eastAsia="Arial" w:hAnsi="Arial"/>
                <w:sz w:val="10"/>
                <w:szCs w:val="10"/>
                <w:b w:val="1"/>
                <w:bCs w:val="1"/>
                <w:color w:val="auto"/>
              </w:rPr>
              <w:t>6.09</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6,622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306</w:t>
            </w:r>
          </w:p>
        </w:tc>
        <w:tc>
          <w:tcPr>
            <w:tcW w:w="80" w:type="dxa"/>
            <w:vAlign w:val="bottom"/>
          </w:tcPr>
          <w:p>
            <w:pPr>
              <w:spacing w:after="0"/>
              <w:rPr>
                <w:sz w:val="11"/>
                <w:szCs w:val="11"/>
                <w:color w:val="auto"/>
              </w:rPr>
            </w:pPr>
          </w:p>
        </w:tc>
        <w:tc>
          <w:tcPr>
            <w:tcW w:w="960" w:type="dxa"/>
            <w:vAlign w:val="bottom"/>
          </w:tcPr>
          <w:p>
            <w:pPr>
              <w:ind w:left="640"/>
              <w:spacing w:after="0"/>
              <w:rPr>
                <w:sz w:val="20"/>
                <w:szCs w:val="20"/>
                <w:color w:val="auto"/>
              </w:rPr>
            </w:pPr>
            <w:r>
              <w:rPr>
                <w:rFonts w:ascii="Arial" w:cs="Arial" w:eastAsia="Arial" w:hAnsi="Arial"/>
                <w:sz w:val="10"/>
                <w:szCs w:val="10"/>
                <w:color w:val="auto"/>
              </w:rPr>
              <w:t>6.17</w:t>
            </w:r>
          </w:p>
        </w:tc>
        <w:tc>
          <w:tcPr>
            <w:tcW w:w="0" w:type="dxa"/>
            <w:vAlign w:val="bottom"/>
          </w:tcPr>
          <w:p>
            <w:pPr>
              <w:spacing w:after="0"/>
              <w:rPr>
                <w:sz w:val="1"/>
                <w:szCs w:val="1"/>
                <w:color w:val="auto"/>
              </w:rPr>
            </w:pPr>
          </w:p>
        </w:tc>
      </w:tr>
      <w:tr>
        <w:trPr>
          <w:trHeight w:val="136"/>
        </w:trPr>
        <w:tc>
          <w:tcPr>
            <w:tcW w:w="4800" w:type="dxa"/>
            <w:vAlign w:val="bottom"/>
            <w:shd w:val="clear" w:color="auto" w:fill="CCEEFF"/>
          </w:tcPr>
          <w:p>
            <w:pPr>
              <w:ind w:left="120"/>
              <w:spacing w:after="0" w:line="136" w:lineRule="exact"/>
              <w:rPr>
                <w:sz w:val="20"/>
                <w:szCs w:val="20"/>
                <w:color w:val="auto"/>
              </w:rPr>
            </w:pPr>
            <w:r>
              <w:rPr>
                <w:rFonts w:ascii="Arial" w:cs="Arial" w:eastAsia="Arial" w:hAnsi="Arial"/>
                <w:sz w:val="10"/>
                <w:szCs w:val="10"/>
                <w:color w:val="auto"/>
              </w:rPr>
              <w:t xml:space="preserve">Loans held for sale </w:t>
            </w:r>
            <w:r>
              <w:rPr>
                <w:rFonts w:ascii="Arial" w:cs="Arial" w:eastAsia="Arial" w:hAnsi="Arial"/>
                <w:sz w:val="12"/>
                <w:szCs w:val="12"/>
                <w:color w:val="auto"/>
                <w:vertAlign w:val="superscript"/>
              </w:rPr>
              <w:t>(2)(3)</w:t>
            </w: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13,971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623</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0"/>
                <w:szCs w:val="10"/>
                <w:b w:val="1"/>
                <w:bCs w:val="1"/>
                <w:color w:val="auto"/>
              </w:rPr>
              <w:t>5.96</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11,046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629</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0"/>
                <w:szCs w:val="10"/>
                <w:color w:val="auto"/>
              </w:rPr>
              <w:t>7.62</w:t>
            </w:r>
          </w:p>
        </w:tc>
        <w:tc>
          <w:tcPr>
            <w:tcW w:w="0" w:type="dxa"/>
            <w:vAlign w:val="bottom"/>
          </w:tcPr>
          <w:p>
            <w:pPr>
              <w:spacing w:after="0"/>
              <w:rPr>
                <w:sz w:val="1"/>
                <w:szCs w:val="1"/>
                <w:color w:val="auto"/>
              </w:rPr>
            </w:pPr>
          </w:p>
        </w:tc>
      </w:tr>
      <w:tr>
        <w:trPr>
          <w:trHeight w:val="135"/>
        </w:trPr>
        <w:tc>
          <w:tcPr>
            <w:tcW w:w="480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0"/>
                <w:szCs w:val="10"/>
                <w:color w:val="auto"/>
              </w:rPr>
              <w:t>Portfolio loans receivable</w:t>
            </w:r>
            <w:r>
              <w:rPr>
                <w:rFonts w:ascii="Arial" w:cs="Arial" w:eastAsia="Arial" w:hAnsi="Arial"/>
                <w:sz w:val="12"/>
                <w:szCs w:val="12"/>
                <w:color w:val="auto"/>
                <w:vertAlign w:val="superscript"/>
              </w:rPr>
              <w:t>(3)(4)</w:t>
            </w: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3,067,904</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197,062</w:t>
            </w:r>
          </w:p>
        </w:tc>
        <w:tc>
          <w:tcPr>
            <w:tcW w:w="1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0"/>
                <w:szCs w:val="10"/>
                <w:b w:val="1"/>
                <w:bCs w:val="1"/>
                <w:color w:val="auto"/>
              </w:rPr>
              <w:t>8.59</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2,719,834</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179,710</w:t>
            </w:r>
          </w:p>
        </w:tc>
        <w:tc>
          <w:tcPr>
            <w:tcW w:w="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0"/>
                <w:szCs w:val="10"/>
                <w:color w:val="auto"/>
              </w:rPr>
              <w:t>8.83</w:t>
            </w:r>
          </w:p>
        </w:tc>
        <w:tc>
          <w:tcPr>
            <w:tcW w:w="0" w:type="dxa"/>
            <w:vAlign w:val="bottom"/>
          </w:tcPr>
          <w:p>
            <w:pPr>
              <w:spacing w:after="0"/>
              <w:rPr>
                <w:sz w:val="1"/>
                <w:szCs w:val="1"/>
                <w:color w:val="auto"/>
              </w:rPr>
            </w:pPr>
          </w:p>
        </w:tc>
      </w:tr>
      <w:tr>
        <w:trPr>
          <w:trHeight w:val="124"/>
        </w:trPr>
        <w:tc>
          <w:tcPr>
            <w:tcW w:w="48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Total interest earning assets</w:t>
            </w: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3,585,117</w:t>
            </w:r>
          </w:p>
        </w:tc>
        <w:tc>
          <w:tcPr>
            <w:tcW w:w="8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210,221</w:t>
            </w: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0"/>
                <w:szCs w:val="10"/>
                <w:b w:val="1"/>
                <w:bCs w:val="1"/>
                <w:color w:val="auto"/>
              </w:rPr>
              <w:t>7.84</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3,166,588</w:t>
            </w:r>
          </w:p>
        </w:tc>
        <w:tc>
          <w:tcPr>
            <w:tcW w:w="1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192,237</w:t>
            </w: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0"/>
                <w:szCs w:val="10"/>
                <w:color w:val="auto"/>
              </w:rPr>
              <w:t>8.12</w:t>
            </w:r>
          </w:p>
        </w:tc>
        <w:tc>
          <w:tcPr>
            <w:tcW w:w="0" w:type="dxa"/>
            <w:vAlign w:val="bottom"/>
          </w:tcPr>
          <w:p>
            <w:pPr>
              <w:spacing w:after="0"/>
              <w:rPr>
                <w:sz w:val="1"/>
                <w:szCs w:val="1"/>
                <w:color w:val="auto"/>
              </w:rPr>
            </w:pPr>
          </w:p>
        </w:tc>
      </w:tr>
      <w:tr>
        <w:trPr>
          <w:trHeight w:val="115"/>
        </w:trPr>
        <w:tc>
          <w:tcPr>
            <w:tcW w:w="4800" w:type="dxa"/>
            <w:vAlign w:val="bottom"/>
            <w:tcBorders>
              <w:bottom w:val="single" w:sz="8" w:color="CCEEFF"/>
            </w:tcBorders>
          </w:tcPr>
          <w:p>
            <w:pPr>
              <w:spacing w:after="0" w:line="115" w:lineRule="exact"/>
              <w:rPr>
                <w:sz w:val="20"/>
                <w:szCs w:val="20"/>
                <w:color w:val="auto"/>
              </w:rPr>
            </w:pPr>
            <w:r>
              <w:rPr>
                <w:rFonts w:ascii="Arial" w:cs="Arial" w:eastAsia="Arial" w:hAnsi="Arial"/>
                <w:sz w:val="10"/>
                <w:szCs w:val="10"/>
                <w:color w:val="auto"/>
              </w:rPr>
              <w:t>Noninterest earning assets</w:t>
            </w:r>
            <w:r>
              <w:rPr>
                <w:rFonts w:ascii="Arial" w:cs="Arial" w:eastAsia="Arial" w:hAnsi="Arial"/>
                <w:sz w:val="12"/>
                <w:szCs w:val="12"/>
                <w:color w:val="auto"/>
                <w:vertAlign w:val="superscript"/>
              </w:rPr>
              <w:t>(2)</w:t>
            </w:r>
          </w:p>
        </w:tc>
        <w:tc>
          <w:tcPr>
            <w:tcW w:w="1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b w:val="1"/>
                <w:bCs w:val="1"/>
                <w:color w:val="auto"/>
              </w:rPr>
              <w:t>141,434</w:t>
            </w: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131,582</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8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Total assets</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3,726,551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3,298,170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80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7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800" w:type="dxa"/>
            <w:vAlign w:val="bottom"/>
            <w:shd w:val="clear" w:color="auto" w:fill="CCEEFF"/>
          </w:tcPr>
          <w:p>
            <w:pPr>
              <w:ind w:left="120"/>
              <w:spacing w:after="0"/>
              <w:rPr>
                <w:sz w:val="20"/>
                <w:szCs w:val="20"/>
                <w:color w:val="auto"/>
              </w:rPr>
            </w:pPr>
            <w:r>
              <w:rPr>
                <w:rFonts w:ascii="Arial" w:cs="Arial" w:eastAsia="Arial" w:hAnsi="Arial"/>
                <w:sz w:val="10"/>
                <w:szCs w:val="10"/>
                <w:b w:val="1"/>
                <w:bCs w:val="1"/>
                <w:color w:val="auto"/>
              </w:rPr>
              <w:t>Liabilities and Stockholders’ Equity</w:t>
            </w: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800" w:type="dxa"/>
            <w:vAlign w:val="bottom"/>
          </w:tcPr>
          <w:p>
            <w:pPr>
              <w:spacing w:after="0"/>
              <w:rPr>
                <w:sz w:val="20"/>
                <w:szCs w:val="20"/>
                <w:color w:val="auto"/>
              </w:rPr>
            </w:pPr>
            <w:r>
              <w:rPr>
                <w:rFonts w:ascii="Arial" w:cs="Arial" w:eastAsia="Arial" w:hAnsi="Arial"/>
                <w:sz w:val="10"/>
                <w:szCs w:val="10"/>
                <w:color w:val="auto"/>
              </w:rPr>
              <w:t>Interest-bearing liabilities:</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Interest-bearing demand accounts</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314,587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1,998</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0"/>
                <w:szCs w:val="10"/>
                <w:b w:val="1"/>
                <w:bCs w:val="1"/>
                <w:color w:val="auto"/>
                <w:w w:val="96"/>
              </w:rPr>
              <w:t>0.85 %</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269,184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1,147</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0"/>
                <w:szCs w:val="10"/>
                <w:color w:val="auto"/>
                <w:w w:val="96"/>
              </w:rPr>
              <w:t>0.57 %</w:t>
            </w:r>
          </w:p>
        </w:tc>
        <w:tc>
          <w:tcPr>
            <w:tcW w:w="0" w:type="dxa"/>
            <w:vAlign w:val="bottom"/>
          </w:tcPr>
          <w:p>
            <w:pPr>
              <w:spacing w:after="0"/>
              <w:rPr>
                <w:sz w:val="1"/>
                <w:szCs w:val="1"/>
                <w:color w:val="auto"/>
              </w:rPr>
            </w:pPr>
          </w:p>
        </w:tc>
      </w:tr>
      <w:tr>
        <w:trPr>
          <w:trHeight w:val="134"/>
        </w:trPr>
        <w:tc>
          <w:tcPr>
            <w:tcW w:w="4800" w:type="dxa"/>
            <w:vAlign w:val="bottom"/>
          </w:tcPr>
          <w:p>
            <w:pPr>
              <w:ind w:left="120"/>
              <w:spacing w:after="0"/>
              <w:rPr>
                <w:sz w:val="20"/>
                <w:szCs w:val="20"/>
                <w:color w:val="auto"/>
              </w:rPr>
            </w:pPr>
            <w:r>
              <w:rPr>
                <w:rFonts w:ascii="Arial" w:cs="Arial" w:eastAsia="Arial" w:hAnsi="Arial"/>
                <w:sz w:val="10"/>
                <w:szCs w:val="10"/>
                <w:color w:val="auto"/>
              </w:rPr>
              <w:t>Savings</w:t>
            </w:r>
          </w:p>
        </w:tc>
        <w:tc>
          <w:tcPr>
            <w:tcW w:w="1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18,022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214</w:t>
            </w:r>
          </w:p>
        </w:tc>
        <w:tc>
          <w:tcPr>
            <w:tcW w:w="100" w:type="dxa"/>
            <w:vAlign w:val="bottom"/>
          </w:tcPr>
          <w:p>
            <w:pPr>
              <w:spacing w:after="0"/>
              <w:rPr>
                <w:sz w:val="11"/>
                <w:szCs w:val="11"/>
                <w:color w:val="auto"/>
              </w:rPr>
            </w:pPr>
          </w:p>
        </w:tc>
        <w:tc>
          <w:tcPr>
            <w:tcW w:w="960" w:type="dxa"/>
            <w:vAlign w:val="bottom"/>
          </w:tcPr>
          <w:p>
            <w:pPr>
              <w:ind w:left="640"/>
              <w:spacing w:after="0"/>
              <w:rPr>
                <w:sz w:val="20"/>
                <w:szCs w:val="20"/>
                <w:color w:val="auto"/>
              </w:rPr>
            </w:pPr>
            <w:r>
              <w:rPr>
                <w:rFonts w:ascii="Arial" w:cs="Arial" w:eastAsia="Arial" w:hAnsi="Arial"/>
                <w:sz w:val="10"/>
                <w:szCs w:val="10"/>
                <w:b w:val="1"/>
                <w:bCs w:val="1"/>
                <w:color w:val="auto"/>
              </w:rPr>
              <w:t>1.59</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13,044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49</w:t>
            </w:r>
          </w:p>
        </w:tc>
        <w:tc>
          <w:tcPr>
            <w:tcW w:w="80" w:type="dxa"/>
            <w:vAlign w:val="bottom"/>
          </w:tcPr>
          <w:p>
            <w:pPr>
              <w:spacing w:after="0"/>
              <w:rPr>
                <w:sz w:val="11"/>
                <w:szCs w:val="11"/>
                <w:color w:val="auto"/>
              </w:rPr>
            </w:pPr>
          </w:p>
        </w:tc>
        <w:tc>
          <w:tcPr>
            <w:tcW w:w="960" w:type="dxa"/>
            <w:vAlign w:val="bottom"/>
          </w:tcPr>
          <w:p>
            <w:pPr>
              <w:ind w:left="640"/>
              <w:spacing w:after="0"/>
              <w:rPr>
                <w:sz w:val="20"/>
                <w:szCs w:val="20"/>
                <w:color w:val="auto"/>
              </w:rPr>
            </w:pPr>
            <w:r>
              <w:rPr>
                <w:rFonts w:ascii="Arial" w:cs="Arial" w:eastAsia="Arial" w:hAnsi="Arial"/>
                <w:sz w:val="10"/>
                <w:szCs w:val="10"/>
                <w:color w:val="auto"/>
              </w:rPr>
              <w:t>0.51</w:t>
            </w:r>
          </w:p>
        </w:tc>
        <w:tc>
          <w:tcPr>
            <w:tcW w:w="0" w:type="dxa"/>
            <w:vAlign w:val="bottom"/>
          </w:tcPr>
          <w:p>
            <w:pPr>
              <w:spacing w:after="0"/>
              <w:rPr>
                <w:sz w:val="1"/>
                <w:szCs w:val="1"/>
                <w:color w:val="auto"/>
              </w:rPr>
            </w:pPr>
          </w:p>
        </w:tc>
      </w:tr>
      <w:tr>
        <w:trPr>
          <w:trHeight w:val="136"/>
        </w:trPr>
        <w:tc>
          <w:tcPr>
            <w:tcW w:w="4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Money market accounts</w:t>
            </w: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1,293,968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31,666</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0"/>
                <w:szCs w:val="10"/>
                <w:b w:val="1"/>
                <w:bCs w:val="1"/>
                <w:color w:val="auto"/>
              </w:rPr>
              <w:t>3.27</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927,044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24,071</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0"/>
                <w:szCs w:val="10"/>
                <w:color w:val="auto"/>
              </w:rPr>
              <w:t>3.47</w:t>
            </w:r>
          </w:p>
        </w:tc>
        <w:tc>
          <w:tcPr>
            <w:tcW w:w="0" w:type="dxa"/>
            <w:vAlign w:val="bottom"/>
          </w:tcPr>
          <w:p>
            <w:pPr>
              <w:spacing w:after="0"/>
              <w:rPr>
                <w:sz w:val="1"/>
                <w:szCs w:val="1"/>
                <w:color w:val="auto"/>
              </w:rPr>
            </w:pPr>
          </w:p>
        </w:tc>
      </w:tr>
      <w:tr>
        <w:trPr>
          <w:trHeight w:val="134"/>
        </w:trPr>
        <w:tc>
          <w:tcPr>
            <w:tcW w:w="4800" w:type="dxa"/>
            <w:vAlign w:val="bottom"/>
          </w:tcPr>
          <w:p>
            <w:pPr>
              <w:ind w:left="120"/>
              <w:spacing w:after="0"/>
              <w:rPr>
                <w:sz w:val="20"/>
                <w:szCs w:val="20"/>
                <w:color w:val="auto"/>
              </w:rPr>
            </w:pPr>
            <w:r>
              <w:rPr>
                <w:rFonts w:ascii="Arial" w:cs="Arial" w:eastAsia="Arial" w:hAnsi="Arial"/>
                <w:sz w:val="10"/>
                <w:szCs w:val="10"/>
                <w:color w:val="auto"/>
              </w:rPr>
              <w:t>Time deposits</w:t>
            </w:r>
          </w:p>
        </w:tc>
        <w:tc>
          <w:tcPr>
            <w:tcW w:w="1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755,275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21,673</w:t>
            </w:r>
          </w:p>
        </w:tc>
        <w:tc>
          <w:tcPr>
            <w:tcW w:w="100" w:type="dxa"/>
            <w:vAlign w:val="bottom"/>
          </w:tcPr>
          <w:p>
            <w:pPr>
              <w:spacing w:after="0"/>
              <w:rPr>
                <w:sz w:val="11"/>
                <w:szCs w:val="11"/>
                <w:color w:val="auto"/>
              </w:rPr>
            </w:pPr>
          </w:p>
        </w:tc>
        <w:tc>
          <w:tcPr>
            <w:tcW w:w="960" w:type="dxa"/>
            <w:vAlign w:val="bottom"/>
          </w:tcPr>
          <w:p>
            <w:pPr>
              <w:ind w:left="640"/>
              <w:spacing w:after="0"/>
              <w:rPr>
                <w:sz w:val="20"/>
                <w:szCs w:val="20"/>
                <w:color w:val="auto"/>
              </w:rPr>
            </w:pPr>
            <w:r>
              <w:rPr>
                <w:rFonts w:ascii="Arial" w:cs="Arial" w:eastAsia="Arial" w:hAnsi="Arial"/>
                <w:sz w:val="10"/>
                <w:szCs w:val="10"/>
                <w:b w:val="1"/>
                <w:bCs w:val="1"/>
                <w:color w:val="auto"/>
              </w:rPr>
              <w:t>3.84</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830,451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Arial" w:cs="Arial" w:eastAsia="Arial" w:hAnsi="Arial"/>
                <w:sz w:val="10"/>
                <w:szCs w:val="10"/>
                <w:color w:val="auto"/>
              </w:rPr>
              <w:t>20,699</w:t>
            </w:r>
          </w:p>
        </w:tc>
        <w:tc>
          <w:tcPr>
            <w:tcW w:w="80" w:type="dxa"/>
            <w:vAlign w:val="bottom"/>
          </w:tcPr>
          <w:p>
            <w:pPr>
              <w:spacing w:after="0"/>
              <w:rPr>
                <w:sz w:val="11"/>
                <w:szCs w:val="11"/>
                <w:color w:val="auto"/>
              </w:rPr>
            </w:pPr>
          </w:p>
        </w:tc>
        <w:tc>
          <w:tcPr>
            <w:tcW w:w="960" w:type="dxa"/>
            <w:vAlign w:val="bottom"/>
          </w:tcPr>
          <w:p>
            <w:pPr>
              <w:ind w:left="640"/>
              <w:spacing w:after="0"/>
              <w:rPr>
                <w:sz w:val="20"/>
                <w:szCs w:val="20"/>
                <w:color w:val="auto"/>
              </w:rPr>
            </w:pPr>
            <w:r>
              <w:rPr>
                <w:rFonts w:ascii="Arial" w:cs="Arial" w:eastAsia="Arial" w:hAnsi="Arial"/>
                <w:sz w:val="10"/>
                <w:szCs w:val="10"/>
                <w:color w:val="auto"/>
              </w:rPr>
              <w:t>3.33</w:t>
            </w:r>
          </w:p>
        </w:tc>
        <w:tc>
          <w:tcPr>
            <w:tcW w:w="0" w:type="dxa"/>
            <w:vAlign w:val="bottom"/>
          </w:tcPr>
          <w:p>
            <w:pPr>
              <w:spacing w:after="0"/>
              <w:rPr>
                <w:sz w:val="1"/>
                <w:szCs w:val="1"/>
                <w:color w:val="auto"/>
              </w:rPr>
            </w:pPr>
          </w:p>
        </w:tc>
      </w:tr>
      <w:tr>
        <w:trPr>
          <w:trHeight w:val="136"/>
        </w:trPr>
        <w:tc>
          <w:tcPr>
            <w:tcW w:w="4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Borrowed funds</w:t>
            </w:r>
          </w:p>
        </w:tc>
        <w:tc>
          <w:tcPr>
            <w:tcW w:w="18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42,959</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1,265</w:t>
            </w:r>
          </w:p>
        </w:tc>
        <w:tc>
          <w:tcPr>
            <w:tcW w:w="100" w:type="dxa"/>
            <w:vAlign w:val="bottom"/>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0"/>
                <w:szCs w:val="10"/>
                <w:b w:val="1"/>
                <w:bCs w:val="1"/>
                <w:color w:val="auto"/>
              </w:rPr>
              <w:t>3.94</w:t>
            </w:r>
          </w:p>
        </w:tc>
        <w:tc>
          <w:tcPr>
            <w:tcW w:w="8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34,062</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558</w:t>
            </w:r>
          </w:p>
        </w:tc>
        <w:tc>
          <w:tcPr>
            <w:tcW w:w="80" w:type="dxa"/>
            <w:vAlign w:val="bottom"/>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0"/>
                <w:szCs w:val="10"/>
                <w:color w:val="auto"/>
              </w:rPr>
              <w:t>2.19</w:t>
            </w:r>
          </w:p>
        </w:tc>
        <w:tc>
          <w:tcPr>
            <w:tcW w:w="0" w:type="dxa"/>
            <w:vAlign w:val="bottom"/>
          </w:tcPr>
          <w:p>
            <w:pPr>
              <w:spacing w:after="0"/>
              <w:rPr>
                <w:sz w:val="1"/>
                <w:szCs w:val="1"/>
                <w:color w:val="auto"/>
              </w:rPr>
            </w:pPr>
          </w:p>
        </w:tc>
      </w:tr>
      <w:tr>
        <w:trPr>
          <w:trHeight w:val="124"/>
        </w:trPr>
        <w:tc>
          <w:tcPr>
            <w:tcW w:w="4800" w:type="dxa"/>
            <w:vAlign w:val="bottom"/>
            <w:tcBorders>
              <w:bottom w:val="single" w:sz="8" w:color="CCEEFF"/>
            </w:tcBorders>
          </w:tcPr>
          <w:p>
            <w:pPr>
              <w:ind w:left="220"/>
              <w:spacing w:after="0" w:line="124" w:lineRule="exact"/>
              <w:rPr>
                <w:sz w:val="20"/>
                <w:szCs w:val="20"/>
                <w:color w:val="auto"/>
              </w:rPr>
            </w:pPr>
            <w:r>
              <w:rPr>
                <w:rFonts w:ascii="Arial" w:cs="Arial" w:eastAsia="Arial" w:hAnsi="Arial"/>
                <w:sz w:val="10"/>
                <w:szCs w:val="10"/>
                <w:color w:val="auto"/>
              </w:rPr>
              <w:t>Total interest-bearing liabilities</w:t>
            </w:r>
            <w:r>
              <w:rPr>
                <w:rFonts w:ascii="Arial" w:cs="Arial" w:eastAsia="Arial" w:hAnsi="Arial"/>
                <w:sz w:val="12"/>
                <w:szCs w:val="12"/>
                <w:color w:val="auto"/>
                <w:vertAlign w:val="superscript"/>
              </w:rPr>
              <w:t>(2)</w:t>
            </w:r>
          </w:p>
        </w:tc>
        <w:tc>
          <w:tcPr>
            <w:tcW w:w="180" w:type="dxa"/>
            <w:vAlign w:val="bottom"/>
            <w:tcBorders>
              <w:bottom w:val="single" w:sz="8" w:color="CCEEFF"/>
            </w:tcBorders>
          </w:tcPr>
          <w:p>
            <w:pPr>
              <w:spacing w:after="0"/>
              <w:rPr>
                <w:sz w:val="10"/>
                <w:szCs w:val="10"/>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0"/>
                <w:szCs w:val="10"/>
                <w:b w:val="1"/>
                <w:bCs w:val="1"/>
                <w:color w:val="auto"/>
              </w:rPr>
              <w:t>2,424,811</w:t>
            </w: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56,816</w:t>
            </w:r>
          </w:p>
        </w:tc>
        <w:tc>
          <w:tcPr>
            <w:tcW w:w="10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ind w:left="640"/>
              <w:spacing w:after="0"/>
              <w:rPr>
                <w:sz w:val="20"/>
                <w:szCs w:val="20"/>
                <w:color w:val="auto"/>
              </w:rPr>
            </w:pPr>
            <w:r>
              <w:rPr>
                <w:rFonts w:ascii="Arial" w:cs="Arial" w:eastAsia="Arial" w:hAnsi="Arial"/>
                <w:sz w:val="10"/>
                <w:szCs w:val="10"/>
                <w:b w:val="1"/>
                <w:bCs w:val="1"/>
                <w:color w:val="auto"/>
              </w:rPr>
              <w:t>3.13</w:t>
            </w: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2,073,785</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46,524</w:t>
            </w:r>
          </w:p>
        </w:tc>
        <w:tc>
          <w:tcPr>
            <w:tcW w:w="8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ind w:left="640"/>
              <w:spacing w:after="0"/>
              <w:rPr>
                <w:sz w:val="20"/>
                <w:szCs w:val="20"/>
                <w:color w:val="auto"/>
              </w:rPr>
            </w:pPr>
            <w:r>
              <w:rPr>
                <w:rFonts w:ascii="Arial" w:cs="Arial" w:eastAsia="Arial" w:hAnsi="Arial"/>
                <w:sz w:val="10"/>
                <w:szCs w:val="10"/>
                <w:color w:val="auto"/>
              </w:rPr>
              <w:t>3.00</w:t>
            </w:r>
          </w:p>
        </w:tc>
        <w:tc>
          <w:tcPr>
            <w:tcW w:w="0" w:type="dxa"/>
            <w:vAlign w:val="bottom"/>
          </w:tcPr>
          <w:p>
            <w:pPr>
              <w:spacing w:after="0"/>
              <w:rPr>
                <w:sz w:val="1"/>
                <w:szCs w:val="1"/>
                <w:color w:val="auto"/>
              </w:rPr>
            </w:pPr>
          </w:p>
        </w:tc>
      </w:tr>
      <w:tr>
        <w:trPr>
          <w:trHeight w:val="115"/>
        </w:trPr>
        <w:tc>
          <w:tcPr>
            <w:tcW w:w="480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Noninterest-bearing liabilities:</w:t>
            </w:r>
          </w:p>
        </w:tc>
        <w:tc>
          <w:tcPr>
            <w:tcW w:w="1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4800" w:type="dxa"/>
            <w:vAlign w:val="bottom"/>
          </w:tcPr>
          <w:p>
            <w:pPr>
              <w:ind w:left="120"/>
              <w:spacing w:after="0"/>
              <w:rPr>
                <w:sz w:val="20"/>
                <w:szCs w:val="20"/>
                <w:color w:val="auto"/>
              </w:rPr>
            </w:pPr>
            <w:r>
              <w:rPr>
                <w:rFonts w:ascii="Arial" w:cs="Arial" w:eastAsia="Arial" w:hAnsi="Arial"/>
                <w:sz w:val="10"/>
                <w:szCs w:val="10"/>
                <w:color w:val="auto"/>
              </w:rPr>
              <w:t>Noninterest-bearing liabilities</w:t>
            </w:r>
          </w:p>
        </w:tc>
        <w:tc>
          <w:tcPr>
            <w:tcW w:w="1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54,081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48,374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800" w:type="dxa"/>
            <w:vAlign w:val="bottom"/>
            <w:shd w:val="clear" w:color="auto" w:fill="CCEEFF"/>
          </w:tcPr>
          <w:p>
            <w:pPr>
              <w:ind w:left="120"/>
              <w:spacing w:after="0" w:line="136" w:lineRule="exact"/>
              <w:rPr>
                <w:sz w:val="20"/>
                <w:szCs w:val="20"/>
                <w:color w:val="auto"/>
              </w:rPr>
            </w:pPr>
            <w:r>
              <w:rPr>
                <w:rFonts w:ascii="Arial" w:cs="Arial" w:eastAsia="Arial" w:hAnsi="Arial"/>
                <w:sz w:val="10"/>
                <w:szCs w:val="10"/>
                <w:color w:val="auto"/>
              </w:rPr>
              <w:t>Noninterest-bearing deposits</w:t>
            </w:r>
            <w:r>
              <w:rPr>
                <w:rFonts w:ascii="Arial" w:cs="Arial" w:eastAsia="Arial" w:hAnsi="Arial"/>
                <w:sz w:val="12"/>
                <w:szCs w:val="12"/>
                <w:color w:val="auto"/>
                <w:vertAlign w:val="superscript"/>
              </w:rPr>
              <w:t>(2)</w:t>
            </w: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831,811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802,991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0"/>
                <w:szCs w:val="10"/>
                <w:color w:val="auto"/>
              </w:rPr>
              <w:t>Stockholders’ equity</w:t>
            </w: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415,848</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373,020</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8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Total liabilities and stockholders’ equity</w:t>
            </w: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3,726,551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3,298,170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80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7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Net interest spread</w:t>
            </w:r>
          </w:p>
        </w:tc>
        <w:tc>
          <w:tcPr>
            <w:tcW w:w="1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0"/>
                <w:szCs w:val="10"/>
                <w:b w:val="1"/>
                <w:bCs w:val="1"/>
                <w:color w:val="auto"/>
                <w:w w:val="96"/>
              </w:rPr>
              <w:t>4.71 %</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0"/>
                <w:szCs w:val="10"/>
                <w:color w:val="auto"/>
                <w:w w:val="96"/>
              </w:rPr>
              <w:t>5.12 %</w:t>
            </w:r>
          </w:p>
        </w:tc>
        <w:tc>
          <w:tcPr>
            <w:tcW w:w="0" w:type="dxa"/>
            <w:vAlign w:val="bottom"/>
          </w:tcPr>
          <w:p>
            <w:pPr>
              <w:spacing w:after="0"/>
              <w:rPr>
                <w:sz w:val="1"/>
                <w:szCs w:val="1"/>
                <w:color w:val="auto"/>
              </w:rPr>
            </w:pPr>
          </w:p>
        </w:tc>
      </w:tr>
      <w:tr>
        <w:trPr>
          <w:trHeight w:val="129"/>
        </w:trPr>
        <w:tc>
          <w:tcPr>
            <w:tcW w:w="4800" w:type="dxa"/>
            <w:vAlign w:val="bottom"/>
            <w:tcBorders>
              <w:bottom w:val="single" w:sz="8" w:color="CCEEFF"/>
            </w:tcBorders>
          </w:tcPr>
          <w:p>
            <w:pPr>
              <w:spacing w:after="0" w:line="113" w:lineRule="exact"/>
              <w:rPr>
                <w:sz w:val="20"/>
                <w:szCs w:val="20"/>
                <w:color w:val="auto"/>
              </w:rPr>
            </w:pPr>
            <w:r>
              <w:rPr>
                <w:rFonts w:ascii="Arial" w:cs="Arial" w:eastAsia="Arial" w:hAnsi="Arial"/>
                <w:sz w:val="10"/>
                <w:szCs w:val="10"/>
                <w:color w:val="auto"/>
              </w:rPr>
              <w:t>Net interest income</w:t>
            </w:r>
          </w:p>
        </w:tc>
        <w:tc>
          <w:tcPr>
            <w:tcW w:w="180" w:type="dxa"/>
            <w:vAlign w:val="bottom"/>
            <w:tcBorders>
              <w:bottom w:val="single" w:sz="8" w:color="CCEEFF"/>
            </w:tcBorders>
          </w:tcPr>
          <w:p>
            <w:pPr>
              <w:spacing w:after="0"/>
              <w:rPr>
                <w:sz w:val="11"/>
                <w:szCs w:val="11"/>
                <w:color w:val="auto"/>
              </w:rPr>
            </w:pPr>
          </w:p>
        </w:tc>
        <w:tc>
          <w:tcPr>
            <w:tcW w:w="10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32"/>
              <w:spacing w:after="0" w:line="111" w:lineRule="exact"/>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tcPr>
          <w:p>
            <w:pPr>
              <w:jc w:val="right"/>
              <w:spacing w:after="0" w:line="111" w:lineRule="exact"/>
              <w:rPr>
                <w:sz w:val="20"/>
                <w:szCs w:val="20"/>
                <w:color w:val="auto"/>
              </w:rPr>
            </w:pPr>
            <w:r>
              <w:rPr>
                <w:rFonts w:ascii="Arial" w:cs="Arial" w:eastAsia="Arial" w:hAnsi="Arial"/>
                <w:sz w:val="10"/>
                <w:szCs w:val="10"/>
                <w:b w:val="1"/>
                <w:bCs w:val="1"/>
                <w:color w:val="auto"/>
              </w:rPr>
              <w:t>153,405</w:t>
            </w:r>
          </w:p>
        </w:tc>
        <w:tc>
          <w:tcPr>
            <w:tcW w:w="10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12"/>
              <w:spacing w:after="0" w:line="107" w:lineRule="exact"/>
              <w:rPr>
                <w:sz w:val="20"/>
                <w:szCs w:val="20"/>
                <w:color w:val="auto"/>
              </w:rPr>
            </w:pPr>
            <w:r>
              <w:rPr>
                <w:rFonts w:ascii="Arial" w:cs="Arial" w:eastAsia="Arial" w:hAnsi="Arial"/>
                <w:sz w:val="10"/>
                <w:szCs w:val="10"/>
                <w:color w:val="auto"/>
              </w:rPr>
              <w:t>145,713</w:t>
            </w:r>
          </w:p>
        </w:tc>
        <w:tc>
          <w:tcPr>
            <w:tcW w:w="80" w:type="dxa"/>
            <w:vAlign w:val="bottom"/>
            <w:tcBorders>
              <w:bottom w:val="single" w:sz="8" w:color="CCEEFF"/>
            </w:tcBorders>
          </w:tcPr>
          <w:p>
            <w:pPr>
              <w:spacing w:after="0"/>
              <w:rPr>
                <w:sz w:val="11"/>
                <w:szCs w:val="11"/>
                <w:color w:val="auto"/>
              </w:rPr>
            </w:pPr>
          </w:p>
        </w:tc>
        <w:tc>
          <w:tcPr>
            <w:tcW w:w="9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00" w:type="dxa"/>
            <w:vAlign w:val="bottom"/>
            <w:tcBorders>
              <w:bottom w:val="single" w:sz="8" w:color="CCEEFF"/>
            </w:tcBorders>
            <w:shd w:val="clear" w:color="auto" w:fill="CCEEFF"/>
          </w:tcPr>
          <w:p>
            <w:pPr>
              <w:spacing w:after="0" w:line="117" w:lineRule="exact"/>
              <w:rPr>
                <w:sz w:val="20"/>
                <w:szCs w:val="20"/>
                <w:color w:val="auto"/>
              </w:rPr>
            </w:pPr>
            <w:r>
              <w:rPr>
                <w:rFonts w:ascii="Arial" w:cs="Arial" w:eastAsia="Arial" w:hAnsi="Arial"/>
                <w:sz w:val="10"/>
                <w:szCs w:val="10"/>
                <w:color w:val="auto"/>
              </w:rPr>
              <w:t>Net interest margin</w:t>
            </w:r>
            <w:r>
              <w:rPr>
                <w:rFonts w:ascii="Arial" w:cs="Arial" w:eastAsia="Arial" w:hAnsi="Arial"/>
                <w:sz w:val="12"/>
                <w:szCs w:val="12"/>
                <w:color w:val="auto"/>
                <w:vertAlign w:val="superscript"/>
              </w:rPr>
              <w:t>(5)</w:t>
            </w:r>
          </w:p>
        </w:tc>
        <w:tc>
          <w:tcPr>
            <w:tcW w:w="18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0"/>
                <w:szCs w:val="10"/>
                <w:b w:val="1"/>
                <w:bCs w:val="1"/>
                <w:color w:val="auto"/>
                <w:w w:val="96"/>
              </w:rPr>
              <w:t>5.72 %</w:t>
            </w: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ind w:left="640"/>
              <w:spacing w:after="0" w:line="111" w:lineRule="exact"/>
              <w:rPr>
                <w:sz w:val="20"/>
                <w:szCs w:val="20"/>
                <w:color w:val="auto"/>
              </w:rPr>
            </w:pPr>
            <w:r>
              <w:rPr>
                <w:rFonts w:ascii="Arial" w:cs="Arial" w:eastAsia="Arial" w:hAnsi="Arial"/>
                <w:sz w:val="10"/>
                <w:szCs w:val="10"/>
                <w:color w:val="auto"/>
                <w:w w:val="96"/>
              </w:rPr>
              <w:t>6.15 %</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w:t>
      </w:r>
    </w:p>
    <w:p>
      <w:pPr>
        <w:spacing w:after="0" w:line="23" w:lineRule="exact"/>
        <w:rPr>
          <w:sz w:val="20"/>
          <w:szCs w:val="20"/>
          <w:color w:val="auto"/>
        </w:rPr>
      </w:pPr>
    </w:p>
    <w:p>
      <w:pPr>
        <w:ind w:left="208" w:hanging="208"/>
        <w:spacing w:after="0"/>
        <w:tabs>
          <w:tab w:leader="none" w:pos="208" w:val="left"/>
        </w:tabs>
        <w:numPr>
          <w:ilvl w:val="0"/>
          <w:numId w:val="29"/>
        </w:numPr>
        <w:rPr>
          <w:rFonts w:ascii="Arial" w:cs="Arial" w:eastAsia="Arial" w:hAnsi="Arial"/>
          <w:sz w:val="11"/>
          <w:szCs w:val="11"/>
          <w:color w:val="auto"/>
          <w:vertAlign w:val="superscript"/>
        </w:rPr>
      </w:pPr>
      <w:r>
        <w:rPr>
          <w:rFonts w:ascii="Arial" w:cs="Arial" w:eastAsia="Arial" w:hAnsi="Arial"/>
          <w:sz w:val="8"/>
          <w:szCs w:val="8"/>
          <w:color w:val="auto"/>
        </w:rPr>
        <w:t>Annualized.</w:t>
      </w:r>
    </w:p>
    <w:p>
      <w:pPr>
        <w:ind w:left="208" w:hanging="208"/>
        <w:spacing w:after="0" w:line="187" w:lineRule="auto"/>
        <w:tabs>
          <w:tab w:leader="none" w:pos="208" w:val="left"/>
        </w:tabs>
        <w:numPr>
          <w:ilvl w:val="0"/>
          <w:numId w:val="29"/>
        </w:numPr>
        <w:rPr>
          <w:rFonts w:ascii="Arial" w:cs="Arial" w:eastAsia="Arial" w:hAnsi="Arial"/>
          <w:sz w:val="11"/>
          <w:szCs w:val="11"/>
          <w:color w:val="auto"/>
          <w:vertAlign w:val="superscript"/>
        </w:rPr>
      </w:pPr>
      <w:r>
        <w:rPr>
          <w:rFonts w:ascii="Arial" w:cs="Arial" w:eastAsia="Arial" w:hAnsi="Arial"/>
          <w:sz w:val="8"/>
          <w:szCs w:val="8"/>
          <w:color w:val="auto"/>
        </w:rPr>
        <w:t>Balances include held for sale transactions in connection with sale of Chicago branch.</w:t>
      </w:r>
    </w:p>
    <w:p>
      <w:pPr>
        <w:ind w:left="208" w:hanging="208"/>
        <w:spacing w:after="0" w:line="187" w:lineRule="auto"/>
        <w:tabs>
          <w:tab w:leader="none" w:pos="208" w:val="left"/>
        </w:tabs>
        <w:numPr>
          <w:ilvl w:val="0"/>
          <w:numId w:val="29"/>
        </w:numPr>
        <w:rPr>
          <w:rFonts w:ascii="Arial" w:cs="Arial" w:eastAsia="Arial" w:hAnsi="Arial"/>
          <w:sz w:val="11"/>
          <w:szCs w:val="11"/>
          <w:color w:val="auto"/>
          <w:vertAlign w:val="superscript"/>
        </w:rPr>
      </w:pPr>
      <w:r>
        <w:rPr>
          <w:rFonts w:ascii="Arial" w:cs="Arial" w:eastAsia="Arial" w:hAnsi="Arial"/>
          <w:sz w:val="8"/>
          <w:szCs w:val="8"/>
          <w:color w:val="auto"/>
        </w:rPr>
        <w:t>Includes nonaccrual loans.</w:t>
      </w:r>
    </w:p>
    <w:p>
      <w:pPr>
        <w:ind w:left="208" w:hanging="208"/>
        <w:spacing w:after="0" w:line="187" w:lineRule="auto"/>
        <w:tabs>
          <w:tab w:leader="none" w:pos="208" w:val="left"/>
        </w:tabs>
        <w:numPr>
          <w:ilvl w:val="0"/>
          <w:numId w:val="29"/>
        </w:numPr>
        <w:rPr>
          <w:rFonts w:ascii="Arial" w:cs="Arial" w:eastAsia="Arial" w:hAnsi="Arial"/>
          <w:sz w:val="11"/>
          <w:szCs w:val="11"/>
          <w:color w:val="auto"/>
          <w:vertAlign w:val="superscript"/>
        </w:rPr>
      </w:pPr>
      <w:r>
        <w:rPr>
          <w:rFonts w:ascii="Arial" w:cs="Arial" w:eastAsia="Arial" w:hAnsi="Arial"/>
          <w:sz w:val="8"/>
          <w:szCs w:val="8"/>
          <w:color w:val="auto"/>
        </w:rPr>
        <w:t>For the nine months ended September 30, 2026 and 2025, collectively. Core Loan Yield was 6.84% and 7.01%, respectively.</w:t>
      </w:r>
    </w:p>
    <w:p>
      <w:pPr>
        <w:ind w:left="208" w:hanging="208"/>
        <w:spacing w:after="0" w:line="193" w:lineRule="auto"/>
        <w:tabs>
          <w:tab w:leader="none" w:pos="208" w:val="left"/>
        </w:tabs>
        <w:numPr>
          <w:ilvl w:val="0"/>
          <w:numId w:val="29"/>
        </w:numPr>
        <w:rPr>
          <w:rFonts w:ascii="Arial" w:cs="Arial" w:eastAsia="Arial" w:hAnsi="Arial"/>
          <w:sz w:val="11"/>
          <w:szCs w:val="11"/>
          <w:color w:val="auto"/>
          <w:vertAlign w:val="superscript"/>
        </w:rPr>
      </w:pPr>
      <w:r>
        <w:rPr>
          <w:rFonts w:ascii="Arial" w:cs="Arial" w:eastAsia="Arial" w:hAnsi="Arial"/>
          <w:sz w:val="8"/>
          <w:szCs w:val="8"/>
          <w:color w:val="auto"/>
        </w:rPr>
        <w:t>For the nine months ended September 30, 2026 and 2025, collectively. Core Net Interest Margin was 4.12% and 4.48%, respectively.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308"/>
          </w:cols>
          <w:pgMar w:left="292" w:top="673" w:right="299" w:bottom="1440" w:gutter="0" w:footer="0" w:header="0"/>
        </w:sectPr>
      </w:pPr>
    </w:p>
    <w:bookmarkStart w:id="20" w:name="page21"/>
    <w:bookmarkEnd w:id="20"/>
    <w:p>
      <w:pPr>
        <w:spacing w:after="0" w:line="294" w:lineRule="auto"/>
        <w:rPr>
          <w:sz w:val="20"/>
          <w:szCs w:val="20"/>
          <w:color w:val="auto"/>
        </w:rPr>
      </w:pPr>
      <w:r>
        <w:rPr>
          <w:rFonts w:ascii="Arial" w:cs="Arial" w:eastAsia="Arial" w:hAnsi="Arial"/>
          <w:sz w:val="12"/>
          <w:szCs w:val="12"/>
          <w:color w:val="auto"/>
        </w:rPr>
        <w:t>The Company’s reportable segments represent business units with discrete financial information whose results are regularly reviewed by management. The four segments include Commercial Banking, OpenSky</w:t>
      </w:r>
      <w:r>
        <w:rPr>
          <w:rFonts w:ascii="Arial" w:cs="Arial" w:eastAsia="Arial" w:hAnsi="Arial"/>
          <w:sz w:val="15"/>
          <w:szCs w:val="15"/>
          <w:color w:val="auto"/>
          <w:vertAlign w:val="superscript"/>
        </w:rPr>
        <w:t>™</w:t>
      </w:r>
      <w:r>
        <w:rPr>
          <w:rFonts w:ascii="Arial" w:cs="Arial" w:eastAsia="Arial" w:hAnsi="Arial"/>
          <w:sz w:val="12"/>
          <w:szCs w:val="12"/>
          <w:color w:val="auto"/>
        </w:rPr>
        <w:t xml:space="preserve"> (the Company’s credit card division), Windsor Advantage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and Capital Bank Home Loans (the Company’s mortgage loan division).</w:t>
      </w:r>
    </w:p>
    <w:p>
      <w:pPr>
        <w:spacing w:after="0" w:line="70"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The following schedules reported internally for performance assessment by the chief operating decision maker presents financial information for each reportable segment for the periods indicated. Total assets are presented as of September 30, 2026, June 30, 2026, and September 30, 2025.</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Segments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2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5"/>
              </w:rPr>
              <w:t>For the three months ended September 30, 2026</w:t>
            </w: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7"/>
                <w:szCs w:val="7"/>
                <w:color w:val="auto"/>
              </w:rPr>
              <w:t>(in thousands)</w:t>
            </w: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97"/>
              </w:rPr>
              <w:t>Commercial Bank</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OpenSky</w:t>
            </w:r>
            <w:r>
              <w:rPr>
                <w:rFonts w:ascii="Arial" w:cs="Arial" w:eastAsia="Arial" w:hAnsi="Arial"/>
                <w:sz w:val="12"/>
                <w:szCs w:val="12"/>
                <w:b w:val="1"/>
                <w:bCs w:val="1"/>
                <w:color w:val="auto"/>
                <w:vertAlign w:val="superscript"/>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94"/>
              </w:rPr>
              <w:t>Windsor Advantage</w:t>
            </w:r>
            <w:r>
              <w:rPr>
                <w:rFonts w:ascii="Arial" w:cs="Arial" w:eastAsia="Arial" w:hAnsi="Arial"/>
                <w:sz w:val="12"/>
                <w:szCs w:val="12"/>
                <w:b w:val="1"/>
                <w:bCs w:val="1"/>
                <w:color w:val="auto"/>
                <w:w w:val="94"/>
                <w:vertAlign w:val="superscript"/>
              </w:rPr>
              <w:t>™</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CBHL</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Consolidated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55,580</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16,517</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jc w:val="right"/>
              <w:ind w:right="132"/>
              <w:spacing w:after="0"/>
              <w:rPr>
                <w:sz w:val="20"/>
                <w:szCs w:val="20"/>
                <w:color w:val="auto"/>
              </w:rPr>
            </w:pPr>
            <w:r>
              <w:rPr>
                <w:rFonts w:ascii="Arial" w:cs="Arial" w:eastAsia="Arial" w:hAnsi="Arial"/>
                <w:sz w:val="10"/>
                <w:szCs w:val="10"/>
                <w:b w:val="1"/>
                <w:bCs w:val="1"/>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195</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72,292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CCEEFF"/>
            </w:tcBorders>
          </w:tcPr>
          <w:p>
            <w:pPr>
              <w:spacing w:after="0"/>
              <w:rPr>
                <w:sz w:val="11"/>
                <w:szCs w:val="11"/>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Interest expense</w:t>
            </w: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19,128</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86</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19,214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shd w:val="clear" w:color="auto" w:fill="CCEEFF"/>
          </w:tcPr>
          <w:p>
            <w:pPr>
              <w:spacing w:after="0"/>
              <w:rPr>
                <w:sz w:val="10"/>
                <w:szCs w:val="10"/>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b w:val="1"/>
                <w:bCs w:val="1"/>
                <w:color w:val="auto"/>
              </w:rPr>
              <w:t>Net interest income</w:t>
            </w: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36,452</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16,517</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109</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53,078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spacing w:after="0"/>
              <w:rPr>
                <w:sz w:val="20"/>
                <w:szCs w:val="20"/>
                <w:color w:val="auto"/>
              </w:rPr>
            </w:pPr>
            <w:r>
              <w:rPr>
                <w:rFonts w:ascii="Arial" w:cs="Arial" w:eastAsia="Arial" w:hAnsi="Arial"/>
                <w:sz w:val="10"/>
                <w:szCs w:val="10"/>
                <w:color w:val="auto"/>
              </w:rPr>
              <w:t>Provision for credit losses</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833</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4,070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4,903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Release of credit losses on unfunded commitments</w:t>
            </w:r>
          </w:p>
        </w:tc>
        <w:tc>
          <w:tcPr>
            <w:tcW w:w="1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(54)</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w:t>
            </w:r>
          </w:p>
        </w:tc>
        <w:tc>
          <w:tcPr>
            <w:tcW w:w="6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b w:val="1"/>
                <w:bCs w:val="1"/>
                <w:color w:val="auto"/>
              </w:rPr>
              <w:t>Net interest income after provision</w:t>
            </w:r>
          </w:p>
        </w:tc>
        <w:tc>
          <w:tcPr>
            <w:tcW w:w="10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35,673</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12,447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0"/>
                <w:szCs w:val="10"/>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109</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48,229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Noninterest income</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Service charges on deposits</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418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418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Credit card fees</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4,520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4,520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Mortgage banking revenue</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490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1,359</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1,849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Government lending revenue</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1,474</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1,474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gridSpan w:val="2"/>
          </w:tcPr>
          <w:p>
            <w:pPr>
              <w:ind w:left="80"/>
              <w:spacing w:after="0" w:line="135" w:lineRule="exact"/>
              <w:rPr>
                <w:sz w:val="20"/>
                <w:szCs w:val="20"/>
                <w:color w:val="auto"/>
              </w:rPr>
            </w:pPr>
            <w:r>
              <w:rPr>
                <w:rFonts w:ascii="Arial" w:cs="Arial" w:eastAsia="Arial" w:hAnsi="Arial"/>
                <w:sz w:val="10"/>
                <w:szCs w:val="10"/>
                <w:color w:val="auto"/>
              </w:rPr>
              <w:t>Government loan servicing revenue</w:t>
            </w:r>
            <w:r>
              <w:rPr>
                <w:rFonts w:ascii="Arial" w:cs="Arial" w:eastAsia="Arial" w:hAnsi="Arial"/>
                <w:sz w:val="12"/>
                <w:szCs w:val="12"/>
                <w:color w:val="auto"/>
                <w:vertAlign w:val="superscript"/>
              </w:rPr>
              <w:t>(1)</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(1,665)</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b w:val="1"/>
                <w:bCs w:val="1"/>
                <w:color w:val="auto"/>
              </w:rPr>
              <w:t>6,738</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5,073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Loan servicing rights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523</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523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CCEEFF"/>
            </w:tcBorders>
          </w:tcPr>
          <w:p>
            <w:pPr>
              <w:spacing w:after="0"/>
              <w:rPr>
                <w:sz w:val="11"/>
                <w:szCs w:val="11"/>
                <w:color w:val="auto"/>
              </w:rPr>
            </w:pPr>
          </w:p>
        </w:tc>
        <w:tc>
          <w:tcPr>
            <w:tcW w:w="4200" w:type="dxa"/>
            <w:vAlign w:val="bottom"/>
            <w:tcBorders>
              <w:bottom w:val="single" w:sz="8" w:color="CCEEFF"/>
            </w:tcBorders>
            <w:gridSpan w:val="2"/>
          </w:tcPr>
          <w:p>
            <w:pPr>
              <w:ind w:left="80"/>
              <w:spacing w:after="0"/>
              <w:rPr>
                <w:sz w:val="20"/>
                <w:szCs w:val="20"/>
                <w:color w:val="auto"/>
              </w:rPr>
            </w:pPr>
            <w:r>
              <w:rPr>
                <w:rFonts w:ascii="Arial" w:cs="Arial" w:eastAsia="Arial" w:hAnsi="Arial"/>
                <w:sz w:val="10"/>
                <w:szCs w:val="10"/>
                <w:color w:val="auto"/>
              </w:rPr>
              <w:t>Other income</w:t>
            </w: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877</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31</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5</w:t>
            </w:r>
          </w:p>
        </w:tc>
        <w:tc>
          <w:tcPr>
            <w:tcW w:w="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269</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1,182</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shd w:val="clear" w:color="auto" w:fill="CCEEFF"/>
          </w:tcPr>
          <w:p>
            <w:pPr>
              <w:spacing w:after="0"/>
              <w:rPr>
                <w:sz w:val="10"/>
                <w:szCs w:val="10"/>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Total noninterest income</w:t>
            </w:r>
          </w:p>
        </w:tc>
        <w:tc>
          <w:tcPr>
            <w:tcW w:w="10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2,117</w:t>
            </w:r>
          </w:p>
        </w:tc>
        <w:tc>
          <w:tcPr>
            <w:tcW w:w="6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4,551</w:t>
            </w:r>
          </w:p>
        </w:tc>
        <w:tc>
          <w:tcPr>
            <w:tcW w:w="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6,743</w:t>
            </w:r>
          </w:p>
        </w:tc>
        <w:tc>
          <w:tcPr>
            <w:tcW w:w="6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1,628</w:t>
            </w:r>
          </w:p>
        </w:tc>
        <w:tc>
          <w:tcPr>
            <w:tcW w:w="6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15,039</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2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Noninterest expenses</w:t>
            </w: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Salaries and employee benefits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11,879</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4,319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3,095</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1,823</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21,116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Occupancy and equipment</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2,441</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1,064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b w:val="1"/>
                <w:bCs w:val="1"/>
                <w:color w:val="auto"/>
              </w:rPr>
              <w:t>436</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203</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4,144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Professional fees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2,469</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1,736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287</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427</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4,919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Data processing</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442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7,152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b w:val="1"/>
                <w:bCs w:val="1"/>
                <w:color w:val="auto"/>
              </w:rPr>
              <w:t>62</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52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7,708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Advertising</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1,183</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143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123</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117</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1,566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Loan processing</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266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b w:val="1"/>
                <w:bCs w:val="1"/>
                <w:color w:val="auto"/>
              </w:rPr>
              <w:t>1</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271</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543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Merger-related expenses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1,577</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1,577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Operational and other card fraud related losses</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73</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812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b w:val="1"/>
                <w:bCs w:val="1"/>
                <w:color w:val="auto"/>
              </w:rPr>
              <w:t>23</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22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930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Regulatory assessment expenses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563</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232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70</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65</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930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CCEEFF"/>
            </w:tcBorders>
          </w:tcPr>
          <w:p>
            <w:pPr>
              <w:spacing w:after="0"/>
              <w:rPr>
                <w:sz w:val="11"/>
                <w:szCs w:val="11"/>
                <w:color w:val="auto"/>
              </w:rPr>
            </w:pPr>
          </w:p>
        </w:tc>
        <w:tc>
          <w:tcPr>
            <w:tcW w:w="4200" w:type="dxa"/>
            <w:vAlign w:val="bottom"/>
            <w:tcBorders>
              <w:bottom w:val="single" w:sz="8" w:color="CCEEFF"/>
            </w:tcBorders>
            <w:gridSpan w:val="2"/>
          </w:tcPr>
          <w:p>
            <w:pPr>
              <w:ind w:left="80"/>
              <w:spacing w:after="0"/>
              <w:rPr>
                <w:sz w:val="20"/>
                <w:szCs w:val="20"/>
                <w:color w:val="auto"/>
              </w:rPr>
            </w:pPr>
            <w:r>
              <w:rPr>
                <w:rFonts w:ascii="Arial" w:cs="Arial" w:eastAsia="Arial" w:hAnsi="Arial"/>
                <w:sz w:val="10"/>
                <w:szCs w:val="10"/>
                <w:color w:val="auto"/>
              </w:rPr>
              <w:t>Other operating</w:t>
            </w: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1,332</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262</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563</w:t>
            </w:r>
          </w:p>
        </w:tc>
        <w:tc>
          <w:tcPr>
            <w:tcW w:w="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132</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2,289</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Total noninterest expenses</w:t>
            </w:r>
          </w:p>
        </w:tc>
        <w:tc>
          <w:tcPr>
            <w:tcW w:w="10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22,225</w:t>
            </w:r>
          </w:p>
        </w:tc>
        <w:tc>
          <w:tcPr>
            <w:tcW w:w="6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15,725</w:t>
            </w:r>
          </w:p>
        </w:tc>
        <w:tc>
          <w:tcPr>
            <w:tcW w:w="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4,660</w:t>
            </w:r>
          </w:p>
        </w:tc>
        <w:tc>
          <w:tcPr>
            <w:tcW w:w="6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3,112</w:t>
            </w:r>
          </w:p>
        </w:tc>
        <w:tc>
          <w:tcPr>
            <w:tcW w:w="6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45,722</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CCEEFF"/>
            </w:tcBorders>
          </w:tcPr>
          <w:p>
            <w:pPr>
              <w:spacing w:after="0"/>
              <w:rPr>
                <w:sz w:val="12"/>
                <w:szCs w:val="12"/>
                <w:color w:val="auto"/>
              </w:rPr>
            </w:pPr>
          </w:p>
        </w:tc>
        <w:tc>
          <w:tcPr>
            <w:tcW w:w="4200" w:type="dxa"/>
            <w:vAlign w:val="bottom"/>
            <w:tcBorders>
              <w:bottom w:val="single" w:sz="8" w:color="CCEEFF"/>
            </w:tcBorders>
            <w:gridSpan w:val="2"/>
          </w:tcPr>
          <w:p>
            <w:pPr>
              <w:ind w:left="80"/>
              <w:spacing w:after="0"/>
              <w:rPr>
                <w:sz w:val="20"/>
                <w:szCs w:val="20"/>
                <w:color w:val="auto"/>
              </w:rPr>
            </w:pPr>
            <w:r>
              <w:rPr>
                <w:rFonts w:ascii="Arial" w:cs="Arial" w:eastAsia="Arial" w:hAnsi="Arial"/>
                <w:sz w:val="10"/>
                <w:szCs w:val="10"/>
                <w:b w:val="1"/>
                <w:bCs w:val="1"/>
                <w:color w:val="auto"/>
              </w:rPr>
              <w:t>Net income (loss) before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15,565</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1,273</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2,083</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(1,375)</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17,546</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220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gridSpan w:val="2"/>
          </w:tcPr>
          <w:p>
            <w:pPr>
              <w:spacing w:after="0"/>
              <w:rPr>
                <w:sz w:val="20"/>
                <w:szCs w:val="20"/>
                <w:color w:val="auto"/>
              </w:rPr>
            </w:pPr>
            <w:r>
              <w:rPr>
                <w:rFonts w:ascii="Arial" w:cs="Arial" w:eastAsia="Arial" w:hAnsi="Arial"/>
                <w:sz w:val="10"/>
                <w:szCs w:val="10"/>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3,607,589</w:t>
            </w:r>
          </w:p>
        </w:tc>
        <w:tc>
          <w:tcPr>
            <w:tcW w:w="60" w:type="dxa"/>
            <w:vAlign w:val="bottom"/>
          </w:tcPr>
          <w:p>
            <w:pPr>
              <w:spacing w:after="0"/>
              <w:rPr>
                <w:sz w:val="11"/>
                <w:szCs w:val="11"/>
                <w:color w:val="auto"/>
              </w:rPr>
            </w:pPr>
          </w:p>
        </w:tc>
        <w:tc>
          <w:tcPr>
            <w:tcW w:w="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144,462</w:t>
            </w:r>
          </w:p>
        </w:tc>
        <w:tc>
          <w:tcPr>
            <w:tcW w:w="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28,508</w:t>
            </w:r>
          </w:p>
        </w:tc>
        <w:tc>
          <w:tcPr>
            <w:tcW w:w="60" w:type="dxa"/>
            <w:vAlign w:val="bottom"/>
          </w:tcPr>
          <w:p>
            <w:pPr>
              <w:spacing w:after="0"/>
              <w:rPr>
                <w:sz w:val="11"/>
                <w:szCs w:val="11"/>
                <w:color w:val="auto"/>
              </w:rPr>
            </w:pPr>
          </w:p>
        </w:tc>
        <w:tc>
          <w:tcPr>
            <w:tcW w:w="2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21,994</w:t>
            </w:r>
          </w:p>
        </w:tc>
        <w:tc>
          <w:tcPr>
            <w:tcW w:w="60" w:type="dxa"/>
            <w:vAlign w:val="bottom"/>
          </w:tcPr>
          <w:p>
            <w:pPr>
              <w:spacing w:after="0"/>
              <w:rPr>
                <w:sz w:val="11"/>
                <w:szCs w:val="11"/>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3,802,553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20" w:type="dxa"/>
            <w:vAlign w:val="bottom"/>
            <w:gridSpan w:val="2"/>
            <w:vMerge w:val="restart"/>
          </w:tcPr>
          <w:p>
            <w:pPr>
              <w:spacing w:after="0"/>
              <w:rPr>
                <w:sz w:val="20"/>
                <w:szCs w:val="20"/>
                <w:color w:val="auto"/>
              </w:rPr>
            </w:pPr>
            <w:r>
              <w:rPr>
                <w:rFonts w:ascii="Arial" w:cs="Arial" w:eastAsia="Arial" w:hAnsi="Arial"/>
                <w:sz w:val="12"/>
                <w:szCs w:val="12"/>
                <w:color w:val="auto"/>
              </w:rPr>
              <w:t>_______________</w:t>
            </w: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220" w:type="dxa"/>
            <w:vAlign w:val="bottom"/>
            <w:gridSpan w:val="2"/>
            <w:vMerge w:val="continue"/>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220" w:hanging="212"/>
        <w:spacing w:after="0"/>
        <w:tabs>
          <w:tab w:leader="none" w:pos="220" w:val="left"/>
        </w:tabs>
        <w:numPr>
          <w:ilvl w:val="0"/>
          <w:numId w:val="30"/>
        </w:numPr>
        <w:rPr>
          <w:rFonts w:ascii="Arial" w:cs="Arial" w:eastAsia="Arial" w:hAnsi="Arial"/>
          <w:sz w:val="11"/>
          <w:szCs w:val="11"/>
          <w:color w:val="auto"/>
          <w:vertAlign w:val="superscript"/>
        </w:rPr>
      </w:pPr>
      <w:r>
        <w:rPr>
          <w:rFonts w:ascii="Arial" w:cs="Arial" w:eastAsia="Arial" w:hAnsi="Arial"/>
          <w:sz w:val="8"/>
          <w:szCs w:val="8"/>
          <w:color w:val="auto"/>
        </w:rPr>
        <w:t>Gross government loan servicing revenue totaled $6.7 million, including $1.7 million of servicing fees earned from the Commercial Bank by Windsor</w:t>
      </w:r>
      <w:r>
        <w:rPr>
          <w:rFonts w:ascii="Arial" w:cs="Arial" w:eastAsia="Arial" w:hAnsi="Arial"/>
          <w:sz w:val="10"/>
          <w:szCs w:val="10"/>
          <w:color w:val="auto"/>
          <w:vertAlign w:val="superscript"/>
        </w:rPr>
        <w:t>TM</w:t>
      </w:r>
      <w:r>
        <w:rPr>
          <w:rFonts w:ascii="Arial" w:cs="Arial" w:eastAsia="Arial" w:hAnsi="Arial"/>
          <w:sz w:val="8"/>
          <w:szCs w:val="8"/>
          <w:color w:val="auto"/>
        </w:rPr>
        <w:t>, for the three months ended September 30, 2026.</w:t>
      </w:r>
    </w:p>
    <w:p>
      <w:pPr>
        <w:spacing w:after="0" w:line="346"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100"/>
          </w:cols>
          <w:pgMar w:left="500" w:top="640" w:right="299" w:bottom="1440" w:gutter="0" w:footer="0" w:header="0"/>
        </w:sectPr>
      </w:pPr>
    </w:p>
    <w:bookmarkStart w:id="21" w:name="page22"/>
    <w:bookmarkEnd w:id="21"/>
    <w:p>
      <w:pPr>
        <w:ind w:left="20"/>
        <w:spacing w:after="0"/>
        <w:rPr>
          <w:sz w:val="20"/>
          <w:szCs w:val="20"/>
          <w:color w:val="auto"/>
        </w:rPr>
      </w:pPr>
      <w:r>
        <w:rPr>
          <w:rFonts w:ascii="Arial" w:cs="Arial" w:eastAsia="Arial" w:hAnsi="Arial"/>
          <w:sz w:val="11"/>
          <w:szCs w:val="11"/>
          <w:b w:val="1"/>
          <w:bCs w:val="1"/>
          <w:color w:val="auto"/>
        </w:rPr>
        <w:t>Segments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4"/>
              </w:rPr>
              <w:t>For the three months ended June 30, 2026</w:t>
            </w:r>
          </w:p>
        </w:tc>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7"/>
                <w:szCs w:val="7"/>
                <w:color w:val="auto"/>
              </w:rPr>
              <w:t>(in thousands)</w:t>
            </w: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97"/>
              </w:rPr>
              <w:t>Commercial Bank</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OpenSky</w:t>
            </w:r>
            <w:r>
              <w:rPr>
                <w:rFonts w:ascii="Arial" w:cs="Arial" w:eastAsia="Arial" w:hAnsi="Arial"/>
                <w:sz w:val="12"/>
                <w:szCs w:val="12"/>
                <w:b w:val="1"/>
                <w:bCs w:val="1"/>
                <w:color w:val="auto"/>
                <w:vertAlign w:val="superscript"/>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94"/>
              </w:rPr>
              <w:t>Windsor Advantage</w:t>
            </w:r>
            <w:r>
              <w:rPr>
                <w:rFonts w:ascii="Arial" w:cs="Arial" w:eastAsia="Arial" w:hAnsi="Arial"/>
                <w:sz w:val="12"/>
                <w:szCs w:val="12"/>
                <w:b w:val="1"/>
                <w:bCs w:val="1"/>
                <w:color w:val="auto"/>
                <w:w w:val="94"/>
                <w:vertAlign w:val="superscript"/>
              </w:rPr>
              <w:t>™</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CBHL</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53,712</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15,995</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jc w:val="right"/>
              <w:ind w:right="132"/>
              <w:spacing w:after="0"/>
              <w:rPr>
                <w:sz w:val="20"/>
                <w:szCs w:val="20"/>
                <w:color w:val="auto"/>
              </w:rPr>
            </w:pPr>
            <w:r>
              <w:rPr>
                <w:rFonts w:ascii="Arial" w:cs="Arial" w:eastAsia="Arial" w:hAnsi="Arial"/>
                <w:sz w:val="10"/>
                <w:szCs w:val="10"/>
                <w:b w:val="1"/>
                <w:bCs w:val="1"/>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252</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69,959</w:t>
            </w:r>
          </w:p>
        </w:tc>
        <w:tc>
          <w:tcPr>
            <w:tcW w:w="0" w:type="dxa"/>
            <w:vAlign w:val="bottom"/>
          </w:tcPr>
          <w:p>
            <w:pPr>
              <w:spacing w:after="0"/>
              <w:rPr>
                <w:sz w:val="1"/>
                <w:szCs w:val="1"/>
                <w:color w:val="auto"/>
              </w:rPr>
            </w:pPr>
          </w:p>
        </w:tc>
      </w:tr>
      <w:tr>
        <w:trPr>
          <w:trHeight w:val="134"/>
        </w:trPr>
        <w:tc>
          <w:tcPr>
            <w:tcW w:w="20" w:type="dxa"/>
            <w:vAlign w:val="bottom"/>
            <w:tcBorders>
              <w:bottom w:val="single" w:sz="8" w:color="CCEEFF"/>
            </w:tcBorders>
          </w:tcPr>
          <w:p>
            <w:pPr>
              <w:spacing w:after="0"/>
              <w:rPr>
                <w:sz w:val="11"/>
                <w:szCs w:val="11"/>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Interest expense</w:t>
            </w: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18,894</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136</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19,030</w:t>
            </w:r>
          </w:p>
        </w:tc>
        <w:tc>
          <w:tcPr>
            <w:tcW w:w="0" w:type="dxa"/>
            <w:vAlign w:val="bottom"/>
          </w:tcPr>
          <w:p>
            <w:pPr>
              <w:spacing w:after="0"/>
              <w:rPr>
                <w:sz w:val="1"/>
                <w:szCs w:val="1"/>
                <w:color w:val="auto"/>
              </w:rPr>
            </w:pPr>
          </w:p>
        </w:tc>
      </w:tr>
      <w:tr>
        <w:trPr>
          <w:trHeight w:val="125"/>
        </w:trPr>
        <w:tc>
          <w:tcPr>
            <w:tcW w:w="20" w:type="dxa"/>
            <w:vAlign w:val="bottom"/>
            <w:shd w:val="clear" w:color="auto" w:fill="CCEEFF"/>
          </w:tcPr>
          <w:p>
            <w:pPr>
              <w:spacing w:after="0"/>
              <w:rPr>
                <w:sz w:val="10"/>
                <w:szCs w:val="10"/>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b w:val="1"/>
                <w:bCs w:val="1"/>
                <w:color w:val="auto"/>
              </w:rPr>
              <w:t>Net interest income</w:t>
            </w: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34,818</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15,995</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116</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50,929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spacing w:after="0"/>
              <w:rPr>
                <w:sz w:val="20"/>
                <w:szCs w:val="20"/>
                <w:color w:val="auto"/>
              </w:rPr>
            </w:pPr>
            <w:r>
              <w:rPr>
                <w:rFonts w:ascii="Arial" w:cs="Arial" w:eastAsia="Arial" w:hAnsi="Arial"/>
                <w:sz w:val="10"/>
                <w:szCs w:val="10"/>
                <w:color w:val="auto"/>
              </w:rPr>
              <w:t>Provision for (release of) credit losses</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(432)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4,017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3,585</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Provision for credit losses on unfunded commitments</w:t>
            </w:r>
          </w:p>
        </w:tc>
        <w:tc>
          <w:tcPr>
            <w:tcW w:w="1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65</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w:t>
            </w:r>
          </w:p>
        </w:tc>
        <w:tc>
          <w:tcPr>
            <w:tcW w:w="6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65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b w:val="1"/>
                <w:bCs w:val="1"/>
                <w:color w:val="auto"/>
              </w:rPr>
              <w:t>Net interest income after provision</w:t>
            </w:r>
          </w:p>
        </w:tc>
        <w:tc>
          <w:tcPr>
            <w:tcW w:w="10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35,185</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11,978</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0"/>
                <w:szCs w:val="10"/>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116</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47,279</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Noninterest income</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Service charges on deposits</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409</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409</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Credit card fees</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4,395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4,395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Mortgage banking revenue</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278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1,682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1,960</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Government lending revenue</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1,207</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1,207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gridSpan w:val="2"/>
          </w:tcPr>
          <w:p>
            <w:pPr>
              <w:ind w:left="80"/>
              <w:spacing w:after="0" w:line="135" w:lineRule="exact"/>
              <w:rPr>
                <w:sz w:val="20"/>
                <w:szCs w:val="20"/>
                <w:color w:val="auto"/>
              </w:rPr>
            </w:pPr>
            <w:r>
              <w:rPr>
                <w:rFonts w:ascii="Arial" w:cs="Arial" w:eastAsia="Arial" w:hAnsi="Arial"/>
                <w:sz w:val="10"/>
                <w:szCs w:val="10"/>
                <w:color w:val="auto"/>
              </w:rPr>
              <w:t>Government loan servicing revenue</w:t>
            </w:r>
            <w:r>
              <w:rPr>
                <w:rFonts w:ascii="Arial" w:cs="Arial" w:eastAsia="Arial" w:hAnsi="Arial"/>
                <w:sz w:val="12"/>
                <w:szCs w:val="12"/>
                <w:color w:val="auto"/>
                <w:vertAlign w:val="superscript"/>
              </w:rPr>
              <w:t>(1)</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(1,256)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b w:val="1"/>
                <w:bCs w:val="1"/>
                <w:color w:val="auto"/>
              </w:rPr>
              <w:t>6,559</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5,303</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Loan servicing rights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292</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292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Other income</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618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30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147</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795</w:t>
            </w:r>
          </w:p>
        </w:tc>
        <w:tc>
          <w:tcPr>
            <w:tcW w:w="0" w:type="dxa"/>
            <w:vAlign w:val="bottom"/>
          </w:tcPr>
          <w:p>
            <w:pPr>
              <w:spacing w:after="0"/>
              <w:rPr>
                <w:sz w:val="1"/>
                <w:szCs w:val="1"/>
                <w:color w:val="auto"/>
              </w:rPr>
            </w:pPr>
          </w:p>
        </w:tc>
      </w:tr>
      <w:tr>
        <w:trPr>
          <w:trHeight w:val="125"/>
        </w:trPr>
        <w:tc>
          <w:tcPr>
            <w:tcW w:w="20" w:type="dxa"/>
            <w:vAlign w:val="bottom"/>
            <w:tcBorders>
              <w:top w:val="single" w:sz="8" w:color="CCEEFF"/>
            </w:tcBorders>
            <w:shd w:val="clear" w:color="auto" w:fill="CCEEFF"/>
          </w:tcPr>
          <w:p>
            <w:pPr>
              <w:spacing w:after="0"/>
              <w:rPr>
                <w:sz w:val="10"/>
                <w:szCs w:val="10"/>
                <w:color w:val="auto"/>
              </w:rPr>
            </w:pPr>
          </w:p>
        </w:tc>
        <w:tc>
          <w:tcPr>
            <w:tcW w:w="42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Total noninterest income</w:t>
            </w: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1,548</w:t>
            </w:r>
          </w:p>
        </w:tc>
        <w:tc>
          <w:tcPr>
            <w:tcW w:w="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4,425</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6,559</w:t>
            </w:r>
          </w:p>
        </w:tc>
        <w:tc>
          <w:tcPr>
            <w:tcW w:w="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1,829</w:t>
            </w:r>
          </w:p>
        </w:tc>
        <w:tc>
          <w:tcPr>
            <w:tcW w:w="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14,361</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2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Noninterest expenses</w:t>
            </w: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Salaries and employee benefits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12,048</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3,792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2,625</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1,602</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20,067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Occupancy and equipment</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2,315</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1,047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b w:val="1"/>
                <w:bCs w:val="1"/>
                <w:color w:val="auto"/>
              </w:rPr>
              <w:t>391</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189</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3,942</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Professional fees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2,233</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1,228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271</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393</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4,125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Data processing</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452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6,983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b w:val="1"/>
                <w:bCs w:val="1"/>
                <w:color w:val="auto"/>
              </w:rPr>
              <w:t>67</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49</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7,551</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Advertising</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765</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598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297</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156</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1,816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Loan processing</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927</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271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b w:val="1"/>
                <w:bCs w:val="1"/>
                <w:color w:val="auto"/>
              </w:rPr>
              <w:t>9</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Arial" w:cs="Arial" w:eastAsia="Arial" w:hAnsi="Arial"/>
                <w:sz w:val="10"/>
                <w:szCs w:val="10"/>
                <w:b w:val="1"/>
                <w:bCs w:val="1"/>
                <w:color w:val="auto"/>
              </w:rPr>
              <w:t>268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1,475</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Merger-related expenses</w:t>
            </w: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00" w:type="dxa"/>
            <w:vAlign w:val="bottom"/>
            <w:gridSpan w:val="2"/>
          </w:tcPr>
          <w:p>
            <w:pPr>
              <w:ind w:left="80"/>
              <w:spacing w:after="0"/>
              <w:rPr>
                <w:sz w:val="20"/>
                <w:szCs w:val="20"/>
                <w:color w:val="auto"/>
              </w:rPr>
            </w:pPr>
            <w:r>
              <w:rPr>
                <w:rFonts w:ascii="Arial" w:cs="Arial" w:eastAsia="Arial" w:hAnsi="Arial"/>
                <w:sz w:val="10"/>
                <w:szCs w:val="10"/>
                <w:color w:val="auto"/>
              </w:rPr>
              <w:t>Operational and other card fraud related losses</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72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618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6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690</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Regulatory assessment expenses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583</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214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64</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64</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925</w:t>
            </w:r>
          </w:p>
        </w:tc>
        <w:tc>
          <w:tcPr>
            <w:tcW w:w="0" w:type="dxa"/>
            <w:vAlign w:val="bottom"/>
          </w:tcPr>
          <w:p>
            <w:pPr>
              <w:spacing w:after="0"/>
              <w:rPr>
                <w:sz w:val="1"/>
                <w:szCs w:val="1"/>
                <w:color w:val="auto"/>
              </w:rPr>
            </w:pPr>
          </w:p>
        </w:tc>
      </w:tr>
      <w:tr>
        <w:trPr>
          <w:trHeight w:val="134"/>
        </w:trPr>
        <w:tc>
          <w:tcPr>
            <w:tcW w:w="20" w:type="dxa"/>
            <w:vAlign w:val="bottom"/>
            <w:tcBorders>
              <w:bottom w:val="single" w:sz="8" w:color="CCEEFF"/>
            </w:tcBorders>
          </w:tcPr>
          <w:p>
            <w:pPr>
              <w:spacing w:after="0"/>
              <w:rPr>
                <w:sz w:val="11"/>
                <w:szCs w:val="11"/>
                <w:color w:val="auto"/>
              </w:rPr>
            </w:pPr>
          </w:p>
        </w:tc>
        <w:tc>
          <w:tcPr>
            <w:tcW w:w="4200" w:type="dxa"/>
            <w:vAlign w:val="bottom"/>
            <w:tcBorders>
              <w:bottom w:val="single" w:sz="8" w:color="CCEEFF"/>
            </w:tcBorders>
            <w:gridSpan w:val="2"/>
          </w:tcPr>
          <w:p>
            <w:pPr>
              <w:ind w:left="80"/>
              <w:spacing w:after="0"/>
              <w:rPr>
                <w:sz w:val="20"/>
                <w:szCs w:val="20"/>
                <w:color w:val="auto"/>
              </w:rPr>
            </w:pPr>
            <w:r>
              <w:rPr>
                <w:rFonts w:ascii="Arial" w:cs="Arial" w:eastAsia="Arial" w:hAnsi="Arial"/>
                <w:sz w:val="10"/>
                <w:szCs w:val="10"/>
                <w:color w:val="auto"/>
              </w:rPr>
              <w:t>Other operating</w:t>
            </w: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1,277</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639</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558</w:t>
            </w:r>
          </w:p>
        </w:tc>
        <w:tc>
          <w:tcPr>
            <w:tcW w:w="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121</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2,595</w:t>
            </w:r>
          </w:p>
        </w:tc>
        <w:tc>
          <w:tcPr>
            <w:tcW w:w="0" w:type="dxa"/>
            <w:vAlign w:val="bottom"/>
          </w:tcPr>
          <w:p>
            <w:pPr>
              <w:spacing w:after="0"/>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Total noninterest expenses</w:t>
            </w:r>
          </w:p>
        </w:tc>
        <w:tc>
          <w:tcPr>
            <w:tcW w:w="10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20,672</w:t>
            </w:r>
          </w:p>
        </w:tc>
        <w:tc>
          <w:tcPr>
            <w:tcW w:w="6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15,390</w:t>
            </w:r>
          </w:p>
        </w:tc>
        <w:tc>
          <w:tcPr>
            <w:tcW w:w="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4,282</w:t>
            </w:r>
          </w:p>
        </w:tc>
        <w:tc>
          <w:tcPr>
            <w:tcW w:w="6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2,842</w:t>
            </w:r>
          </w:p>
        </w:tc>
        <w:tc>
          <w:tcPr>
            <w:tcW w:w="6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43,186</w:t>
            </w:r>
          </w:p>
        </w:tc>
        <w:tc>
          <w:tcPr>
            <w:tcW w:w="0" w:type="dxa"/>
            <w:vAlign w:val="bottom"/>
          </w:tcPr>
          <w:p>
            <w:pPr>
              <w:spacing w:after="0"/>
              <w:rPr>
                <w:sz w:val="1"/>
                <w:szCs w:val="1"/>
                <w:color w:val="auto"/>
              </w:rPr>
            </w:pPr>
          </w:p>
        </w:tc>
      </w:tr>
      <w:tr>
        <w:trPr>
          <w:trHeight w:val="141"/>
        </w:trPr>
        <w:tc>
          <w:tcPr>
            <w:tcW w:w="20" w:type="dxa"/>
            <w:vAlign w:val="bottom"/>
            <w:tcBorders>
              <w:bottom w:val="single" w:sz="8" w:color="CCEEFF"/>
            </w:tcBorders>
          </w:tcPr>
          <w:p>
            <w:pPr>
              <w:spacing w:after="0"/>
              <w:rPr>
                <w:sz w:val="12"/>
                <w:szCs w:val="12"/>
                <w:color w:val="auto"/>
              </w:rPr>
            </w:pPr>
          </w:p>
        </w:tc>
        <w:tc>
          <w:tcPr>
            <w:tcW w:w="4200" w:type="dxa"/>
            <w:vAlign w:val="bottom"/>
            <w:tcBorders>
              <w:bottom w:val="single" w:sz="8" w:color="CCEEFF"/>
            </w:tcBorders>
            <w:gridSpan w:val="2"/>
          </w:tcPr>
          <w:p>
            <w:pPr>
              <w:ind w:left="80"/>
              <w:spacing w:after="0"/>
              <w:rPr>
                <w:sz w:val="20"/>
                <w:szCs w:val="20"/>
                <w:color w:val="auto"/>
              </w:rPr>
            </w:pPr>
            <w:r>
              <w:rPr>
                <w:rFonts w:ascii="Arial" w:cs="Arial" w:eastAsia="Arial" w:hAnsi="Arial"/>
                <w:sz w:val="10"/>
                <w:szCs w:val="10"/>
                <w:b w:val="1"/>
                <w:bCs w:val="1"/>
                <w:color w:val="auto"/>
              </w:rPr>
              <w:t>Net income (loss) before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16,061</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1,013</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2,277</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(897)</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18,454</w:t>
            </w: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2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gridSpan w:val="2"/>
          </w:tcPr>
          <w:p>
            <w:pPr>
              <w:spacing w:after="0"/>
              <w:rPr>
                <w:sz w:val="20"/>
                <w:szCs w:val="20"/>
                <w:color w:val="auto"/>
              </w:rPr>
            </w:pPr>
            <w:r>
              <w:rPr>
                <w:rFonts w:ascii="Arial" w:cs="Arial" w:eastAsia="Arial" w:hAnsi="Arial"/>
                <w:sz w:val="10"/>
                <w:szCs w:val="10"/>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3,689,273</w:t>
            </w:r>
          </w:p>
        </w:tc>
        <w:tc>
          <w:tcPr>
            <w:tcW w:w="60" w:type="dxa"/>
            <w:vAlign w:val="bottom"/>
          </w:tcPr>
          <w:p>
            <w:pPr>
              <w:spacing w:after="0"/>
              <w:rPr>
                <w:sz w:val="11"/>
                <w:szCs w:val="11"/>
                <w:color w:val="auto"/>
              </w:rPr>
            </w:pPr>
          </w:p>
        </w:tc>
        <w:tc>
          <w:tcPr>
            <w:tcW w:w="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143,716</w:t>
            </w:r>
          </w:p>
        </w:tc>
        <w:tc>
          <w:tcPr>
            <w:tcW w:w="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27,818</w:t>
            </w:r>
          </w:p>
        </w:tc>
        <w:tc>
          <w:tcPr>
            <w:tcW w:w="60" w:type="dxa"/>
            <w:vAlign w:val="bottom"/>
          </w:tcPr>
          <w:p>
            <w:pPr>
              <w:spacing w:after="0"/>
              <w:rPr>
                <w:sz w:val="11"/>
                <w:szCs w:val="11"/>
                <w:color w:val="auto"/>
              </w:rPr>
            </w:pPr>
          </w:p>
        </w:tc>
        <w:tc>
          <w:tcPr>
            <w:tcW w:w="2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29,131</w:t>
            </w:r>
          </w:p>
        </w:tc>
        <w:tc>
          <w:tcPr>
            <w:tcW w:w="60" w:type="dxa"/>
            <w:vAlign w:val="bottom"/>
          </w:tcPr>
          <w:p>
            <w:pPr>
              <w:spacing w:after="0"/>
              <w:rPr>
                <w:sz w:val="11"/>
                <w:szCs w:val="11"/>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3,889,938</w:t>
            </w:r>
          </w:p>
        </w:tc>
        <w:tc>
          <w:tcPr>
            <w:tcW w:w="0" w:type="dxa"/>
            <w:vAlign w:val="bottom"/>
          </w:tcPr>
          <w:p>
            <w:pPr>
              <w:spacing w:after="0"/>
              <w:rPr>
                <w:sz w:val="1"/>
                <w:szCs w:val="1"/>
                <w:color w:val="auto"/>
              </w:rPr>
            </w:pPr>
          </w:p>
        </w:tc>
      </w:tr>
      <w:tr>
        <w:trPr>
          <w:trHeight w:val="20"/>
        </w:trPr>
        <w:tc>
          <w:tcPr>
            <w:tcW w:w="1940" w:type="dxa"/>
            <w:vAlign w:val="bottom"/>
            <w:gridSpan w:val="2"/>
            <w:vMerge w:val="restart"/>
          </w:tcPr>
          <w:p>
            <w:pPr>
              <w:spacing w:after="0"/>
              <w:rPr>
                <w:sz w:val="20"/>
                <w:szCs w:val="20"/>
                <w:color w:val="auto"/>
              </w:rPr>
            </w:pPr>
            <w:r>
              <w:rPr>
                <w:rFonts w:ascii="Arial" w:cs="Arial" w:eastAsia="Arial" w:hAnsi="Arial"/>
                <w:sz w:val="12"/>
                <w:szCs w:val="12"/>
                <w:color w:val="auto"/>
              </w:rPr>
              <w:t>_______________</w:t>
            </w: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gridSpan w:val="2"/>
            <w:vMerge w:val="continue"/>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60" w:hanging="152"/>
        <w:spacing w:after="0"/>
        <w:tabs>
          <w:tab w:leader="none" w:pos="160" w:val="left"/>
        </w:tabs>
        <w:numPr>
          <w:ilvl w:val="0"/>
          <w:numId w:val="31"/>
        </w:numPr>
        <w:rPr>
          <w:rFonts w:ascii="Arial" w:cs="Arial" w:eastAsia="Arial" w:hAnsi="Arial"/>
          <w:sz w:val="11"/>
          <w:szCs w:val="11"/>
          <w:color w:val="auto"/>
          <w:vertAlign w:val="superscript"/>
        </w:rPr>
      </w:pPr>
      <w:r>
        <w:rPr>
          <w:rFonts w:ascii="Arial" w:cs="Arial" w:eastAsia="Arial" w:hAnsi="Arial"/>
          <w:sz w:val="8"/>
          <w:szCs w:val="8"/>
          <w:color w:val="auto"/>
        </w:rPr>
        <w:t>Gross government loan servicing revenue totaled $6.6 million, including $1.3 million of servicing fees earned from the Commercial Bank by Windsor</w:t>
      </w:r>
      <w:r>
        <w:rPr>
          <w:rFonts w:ascii="Arial" w:cs="Arial" w:eastAsia="Arial" w:hAnsi="Arial"/>
          <w:sz w:val="10"/>
          <w:szCs w:val="10"/>
          <w:color w:val="auto"/>
          <w:vertAlign w:val="superscript"/>
        </w:rPr>
        <w:t>TM</w:t>
      </w:r>
      <w:r>
        <w:rPr>
          <w:rFonts w:ascii="Arial" w:cs="Arial" w:eastAsia="Arial" w:hAnsi="Arial"/>
          <w:sz w:val="8"/>
          <w:szCs w:val="8"/>
          <w:color w:val="auto"/>
        </w:rPr>
        <w:t>, for the three months ended June 30, 2026.</w:t>
      </w:r>
    </w:p>
    <w:p>
      <w:pPr>
        <w:spacing w:after="0" w:line="200" w:lineRule="exact"/>
        <w:rPr>
          <w:sz w:val="20"/>
          <w:szCs w:val="20"/>
          <w:color w:val="auto"/>
        </w:rPr>
      </w:pPr>
    </w:p>
    <w:p>
      <w:pPr>
        <w:spacing w:after="0" w:line="304" w:lineRule="exact"/>
        <w:rPr>
          <w:sz w:val="20"/>
          <w:szCs w:val="20"/>
          <w:color w:val="auto"/>
        </w:rPr>
      </w:pPr>
    </w:p>
    <w:p>
      <w:pPr>
        <w:ind w:left="538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0200"/>
          </w:cols>
          <w:pgMar w:left="500" w:top="671" w:right="1199" w:bottom="1440" w:gutter="0" w:footer="0" w:header="0"/>
        </w:sectPr>
      </w:pPr>
    </w:p>
    <w:bookmarkStart w:id="22" w:name="page23"/>
    <w:bookmarkEnd w:id="22"/>
    <w:p>
      <w:pPr>
        <w:ind w:left="20"/>
        <w:spacing w:after="0"/>
        <w:rPr>
          <w:sz w:val="20"/>
          <w:szCs w:val="20"/>
          <w:color w:val="auto"/>
        </w:rPr>
      </w:pPr>
      <w:r>
        <w:rPr>
          <w:rFonts w:ascii="Arial" w:cs="Arial" w:eastAsia="Arial" w:hAnsi="Arial"/>
          <w:sz w:val="11"/>
          <w:szCs w:val="11"/>
          <w:b w:val="1"/>
          <w:bCs w:val="1"/>
          <w:color w:val="auto"/>
        </w:rPr>
        <w:t>Segments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2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5"/>
              </w:rPr>
              <w:t>For the three months ended September 30, 2025</w:t>
            </w:r>
          </w:p>
        </w:tc>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7"/>
                <w:szCs w:val="7"/>
                <w:color w:val="auto"/>
              </w:rPr>
              <w:t>(in thousands)</w:t>
            </w: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99"/>
              </w:rPr>
              <w:t>Commercial Bank</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OpenSky</w:t>
            </w:r>
            <w:r>
              <w:rPr>
                <w:rFonts w:ascii="Arial" w:cs="Arial" w:eastAsia="Arial" w:hAnsi="Arial"/>
                <w:sz w:val="12"/>
                <w:szCs w:val="12"/>
                <w:b w:val="1"/>
                <w:bCs w:val="1"/>
                <w:color w:val="auto"/>
                <w:vertAlign w:val="superscript"/>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92"/>
              </w:rPr>
              <w:t>Windsor Advantage</w:t>
            </w:r>
            <w:r>
              <w:rPr>
                <w:rFonts w:ascii="Arial" w:cs="Arial" w:eastAsia="Arial" w:hAnsi="Arial"/>
                <w:sz w:val="12"/>
                <w:szCs w:val="12"/>
                <w:b w:val="1"/>
                <w:bCs w:val="1"/>
                <w:color w:val="auto"/>
                <w:w w:val="92"/>
                <w:vertAlign w:val="superscript"/>
              </w:rPr>
              <w:t>™</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CBHL</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4620" w:type="dxa"/>
            <w:vAlign w:val="bottom"/>
            <w:gridSpan w:val="2"/>
            <w:shd w:val="clear" w:color="auto" w:fill="CCEEFF"/>
          </w:tcPr>
          <w:p>
            <w:pPr>
              <w:spacing w:after="0" w:line="124" w:lineRule="exact"/>
              <w:rPr>
                <w:sz w:val="20"/>
                <w:szCs w:val="20"/>
                <w:color w:val="auto"/>
              </w:rPr>
            </w:pPr>
            <w:r>
              <w:rPr>
                <w:rFonts w:ascii="Arial" w:cs="Arial" w:eastAsia="Arial" w:hAnsi="Arial"/>
                <w:sz w:val="10"/>
                <w:szCs w:val="10"/>
                <w:color w:val="auto"/>
              </w:rPr>
              <w:t>Interest income</w:t>
            </w:r>
            <w:r>
              <w:rPr>
                <w:rFonts w:ascii="Arial" w:cs="Arial" w:eastAsia="Arial" w:hAnsi="Arial"/>
                <w:sz w:val="12"/>
                <w:szCs w:val="12"/>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49,035</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15,628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228</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64,891</w:t>
            </w:r>
          </w:p>
        </w:tc>
        <w:tc>
          <w:tcPr>
            <w:tcW w:w="0" w:type="dxa"/>
            <w:vAlign w:val="bottom"/>
          </w:tcPr>
          <w:p>
            <w:pPr>
              <w:spacing w:after="0"/>
              <w:rPr>
                <w:sz w:val="1"/>
                <w:szCs w:val="1"/>
                <w:color w:val="auto"/>
              </w:rPr>
            </w:pPr>
          </w:p>
        </w:tc>
      </w:tr>
      <w:tr>
        <w:trPr>
          <w:trHeight w:val="134"/>
        </w:trPr>
        <w:tc>
          <w:tcPr>
            <w:tcW w:w="20" w:type="dxa"/>
            <w:vAlign w:val="bottom"/>
            <w:tcBorders>
              <w:bottom w:val="single" w:sz="8" w:color="CCEEFF"/>
            </w:tcBorders>
          </w:tcPr>
          <w:p>
            <w:pPr>
              <w:spacing w:after="0"/>
              <w:rPr>
                <w:sz w:val="11"/>
                <w:szCs w:val="11"/>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Interest expense</w:t>
            </w: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12,768</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103</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12,871</w:t>
            </w:r>
          </w:p>
        </w:tc>
        <w:tc>
          <w:tcPr>
            <w:tcW w:w="0" w:type="dxa"/>
            <w:vAlign w:val="bottom"/>
          </w:tcPr>
          <w:p>
            <w:pPr>
              <w:spacing w:after="0"/>
              <w:rPr>
                <w:sz w:val="1"/>
                <w:szCs w:val="1"/>
                <w:color w:val="auto"/>
              </w:rPr>
            </w:pPr>
          </w:p>
        </w:tc>
      </w:tr>
      <w:tr>
        <w:trPr>
          <w:trHeight w:val="125"/>
        </w:trPr>
        <w:tc>
          <w:tcPr>
            <w:tcW w:w="20" w:type="dxa"/>
            <w:vAlign w:val="bottom"/>
            <w:shd w:val="clear" w:color="auto" w:fill="CCEEFF"/>
          </w:tcPr>
          <w:p>
            <w:pPr>
              <w:spacing w:after="0"/>
              <w:rPr>
                <w:sz w:val="10"/>
                <w:szCs w:val="10"/>
                <w:color w:val="auto"/>
              </w:rPr>
            </w:pPr>
          </w:p>
        </w:tc>
        <w:tc>
          <w:tcPr>
            <w:tcW w:w="4620" w:type="dxa"/>
            <w:vAlign w:val="bottom"/>
            <w:gridSpan w:val="2"/>
            <w:shd w:val="clear" w:color="auto" w:fill="CCEEFF"/>
          </w:tcPr>
          <w:p>
            <w:pPr>
              <w:ind w:left="80"/>
              <w:spacing w:after="0"/>
              <w:rPr>
                <w:sz w:val="20"/>
                <w:szCs w:val="20"/>
                <w:color w:val="auto"/>
              </w:rPr>
            </w:pPr>
            <w:r>
              <w:rPr>
                <w:rFonts w:ascii="Arial" w:cs="Arial" w:eastAsia="Arial" w:hAnsi="Arial"/>
                <w:sz w:val="10"/>
                <w:szCs w:val="10"/>
                <w:b w:val="1"/>
                <w:bCs w:val="1"/>
                <w:color w:val="auto"/>
              </w:rPr>
              <w:t>Net interest income</w:t>
            </w: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36,267</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15,628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125</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52,020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20" w:type="dxa"/>
            <w:vAlign w:val="bottom"/>
            <w:gridSpan w:val="2"/>
          </w:tcPr>
          <w:p>
            <w:pPr>
              <w:spacing w:after="0"/>
              <w:rPr>
                <w:sz w:val="20"/>
                <w:szCs w:val="20"/>
                <w:color w:val="auto"/>
              </w:rPr>
            </w:pPr>
            <w:r>
              <w:rPr>
                <w:rFonts w:ascii="Arial" w:cs="Arial" w:eastAsia="Arial" w:hAnsi="Arial"/>
                <w:sz w:val="10"/>
                <w:szCs w:val="10"/>
                <w:color w:val="auto"/>
              </w:rPr>
              <w:t>Provision for credit losses</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1,852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2,798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4,650</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Provision for credit losses on unfunded commitments</w:t>
            </w:r>
          </w:p>
        </w:tc>
        <w:tc>
          <w:tcPr>
            <w:tcW w:w="1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217</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217</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620" w:type="dxa"/>
            <w:vAlign w:val="bottom"/>
            <w:gridSpan w:val="2"/>
          </w:tcPr>
          <w:p>
            <w:pPr>
              <w:ind w:left="80"/>
              <w:spacing w:after="0"/>
              <w:rPr>
                <w:sz w:val="20"/>
                <w:szCs w:val="20"/>
                <w:color w:val="auto"/>
              </w:rPr>
            </w:pPr>
            <w:r>
              <w:rPr>
                <w:rFonts w:ascii="Arial" w:cs="Arial" w:eastAsia="Arial" w:hAnsi="Arial"/>
                <w:sz w:val="10"/>
                <w:szCs w:val="10"/>
                <w:b w:val="1"/>
                <w:bCs w:val="1"/>
                <w:color w:val="auto"/>
              </w:rPr>
              <w:t>Net interest income after provision</w:t>
            </w:r>
          </w:p>
        </w:tc>
        <w:tc>
          <w:tcPr>
            <w:tcW w:w="10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34,198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12,830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125</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47,153</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Noninterest income</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20" w:type="dxa"/>
            <w:vAlign w:val="bottom"/>
            <w:gridSpan w:val="2"/>
          </w:tcPr>
          <w:p>
            <w:pPr>
              <w:ind w:left="80"/>
              <w:spacing w:after="0"/>
              <w:rPr>
                <w:sz w:val="20"/>
                <w:szCs w:val="20"/>
                <w:color w:val="auto"/>
              </w:rPr>
            </w:pPr>
            <w:r>
              <w:rPr>
                <w:rFonts w:ascii="Arial" w:cs="Arial" w:eastAsia="Arial" w:hAnsi="Arial"/>
                <w:sz w:val="10"/>
                <w:szCs w:val="10"/>
                <w:color w:val="auto"/>
              </w:rPr>
              <w:t>Service charges on deposits</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425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425</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6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Credit card fees</w:t>
            </w: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4,509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4,509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20" w:type="dxa"/>
            <w:vAlign w:val="bottom"/>
            <w:gridSpan w:val="2"/>
          </w:tcPr>
          <w:p>
            <w:pPr>
              <w:ind w:left="80"/>
              <w:spacing w:after="0"/>
              <w:rPr>
                <w:sz w:val="20"/>
                <w:szCs w:val="20"/>
                <w:color w:val="auto"/>
              </w:rPr>
            </w:pPr>
            <w:r>
              <w:rPr>
                <w:rFonts w:ascii="Arial" w:cs="Arial" w:eastAsia="Arial" w:hAnsi="Arial"/>
                <w:sz w:val="10"/>
                <w:szCs w:val="10"/>
                <w:color w:val="auto"/>
              </w:rPr>
              <w:t>Mortgage banking revenue</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315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1,612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1,927</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6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Government lending revenue</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14</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20" w:type="dxa"/>
            <w:vAlign w:val="bottom"/>
            <w:gridSpan w:val="2"/>
          </w:tcPr>
          <w:p>
            <w:pPr>
              <w:ind w:left="80"/>
              <w:spacing w:after="0" w:line="135" w:lineRule="exact"/>
              <w:rPr>
                <w:sz w:val="20"/>
                <w:szCs w:val="20"/>
                <w:color w:val="auto"/>
              </w:rPr>
            </w:pPr>
            <w:r>
              <w:rPr>
                <w:rFonts w:ascii="Arial" w:cs="Arial" w:eastAsia="Arial" w:hAnsi="Arial"/>
                <w:sz w:val="10"/>
                <w:szCs w:val="10"/>
                <w:color w:val="auto"/>
              </w:rPr>
              <w:t>Government loan servicing revenue</w:t>
            </w:r>
            <w:r>
              <w:rPr>
                <w:rFonts w:ascii="Arial" w:cs="Arial" w:eastAsia="Arial" w:hAnsi="Arial"/>
                <w:sz w:val="12"/>
                <w:szCs w:val="12"/>
                <w:color w:val="auto"/>
                <w:vertAlign w:val="superscript"/>
              </w:rPr>
              <w:t>(1)</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(1,074)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5,339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4,265</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46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Loan servicing rights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368</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368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20" w:type="dxa"/>
            <w:vAlign w:val="bottom"/>
            <w:gridSpan w:val="2"/>
          </w:tcPr>
          <w:p>
            <w:pPr>
              <w:ind w:left="80"/>
              <w:spacing w:after="0"/>
              <w:rPr>
                <w:sz w:val="20"/>
                <w:szCs w:val="20"/>
                <w:color w:val="auto"/>
              </w:rPr>
            </w:pPr>
            <w:r>
              <w:rPr>
                <w:rFonts w:ascii="Arial" w:cs="Arial" w:eastAsia="Arial" w:hAnsi="Arial"/>
                <w:sz w:val="10"/>
                <w:szCs w:val="10"/>
                <w:color w:val="auto"/>
              </w:rPr>
              <w:t>Other income (loss)</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(557)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(33)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150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(440)</w:t>
            </w:r>
          </w:p>
        </w:tc>
        <w:tc>
          <w:tcPr>
            <w:tcW w:w="0" w:type="dxa"/>
            <w:vAlign w:val="bottom"/>
          </w:tcPr>
          <w:p>
            <w:pPr>
              <w:spacing w:after="0"/>
              <w:rPr>
                <w:sz w:val="1"/>
                <w:szCs w:val="1"/>
                <w:color w:val="auto"/>
              </w:rPr>
            </w:pPr>
          </w:p>
        </w:tc>
      </w:tr>
      <w:tr>
        <w:trPr>
          <w:trHeight w:val="125"/>
        </w:trPr>
        <w:tc>
          <w:tcPr>
            <w:tcW w:w="20" w:type="dxa"/>
            <w:vAlign w:val="bottom"/>
            <w:tcBorders>
              <w:top w:val="single" w:sz="8" w:color="CCEEFF"/>
            </w:tcBorders>
            <w:shd w:val="clear" w:color="auto" w:fill="CCEEFF"/>
          </w:tcPr>
          <w:p>
            <w:pPr>
              <w:spacing w:after="0"/>
              <w:rPr>
                <w:sz w:val="10"/>
                <w:szCs w:val="10"/>
                <w:color w:val="auto"/>
              </w:rPr>
            </w:pPr>
          </w:p>
        </w:tc>
        <w:tc>
          <w:tcPr>
            <w:tcW w:w="46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Total noninterest income</w:t>
            </w: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(509)</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4,476</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5,339</w:t>
            </w: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1,762</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11,068</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62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Noninterest expenses</w:t>
            </w: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6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Salaries and employee benefits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10,559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3,271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2,455</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1,443</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17,728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20" w:type="dxa"/>
            <w:vAlign w:val="bottom"/>
            <w:gridSpan w:val="2"/>
          </w:tcPr>
          <w:p>
            <w:pPr>
              <w:ind w:left="80"/>
              <w:spacing w:after="0"/>
              <w:rPr>
                <w:sz w:val="20"/>
                <w:szCs w:val="20"/>
                <w:color w:val="auto"/>
              </w:rPr>
            </w:pPr>
            <w:r>
              <w:rPr>
                <w:rFonts w:ascii="Arial" w:cs="Arial" w:eastAsia="Arial" w:hAnsi="Arial"/>
                <w:sz w:val="10"/>
                <w:szCs w:val="10"/>
                <w:color w:val="auto"/>
              </w:rPr>
              <w:t>Occupancy and equipment</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1,635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632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416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166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2,849</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6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Professional fees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1,079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571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198</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283</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2,131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20" w:type="dxa"/>
            <w:vAlign w:val="bottom"/>
            <w:gridSpan w:val="2"/>
          </w:tcPr>
          <w:p>
            <w:pPr>
              <w:ind w:left="80"/>
              <w:spacing w:after="0"/>
              <w:rPr>
                <w:sz w:val="20"/>
                <w:szCs w:val="20"/>
                <w:color w:val="auto"/>
              </w:rPr>
            </w:pPr>
            <w:r>
              <w:rPr>
                <w:rFonts w:ascii="Arial" w:cs="Arial" w:eastAsia="Arial" w:hAnsi="Arial"/>
                <w:sz w:val="10"/>
                <w:szCs w:val="10"/>
                <w:color w:val="auto"/>
              </w:rPr>
              <w:t>Data processing</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350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7,154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97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53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7,654</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6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Advertising</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694</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833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76</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111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1,714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20" w:type="dxa"/>
            <w:vAlign w:val="bottom"/>
            <w:gridSpan w:val="2"/>
          </w:tcPr>
          <w:p>
            <w:pPr>
              <w:ind w:left="80"/>
              <w:spacing w:after="0"/>
              <w:rPr>
                <w:sz w:val="20"/>
                <w:szCs w:val="20"/>
                <w:color w:val="auto"/>
              </w:rPr>
            </w:pPr>
            <w:r>
              <w:rPr>
                <w:rFonts w:ascii="Arial" w:cs="Arial" w:eastAsia="Arial" w:hAnsi="Arial"/>
                <w:sz w:val="10"/>
                <w:szCs w:val="10"/>
                <w:color w:val="auto"/>
              </w:rPr>
              <w:t>Loan processing</w:t>
            </w:r>
          </w:p>
        </w:tc>
        <w:tc>
          <w:tcPr>
            <w:tcW w:w="1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740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67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b w:val="1"/>
                <w:bCs w:val="1"/>
                <w:color w:val="auto"/>
              </w:rPr>
              <w:t>292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1,114</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6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Merger-related expenses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697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697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20" w:type="dxa"/>
            <w:vAlign w:val="bottom"/>
            <w:gridSpan w:val="2"/>
          </w:tcPr>
          <w:p>
            <w:pPr>
              <w:ind w:left="80"/>
              <w:spacing w:after="0"/>
              <w:rPr>
                <w:sz w:val="20"/>
                <w:szCs w:val="20"/>
                <w:color w:val="auto"/>
              </w:rPr>
            </w:pPr>
            <w:r>
              <w:rPr>
                <w:rFonts w:ascii="Arial" w:cs="Arial" w:eastAsia="Arial" w:hAnsi="Arial"/>
                <w:sz w:val="10"/>
                <w:szCs w:val="10"/>
                <w:color w:val="auto"/>
              </w:rPr>
              <w:t>Operational and other card fraud related losses</w:t>
            </w:r>
          </w:p>
        </w:tc>
        <w:tc>
          <w:tcPr>
            <w:tcW w:w="100" w:type="dxa"/>
            <w:vAlign w:val="bottom"/>
          </w:tcPr>
          <w:p>
            <w:pPr>
              <w:spacing w:after="0"/>
              <w:rPr>
                <w:sz w:val="11"/>
                <w:szCs w:val="1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923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1"/>
                <w:szCs w:val="1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b w:val="1"/>
                <w:bCs w:val="1"/>
                <w:color w:val="auto"/>
              </w:rPr>
              <w:t>923</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46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Regulatory assessment expenses</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788</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740</w:t>
            </w:r>
          </w:p>
        </w:tc>
        <w:tc>
          <w:tcPr>
            <w:tcW w:w="0" w:type="dxa"/>
            <w:vAlign w:val="bottom"/>
          </w:tcPr>
          <w:p>
            <w:pPr>
              <w:spacing w:after="0"/>
              <w:rPr>
                <w:sz w:val="1"/>
                <w:szCs w:val="1"/>
                <w:color w:val="auto"/>
              </w:rPr>
            </w:pPr>
          </w:p>
        </w:tc>
      </w:tr>
      <w:tr>
        <w:trPr>
          <w:trHeight w:val="134"/>
        </w:trPr>
        <w:tc>
          <w:tcPr>
            <w:tcW w:w="20" w:type="dxa"/>
            <w:vAlign w:val="bottom"/>
            <w:tcBorders>
              <w:bottom w:val="single" w:sz="8" w:color="CCEEFF"/>
            </w:tcBorders>
          </w:tcPr>
          <w:p>
            <w:pPr>
              <w:spacing w:after="0"/>
              <w:rPr>
                <w:sz w:val="11"/>
                <w:szCs w:val="11"/>
                <w:color w:val="auto"/>
              </w:rPr>
            </w:pPr>
          </w:p>
        </w:tc>
        <w:tc>
          <w:tcPr>
            <w:tcW w:w="4620" w:type="dxa"/>
            <w:vAlign w:val="bottom"/>
            <w:tcBorders>
              <w:bottom w:val="single" w:sz="8" w:color="CCEEFF"/>
            </w:tcBorders>
            <w:gridSpan w:val="2"/>
          </w:tcPr>
          <w:p>
            <w:pPr>
              <w:ind w:left="80"/>
              <w:spacing w:after="0"/>
              <w:rPr>
                <w:sz w:val="20"/>
                <w:szCs w:val="20"/>
                <w:color w:val="auto"/>
              </w:rPr>
            </w:pPr>
            <w:r>
              <w:rPr>
                <w:rFonts w:ascii="Arial" w:cs="Arial" w:eastAsia="Arial" w:hAnsi="Arial"/>
                <w:sz w:val="10"/>
                <w:szCs w:val="10"/>
                <w:color w:val="auto"/>
              </w:rPr>
              <w:t>Other operating</w:t>
            </w: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1,493</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587</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614</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110</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2,804</w:t>
            </w:r>
          </w:p>
        </w:tc>
        <w:tc>
          <w:tcPr>
            <w:tcW w:w="0" w:type="dxa"/>
            <w:vAlign w:val="bottom"/>
          </w:tcPr>
          <w:p>
            <w:pPr>
              <w:spacing w:after="0"/>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Total noninterest expenses</w:t>
            </w:r>
          </w:p>
        </w:tc>
        <w:tc>
          <w:tcPr>
            <w:tcW w:w="10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18,035</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13,956</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3,912</w:t>
            </w:r>
          </w:p>
        </w:tc>
        <w:tc>
          <w:tcPr>
            <w:tcW w:w="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2,451</w:t>
            </w:r>
          </w:p>
        </w:tc>
        <w:tc>
          <w:tcPr>
            <w:tcW w:w="8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38,354</w:t>
            </w:r>
          </w:p>
        </w:tc>
        <w:tc>
          <w:tcPr>
            <w:tcW w:w="0" w:type="dxa"/>
            <w:vAlign w:val="bottom"/>
          </w:tcPr>
          <w:p>
            <w:pPr>
              <w:spacing w:after="0"/>
              <w:rPr>
                <w:sz w:val="1"/>
                <w:szCs w:val="1"/>
                <w:color w:val="auto"/>
              </w:rPr>
            </w:pPr>
          </w:p>
        </w:tc>
      </w:tr>
      <w:tr>
        <w:trPr>
          <w:trHeight w:val="141"/>
        </w:trPr>
        <w:tc>
          <w:tcPr>
            <w:tcW w:w="20" w:type="dxa"/>
            <w:vAlign w:val="bottom"/>
            <w:tcBorders>
              <w:bottom w:val="single" w:sz="8" w:color="CCEEFF"/>
            </w:tcBorders>
          </w:tcPr>
          <w:p>
            <w:pPr>
              <w:spacing w:after="0"/>
              <w:rPr>
                <w:sz w:val="12"/>
                <w:szCs w:val="12"/>
                <w:color w:val="auto"/>
              </w:rPr>
            </w:pPr>
          </w:p>
        </w:tc>
        <w:tc>
          <w:tcPr>
            <w:tcW w:w="4620" w:type="dxa"/>
            <w:vAlign w:val="bottom"/>
            <w:tcBorders>
              <w:bottom w:val="single" w:sz="8" w:color="CCEEFF"/>
            </w:tcBorders>
            <w:gridSpan w:val="2"/>
          </w:tcPr>
          <w:p>
            <w:pPr>
              <w:ind w:left="80"/>
              <w:spacing w:after="0"/>
              <w:rPr>
                <w:sz w:val="20"/>
                <w:szCs w:val="20"/>
                <w:color w:val="auto"/>
              </w:rPr>
            </w:pPr>
            <w:r>
              <w:rPr>
                <w:rFonts w:ascii="Arial" w:cs="Arial" w:eastAsia="Arial" w:hAnsi="Arial"/>
                <w:sz w:val="10"/>
                <w:szCs w:val="10"/>
                <w:b w:val="1"/>
                <w:bCs w:val="1"/>
                <w:color w:val="auto"/>
              </w:rPr>
              <w:t>Net income (loss) before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15,654</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3,350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1,427</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(564)</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19,867</w:t>
            </w: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2200" w:type="dxa"/>
            <w:vAlign w:val="bottom"/>
            <w:shd w:val="clear" w:color="auto" w:fill="CCEEFF"/>
          </w:tcPr>
          <w:p>
            <w:pPr>
              <w:spacing w:after="0"/>
              <w:rPr>
                <w:sz w:val="10"/>
                <w:szCs w:val="10"/>
                <w:color w:val="auto"/>
              </w:rPr>
            </w:pPr>
          </w:p>
        </w:tc>
        <w:tc>
          <w:tcPr>
            <w:tcW w:w="2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20" w:type="dxa"/>
            <w:vAlign w:val="bottom"/>
            <w:gridSpan w:val="2"/>
          </w:tcPr>
          <w:p>
            <w:pPr>
              <w:spacing w:after="0"/>
              <w:rPr>
                <w:sz w:val="20"/>
                <w:szCs w:val="20"/>
                <w:color w:val="auto"/>
              </w:rPr>
            </w:pPr>
            <w:r>
              <w:rPr>
                <w:rFonts w:ascii="Arial" w:cs="Arial" w:eastAsia="Arial" w:hAnsi="Arial"/>
                <w:sz w:val="10"/>
                <w:szCs w:val="10"/>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3,213,222</w:t>
            </w:r>
          </w:p>
        </w:tc>
        <w:tc>
          <w:tcPr>
            <w:tcW w:w="80" w:type="dxa"/>
            <w:vAlign w:val="bottom"/>
          </w:tcPr>
          <w:p>
            <w:pPr>
              <w:spacing w:after="0"/>
              <w:rPr>
                <w:sz w:val="11"/>
                <w:szCs w:val="11"/>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134,422</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21,743</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20,055</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3,389,442</w:t>
            </w:r>
          </w:p>
        </w:tc>
        <w:tc>
          <w:tcPr>
            <w:tcW w:w="0" w:type="dxa"/>
            <w:vAlign w:val="bottom"/>
          </w:tcPr>
          <w:p>
            <w:pPr>
              <w:spacing w:after="0"/>
              <w:rPr>
                <w:sz w:val="1"/>
                <w:szCs w:val="1"/>
                <w:color w:val="auto"/>
              </w:rPr>
            </w:pPr>
          </w:p>
        </w:tc>
      </w:tr>
      <w:tr>
        <w:trPr>
          <w:trHeight w:val="20"/>
        </w:trPr>
        <w:tc>
          <w:tcPr>
            <w:tcW w:w="2220" w:type="dxa"/>
            <w:vAlign w:val="bottom"/>
            <w:gridSpan w:val="2"/>
            <w:vMerge w:val="restart"/>
          </w:tcPr>
          <w:p>
            <w:pPr>
              <w:spacing w:after="0"/>
              <w:rPr>
                <w:sz w:val="20"/>
                <w:szCs w:val="20"/>
                <w:color w:val="auto"/>
              </w:rPr>
            </w:pPr>
            <w:r>
              <w:rPr>
                <w:rFonts w:ascii="Arial" w:cs="Arial" w:eastAsia="Arial" w:hAnsi="Arial"/>
                <w:sz w:val="12"/>
                <w:szCs w:val="12"/>
                <w:color w:val="auto"/>
              </w:rPr>
              <w:t>_______________</w:t>
            </w:r>
          </w:p>
        </w:tc>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220" w:type="dxa"/>
            <w:vAlign w:val="bottom"/>
            <w:gridSpan w:val="2"/>
            <w:vMerge w:val="continue"/>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60" w:hanging="152"/>
        <w:spacing w:after="0" w:line="205" w:lineRule="auto"/>
        <w:tabs>
          <w:tab w:leader="none" w:pos="160" w:val="left"/>
        </w:tabs>
        <w:numPr>
          <w:ilvl w:val="0"/>
          <w:numId w:val="32"/>
        </w:numPr>
        <w:rPr>
          <w:rFonts w:ascii="Arial" w:cs="Arial" w:eastAsia="Arial" w:hAnsi="Arial"/>
          <w:sz w:val="11"/>
          <w:szCs w:val="11"/>
          <w:color w:val="auto"/>
          <w:vertAlign w:val="superscript"/>
        </w:rPr>
      </w:pPr>
      <w:r>
        <w:rPr>
          <w:rFonts w:ascii="Arial" w:cs="Arial" w:eastAsia="Arial" w:hAnsi="Arial"/>
          <w:sz w:val="8"/>
          <w:szCs w:val="8"/>
          <w:color w:val="auto"/>
        </w:rPr>
        <w:t>Gross government loan servicing revenue totaled $5.3 million, including $1.1 million of servicing fees earned from the Commercial Bank by Windsor</w:t>
      </w:r>
      <w:r>
        <w:rPr>
          <w:rFonts w:ascii="Arial" w:cs="Arial" w:eastAsia="Arial" w:hAnsi="Arial"/>
          <w:sz w:val="10"/>
          <w:szCs w:val="10"/>
          <w:color w:val="auto"/>
          <w:vertAlign w:val="superscript"/>
        </w:rPr>
        <w:t>TM</w:t>
      </w:r>
      <w:r>
        <w:rPr>
          <w:rFonts w:ascii="Arial" w:cs="Arial" w:eastAsia="Arial" w:hAnsi="Arial"/>
          <w:sz w:val="8"/>
          <w:szCs w:val="8"/>
          <w:color w:val="auto"/>
        </w:rPr>
        <w:t>, for the three months ended September 30, 2025.</w:t>
      </w:r>
    </w:p>
    <w:p>
      <w:pPr>
        <w:ind w:left="160" w:hanging="152"/>
        <w:spacing w:after="0" w:line="193" w:lineRule="auto"/>
        <w:tabs>
          <w:tab w:leader="none" w:pos="160" w:val="left"/>
        </w:tabs>
        <w:numPr>
          <w:ilvl w:val="0"/>
          <w:numId w:val="32"/>
        </w:numPr>
        <w:rPr>
          <w:rFonts w:ascii="Arial" w:cs="Arial" w:eastAsia="Arial" w:hAnsi="Arial"/>
          <w:sz w:val="11"/>
          <w:szCs w:val="11"/>
          <w:color w:val="auto"/>
          <w:vertAlign w:val="superscript"/>
        </w:rPr>
      </w:pPr>
      <w:r>
        <w:rPr>
          <w:rFonts w:ascii="Arial" w:cs="Arial" w:eastAsia="Arial" w:hAnsi="Arial"/>
          <w:sz w:val="8"/>
          <w:szCs w:val="8"/>
          <w:color w:val="auto"/>
        </w:rPr>
        <w:t>Interest income of $49.0 million for the Commercial Bank includes the $1.3 million Interest Income Adjustment.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59"/>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0620"/>
          </w:cols>
          <w:pgMar w:left="500" w:top="671" w:right="779" w:bottom="1440" w:gutter="0" w:footer="0" w:header="0"/>
        </w:sectPr>
      </w:pPr>
    </w:p>
    <w:bookmarkStart w:id="23" w:name="page24"/>
    <w:bookmarkEnd w:id="23"/>
    <w:p>
      <w:pPr>
        <w:ind w:left="8"/>
        <w:spacing w:after="0"/>
        <w:rPr>
          <w:sz w:val="20"/>
          <w:szCs w:val="20"/>
          <w:color w:val="auto"/>
        </w:rPr>
      </w:pPr>
      <w:r>
        <w:rPr>
          <w:rFonts w:ascii="Arial" w:cs="Arial" w:eastAsia="Arial" w:hAnsi="Arial"/>
          <w:sz w:val="11"/>
          <w:szCs w:val="11"/>
          <w:b w:val="1"/>
          <w:bCs w:val="1"/>
          <w:color w:val="auto"/>
        </w:rPr>
        <w:t>Segments</w:t>
      </w:r>
    </w:p>
    <w:p>
      <w:pPr>
        <w:spacing w:after="0" w:line="10"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1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5"/>
              </w:rPr>
              <w:t>For the nine months ended September 30, 2026</w:t>
            </w:r>
          </w:p>
        </w:tc>
        <w:tc>
          <w:tcPr>
            <w:tcW w:w="2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7"/>
                <w:szCs w:val="7"/>
                <w:color w:val="auto"/>
              </w:rPr>
              <w:t>(in thousands)</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99"/>
              </w:rPr>
              <w:t>Commercial Bank</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OpenSky</w:t>
            </w:r>
            <w:r>
              <w:rPr>
                <w:rFonts w:ascii="Arial" w:cs="Arial" w:eastAsia="Arial" w:hAnsi="Arial"/>
                <w:sz w:val="12"/>
                <w:szCs w:val="12"/>
                <w:b w:val="1"/>
                <w:bCs w:val="1"/>
                <w:color w:val="auto"/>
                <w:vertAlign w:val="superscript"/>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w w:val="94"/>
              </w:rPr>
              <w:t>Windsor Advantage</w:t>
            </w:r>
            <w:r>
              <w:rPr>
                <w:rFonts w:ascii="Arial" w:cs="Arial" w:eastAsia="Arial" w:hAnsi="Arial"/>
                <w:sz w:val="12"/>
                <w:szCs w:val="12"/>
                <w:b w:val="1"/>
                <w:bCs w:val="1"/>
                <w:color w:val="auto"/>
                <w:w w:val="94"/>
                <w:vertAlign w:val="superscript"/>
              </w:rPr>
              <w:t>™</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CBHL</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24"/>
        </w:trPr>
        <w:tc>
          <w:tcPr>
            <w:tcW w:w="42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Interest income</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162,024</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47,573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624</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210,221</w:t>
            </w:r>
          </w:p>
        </w:tc>
        <w:tc>
          <w:tcPr>
            <w:tcW w:w="0" w:type="dxa"/>
            <w:vAlign w:val="bottom"/>
          </w:tcPr>
          <w:p>
            <w:pPr>
              <w:spacing w:after="0"/>
              <w:rPr>
                <w:sz w:val="1"/>
                <w:szCs w:val="1"/>
                <w:color w:val="auto"/>
              </w:rPr>
            </w:pPr>
          </w:p>
        </w:tc>
      </w:tr>
      <w:tr>
        <w:trPr>
          <w:trHeight w:val="134"/>
        </w:trPr>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Interest expense</w:t>
            </w: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56,494</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322</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56,816</w:t>
            </w:r>
          </w:p>
        </w:tc>
        <w:tc>
          <w:tcPr>
            <w:tcW w:w="0" w:type="dxa"/>
            <w:vAlign w:val="bottom"/>
          </w:tcPr>
          <w:p>
            <w:pPr>
              <w:spacing w:after="0"/>
              <w:rPr>
                <w:sz w:val="1"/>
                <w:szCs w:val="1"/>
                <w:color w:val="auto"/>
              </w:rPr>
            </w:pPr>
          </w:p>
        </w:tc>
      </w:tr>
      <w:tr>
        <w:trPr>
          <w:trHeight w:val="125"/>
        </w:trPr>
        <w:tc>
          <w:tcPr>
            <w:tcW w:w="4260" w:type="dxa"/>
            <w:vAlign w:val="bottom"/>
            <w:gridSpan w:val="2"/>
            <w:shd w:val="clear" w:color="auto" w:fill="CCEEFF"/>
          </w:tcPr>
          <w:p>
            <w:pPr>
              <w:ind w:left="80"/>
              <w:spacing w:after="0"/>
              <w:rPr>
                <w:sz w:val="20"/>
                <w:szCs w:val="20"/>
                <w:color w:val="auto"/>
              </w:rPr>
            </w:pPr>
            <w:r>
              <w:rPr>
                <w:rFonts w:ascii="Arial" w:cs="Arial" w:eastAsia="Arial" w:hAnsi="Arial"/>
                <w:sz w:val="10"/>
                <w:szCs w:val="10"/>
                <w:b w:val="1"/>
                <w:bCs w:val="1"/>
                <w:color w:val="auto"/>
              </w:rPr>
              <w:t>Net interest income</w:t>
            </w: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105,530</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47,573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302</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153,405</w:t>
            </w:r>
          </w:p>
        </w:tc>
        <w:tc>
          <w:tcPr>
            <w:tcW w:w="0" w:type="dxa"/>
            <w:vAlign w:val="bottom"/>
          </w:tcPr>
          <w:p>
            <w:pPr>
              <w:spacing w:after="0"/>
              <w:rPr>
                <w:sz w:val="1"/>
                <w:szCs w:val="1"/>
                <w:color w:val="auto"/>
              </w:rPr>
            </w:pPr>
          </w:p>
        </w:tc>
      </w:tr>
      <w:tr>
        <w:trPr>
          <w:trHeight w:val="134"/>
        </w:trPr>
        <w:tc>
          <w:tcPr>
            <w:tcW w:w="4260" w:type="dxa"/>
            <w:vAlign w:val="bottom"/>
            <w:gridSpan w:val="2"/>
          </w:tcPr>
          <w:p>
            <w:pPr>
              <w:spacing w:after="0"/>
              <w:rPr>
                <w:sz w:val="20"/>
                <w:szCs w:val="20"/>
                <w:color w:val="auto"/>
              </w:rPr>
            </w:pPr>
            <w:r>
              <w:rPr>
                <w:rFonts w:ascii="Arial" w:cs="Arial" w:eastAsia="Arial" w:hAnsi="Arial"/>
                <w:sz w:val="10"/>
                <w:szCs w:val="10"/>
                <w:color w:val="auto"/>
              </w:rPr>
              <w:t>Provision for credit losses</w:t>
            </w:r>
          </w:p>
        </w:tc>
        <w:tc>
          <w:tcPr>
            <w:tcW w:w="12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b w:val="1"/>
                <w:bCs w:val="1"/>
                <w:color w:val="auto"/>
              </w:rPr>
              <w:t>745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10,757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11,502</w:t>
            </w:r>
          </w:p>
        </w:tc>
        <w:tc>
          <w:tcPr>
            <w:tcW w:w="0" w:type="dxa"/>
            <w:vAlign w:val="bottom"/>
          </w:tcPr>
          <w:p>
            <w:pPr>
              <w:spacing w:after="0"/>
              <w:rPr>
                <w:sz w:val="1"/>
                <w:szCs w:val="1"/>
                <w:color w:val="auto"/>
              </w:rPr>
            </w:pPr>
          </w:p>
        </w:tc>
      </w:tr>
      <w:tr>
        <w:trPr>
          <w:trHeight w:val="136"/>
        </w:trPr>
        <w:tc>
          <w:tcPr>
            <w:tcW w:w="42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Provision for credit losses on unfunded commitments</w:t>
            </w:r>
          </w:p>
        </w:tc>
        <w:tc>
          <w:tcPr>
            <w:tcW w:w="1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216</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216</w:t>
            </w:r>
          </w:p>
        </w:tc>
        <w:tc>
          <w:tcPr>
            <w:tcW w:w="0" w:type="dxa"/>
            <w:vAlign w:val="bottom"/>
          </w:tcPr>
          <w:p>
            <w:pPr>
              <w:spacing w:after="0"/>
              <w:rPr>
                <w:sz w:val="1"/>
                <w:szCs w:val="1"/>
                <w:color w:val="auto"/>
              </w:rPr>
            </w:pPr>
          </w:p>
        </w:tc>
      </w:tr>
      <w:tr>
        <w:trPr>
          <w:trHeight w:val="123"/>
        </w:trPr>
        <w:tc>
          <w:tcPr>
            <w:tcW w:w="4260" w:type="dxa"/>
            <w:vAlign w:val="bottom"/>
            <w:gridSpan w:val="2"/>
          </w:tcPr>
          <w:p>
            <w:pPr>
              <w:ind w:left="80"/>
              <w:spacing w:after="0"/>
              <w:rPr>
                <w:sz w:val="20"/>
                <w:szCs w:val="20"/>
                <w:color w:val="auto"/>
              </w:rPr>
            </w:pPr>
            <w:r>
              <w:rPr>
                <w:rFonts w:ascii="Arial" w:cs="Arial" w:eastAsia="Arial" w:hAnsi="Arial"/>
                <w:sz w:val="10"/>
                <w:szCs w:val="10"/>
                <w:b w:val="1"/>
                <w:bCs w:val="1"/>
                <w:color w:val="auto"/>
              </w:rPr>
              <w:t>Net interest income after provision</w:t>
            </w:r>
          </w:p>
        </w:tc>
        <w:tc>
          <w:tcPr>
            <w:tcW w:w="120" w:type="dxa"/>
            <w:vAlign w:val="bottom"/>
          </w:tcPr>
          <w:p>
            <w:pPr>
              <w:spacing w:after="0"/>
              <w:rPr>
                <w:sz w:val="10"/>
                <w:szCs w:val="10"/>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b w:val="1"/>
                <w:bCs w:val="1"/>
                <w:color w:val="auto"/>
              </w:rPr>
              <w:t>104,569</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36,816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302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141,687</w:t>
            </w:r>
          </w:p>
        </w:tc>
        <w:tc>
          <w:tcPr>
            <w:tcW w:w="0" w:type="dxa"/>
            <w:vAlign w:val="bottom"/>
          </w:tcPr>
          <w:p>
            <w:pPr>
              <w:spacing w:after="0"/>
              <w:rPr>
                <w:sz w:val="1"/>
                <w:szCs w:val="1"/>
                <w:color w:val="auto"/>
              </w:rPr>
            </w:pPr>
          </w:p>
        </w:tc>
      </w:tr>
      <w:tr>
        <w:trPr>
          <w:trHeight w:val="136"/>
        </w:trPr>
        <w:tc>
          <w:tcPr>
            <w:tcW w:w="42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Noninterest income</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260" w:type="dxa"/>
            <w:vAlign w:val="bottom"/>
            <w:gridSpan w:val="2"/>
          </w:tcPr>
          <w:p>
            <w:pPr>
              <w:ind w:left="80"/>
              <w:spacing w:after="0"/>
              <w:rPr>
                <w:sz w:val="20"/>
                <w:szCs w:val="20"/>
                <w:color w:val="auto"/>
              </w:rPr>
            </w:pPr>
            <w:r>
              <w:rPr>
                <w:rFonts w:ascii="Arial" w:cs="Arial" w:eastAsia="Arial" w:hAnsi="Arial"/>
                <w:sz w:val="10"/>
                <w:szCs w:val="10"/>
                <w:color w:val="auto"/>
              </w:rPr>
              <w:t>Service charges on deposits</w:t>
            </w:r>
          </w:p>
        </w:tc>
        <w:tc>
          <w:tcPr>
            <w:tcW w:w="12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b w:val="1"/>
                <w:bCs w:val="1"/>
                <w:color w:val="auto"/>
              </w:rPr>
              <w:t>1,230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1,230</w:t>
            </w:r>
          </w:p>
        </w:tc>
        <w:tc>
          <w:tcPr>
            <w:tcW w:w="0" w:type="dxa"/>
            <w:vAlign w:val="bottom"/>
          </w:tcPr>
          <w:p>
            <w:pPr>
              <w:spacing w:after="0"/>
              <w:rPr>
                <w:sz w:val="1"/>
                <w:szCs w:val="1"/>
                <w:color w:val="auto"/>
              </w:rPr>
            </w:pPr>
          </w:p>
        </w:tc>
      </w:tr>
      <w:tr>
        <w:trPr>
          <w:trHeight w:val="136"/>
        </w:trPr>
        <w:tc>
          <w:tcPr>
            <w:tcW w:w="4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Credit card fees</w:t>
            </w:r>
          </w:p>
        </w:tc>
        <w:tc>
          <w:tcPr>
            <w:tcW w:w="12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13,607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13,607</w:t>
            </w:r>
          </w:p>
        </w:tc>
        <w:tc>
          <w:tcPr>
            <w:tcW w:w="0" w:type="dxa"/>
            <w:vAlign w:val="bottom"/>
          </w:tcPr>
          <w:p>
            <w:pPr>
              <w:spacing w:after="0"/>
              <w:rPr>
                <w:sz w:val="1"/>
                <w:szCs w:val="1"/>
                <w:color w:val="auto"/>
              </w:rPr>
            </w:pPr>
          </w:p>
        </w:tc>
      </w:tr>
      <w:tr>
        <w:trPr>
          <w:trHeight w:val="134"/>
        </w:trPr>
        <w:tc>
          <w:tcPr>
            <w:tcW w:w="4260" w:type="dxa"/>
            <w:vAlign w:val="bottom"/>
            <w:gridSpan w:val="2"/>
          </w:tcPr>
          <w:p>
            <w:pPr>
              <w:ind w:left="80"/>
              <w:spacing w:after="0"/>
              <w:rPr>
                <w:sz w:val="20"/>
                <w:szCs w:val="20"/>
                <w:color w:val="auto"/>
              </w:rPr>
            </w:pPr>
            <w:r>
              <w:rPr>
                <w:rFonts w:ascii="Arial" w:cs="Arial" w:eastAsia="Arial" w:hAnsi="Arial"/>
                <w:sz w:val="10"/>
                <w:szCs w:val="10"/>
                <w:color w:val="auto"/>
              </w:rPr>
              <w:t>Mortgage banking revenue</w:t>
            </w:r>
          </w:p>
        </w:tc>
        <w:tc>
          <w:tcPr>
            <w:tcW w:w="12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b w:val="1"/>
                <w:bCs w:val="1"/>
                <w:color w:val="auto"/>
              </w:rPr>
              <w:t>1,184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4,181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5,365</w:t>
            </w:r>
          </w:p>
        </w:tc>
        <w:tc>
          <w:tcPr>
            <w:tcW w:w="0" w:type="dxa"/>
            <w:vAlign w:val="bottom"/>
          </w:tcPr>
          <w:p>
            <w:pPr>
              <w:spacing w:after="0"/>
              <w:rPr>
                <w:sz w:val="1"/>
                <w:szCs w:val="1"/>
                <w:color w:val="auto"/>
              </w:rPr>
            </w:pPr>
          </w:p>
        </w:tc>
      </w:tr>
      <w:tr>
        <w:trPr>
          <w:trHeight w:val="136"/>
        </w:trPr>
        <w:tc>
          <w:tcPr>
            <w:tcW w:w="4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Government lending revenue</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3,604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3,604</w:t>
            </w:r>
          </w:p>
        </w:tc>
        <w:tc>
          <w:tcPr>
            <w:tcW w:w="0" w:type="dxa"/>
            <w:vAlign w:val="bottom"/>
          </w:tcPr>
          <w:p>
            <w:pPr>
              <w:spacing w:after="0"/>
              <w:rPr>
                <w:sz w:val="1"/>
                <w:szCs w:val="1"/>
                <w:color w:val="auto"/>
              </w:rPr>
            </w:pPr>
          </w:p>
        </w:tc>
      </w:tr>
      <w:tr>
        <w:trPr>
          <w:trHeight w:val="135"/>
        </w:trPr>
        <w:tc>
          <w:tcPr>
            <w:tcW w:w="4260" w:type="dxa"/>
            <w:vAlign w:val="bottom"/>
            <w:gridSpan w:val="2"/>
          </w:tcPr>
          <w:p>
            <w:pPr>
              <w:ind w:left="80"/>
              <w:spacing w:after="0" w:line="135" w:lineRule="exact"/>
              <w:rPr>
                <w:sz w:val="20"/>
                <w:szCs w:val="20"/>
                <w:color w:val="auto"/>
              </w:rPr>
            </w:pPr>
            <w:r>
              <w:rPr>
                <w:rFonts w:ascii="Arial" w:cs="Arial" w:eastAsia="Arial" w:hAnsi="Arial"/>
                <w:sz w:val="10"/>
                <w:szCs w:val="10"/>
                <w:color w:val="auto"/>
              </w:rPr>
              <w:t>Government loan servicing revenue</w:t>
            </w:r>
            <w:r>
              <w:rPr>
                <w:rFonts w:ascii="Arial" w:cs="Arial" w:eastAsia="Arial" w:hAnsi="Arial"/>
                <w:sz w:val="12"/>
                <w:szCs w:val="12"/>
                <w:color w:val="auto"/>
                <w:vertAlign w:val="superscript"/>
              </w:rPr>
              <w:t>(1)</w:t>
            </w:r>
          </w:p>
        </w:tc>
        <w:tc>
          <w:tcPr>
            <w:tcW w:w="1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(4,183)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080" w:type="dxa"/>
            <w:vAlign w:val="bottom"/>
          </w:tcPr>
          <w:p>
            <w:pPr>
              <w:jc w:val="right"/>
              <w:ind w:right="12"/>
              <w:spacing w:after="0"/>
              <w:rPr>
                <w:sz w:val="20"/>
                <w:szCs w:val="20"/>
                <w:color w:val="auto"/>
              </w:rPr>
            </w:pPr>
            <w:r>
              <w:rPr>
                <w:rFonts w:ascii="Arial" w:cs="Arial" w:eastAsia="Arial" w:hAnsi="Arial"/>
                <w:sz w:val="10"/>
                <w:szCs w:val="10"/>
                <w:b w:val="1"/>
                <w:bCs w:val="1"/>
                <w:color w:val="auto"/>
              </w:rPr>
              <w:t>18,904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14,721</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Loan servicing rights</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1,312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1,312</w:t>
            </w:r>
          </w:p>
        </w:tc>
        <w:tc>
          <w:tcPr>
            <w:tcW w:w="0" w:type="dxa"/>
            <w:vAlign w:val="bottom"/>
          </w:tcPr>
          <w:p>
            <w:pPr>
              <w:spacing w:after="0"/>
              <w:rPr>
                <w:sz w:val="1"/>
                <w:szCs w:val="1"/>
                <w:color w:val="auto"/>
              </w:rPr>
            </w:pPr>
          </w:p>
        </w:tc>
      </w:tr>
      <w:tr>
        <w:trPr>
          <w:trHeight w:val="134"/>
        </w:trPr>
        <w:tc>
          <w:tcPr>
            <w:tcW w:w="4260" w:type="dxa"/>
            <w:vAlign w:val="bottom"/>
            <w:tcBorders>
              <w:bottom w:val="single" w:sz="8" w:color="CCEEFF"/>
            </w:tcBorders>
            <w:gridSpan w:val="2"/>
          </w:tcPr>
          <w:p>
            <w:pPr>
              <w:ind w:left="80"/>
              <w:spacing w:after="0"/>
              <w:rPr>
                <w:sz w:val="20"/>
                <w:szCs w:val="20"/>
                <w:color w:val="auto"/>
              </w:rPr>
            </w:pPr>
            <w:r>
              <w:rPr>
                <w:rFonts w:ascii="Arial" w:cs="Arial" w:eastAsia="Arial" w:hAnsi="Arial"/>
                <w:sz w:val="10"/>
                <w:szCs w:val="10"/>
                <w:color w:val="auto"/>
              </w:rPr>
              <w:t>Other income</w:t>
            </w: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2,202</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73</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5</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654</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2,934</w:t>
            </w:r>
          </w:p>
        </w:tc>
        <w:tc>
          <w:tcPr>
            <w:tcW w:w="0" w:type="dxa"/>
            <w:vAlign w:val="bottom"/>
          </w:tcPr>
          <w:p>
            <w:pPr>
              <w:spacing w:after="0"/>
              <w:rPr>
                <w:sz w:val="1"/>
                <w:szCs w:val="1"/>
                <w:color w:val="auto"/>
              </w:rPr>
            </w:pPr>
          </w:p>
        </w:tc>
      </w:tr>
      <w:tr>
        <w:trPr>
          <w:trHeight w:val="125"/>
        </w:trPr>
        <w:tc>
          <w:tcPr>
            <w:tcW w:w="426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Total noninterest income</w:t>
            </w: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5,349</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13,680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18,909</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4,835</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42,773</w:t>
            </w:r>
          </w:p>
        </w:tc>
        <w:tc>
          <w:tcPr>
            <w:tcW w:w="0" w:type="dxa"/>
            <w:vAlign w:val="bottom"/>
          </w:tcPr>
          <w:p>
            <w:pPr>
              <w:spacing w:after="0"/>
              <w:rPr>
                <w:sz w:val="1"/>
                <w:szCs w:val="1"/>
                <w:color w:val="auto"/>
              </w:rPr>
            </w:pPr>
          </w:p>
        </w:tc>
      </w:tr>
      <w:tr>
        <w:trPr>
          <w:trHeight w:val="134"/>
        </w:trPr>
        <w:tc>
          <w:tcPr>
            <w:tcW w:w="4260" w:type="dxa"/>
            <w:vAlign w:val="bottom"/>
            <w:gridSpan w:val="2"/>
          </w:tcPr>
          <w:p>
            <w:pPr>
              <w:spacing w:after="0"/>
              <w:rPr>
                <w:sz w:val="20"/>
                <w:szCs w:val="20"/>
                <w:color w:val="auto"/>
              </w:rPr>
            </w:pPr>
            <w:r>
              <w:rPr>
                <w:rFonts w:ascii="Arial" w:cs="Arial" w:eastAsia="Arial" w:hAnsi="Arial"/>
                <w:sz w:val="10"/>
                <w:szCs w:val="10"/>
                <w:b w:val="1"/>
                <w:bCs w:val="1"/>
                <w:color w:val="auto"/>
              </w:rPr>
              <w:t>Noninterest expenses</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Salaries and employee benefits</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36,017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11,998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8,384</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5,101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61,500</w:t>
            </w:r>
          </w:p>
        </w:tc>
        <w:tc>
          <w:tcPr>
            <w:tcW w:w="0" w:type="dxa"/>
            <w:vAlign w:val="bottom"/>
          </w:tcPr>
          <w:p>
            <w:pPr>
              <w:spacing w:after="0"/>
              <w:rPr>
                <w:sz w:val="1"/>
                <w:szCs w:val="1"/>
                <w:color w:val="auto"/>
              </w:rPr>
            </w:pPr>
          </w:p>
        </w:tc>
      </w:tr>
      <w:tr>
        <w:trPr>
          <w:trHeight w:val="134"/>
        </w:trPr>
        <w:tc>
          <w:tcPr>
            <w:tcW w:w="4260" w:type="dxa"/>
            <w:vAlign w:val="bottom"/>
            <w:gridSpan w:val="2"/>
          </w:tcPr>
          <w:p>
            <w:pPr>
              <w:ind w:left="80"/>
              <w:spacing w:after="0"/>
              <w:rPr>
                <w:sz w:val="20"/>
                <w:szCs w:val="20"/>
                <w:color w:val="auto"/>
              </w:rPr>
            </w:pPr>
            <w:r>
              <w:rPr>
                <w:rFonts w:ascii="Arial" w:cs="Arial" w:eastAsia="Arial" w:hAnsi="Arial"/>
                <w:sz w:val="10"/>
                <w:szCs w:val="10"/>
                <w:color w:val="auto"/>
              </w:rPr>
              <w:t>Occupancy and equipment</w:t>
            </w:r>
          </w:p>
        </w:tc>
        <w:tc>
          <w:tcPr>
            <w:tcW w:w="12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b w:val="1"/>
                <w:bCs w:val="1"/>
                <w:color w:val="auto"/>
              </w:rPr>
              <w:t>6,626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3,229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ind w:right="12"/>
              <w:spacing w:after="0"/>
              <w:rPr>
                <w:sz w:val="20"/>
                <w:szCs w:val="20"/>
                <w:color w:val="auto"/>
              </w:rPr>
            </w:pPr>
            <w:r>
              <w:rPr>
                <w:rFonts w:ascii="Arial" w:cs="Arial" w:eastAsia="Arial" w:hAnsi="Arial"/>
                <w:sz w:val="10"/>
                <w:szCs w:val="10"/>
                <w:b w:val="1"/>
                <w:bCs w:val="1"/>
                <w:color w:val="auto"/>
              </w:rPr>
              <w:t>1,219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574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11,648</w:t>
            </w:r>
          </w:p>
        </w:tc>
        <w:tc>
          <w:tcPr>
            <w:tcW w:w="0" w:type="dxa"/>
            <w:vAlign w:val="bottom"/>
          </w:tcPr>
          <w:p>
            <w:pPr>
              <w:spacing w:after="0"/>
              <w:rPr>
                <w:sz w:val="1"/>
                <w:szCs w:val="1"/>
                <w:color w:val="auto"/>
              </w:rPr>
            </w:pPr>
          </w:p>
        </w:tc>
      </w:tr>
      <w:tr>
        <w:trPr>
          <w:trHeight w:val="136"/>
        </w:trPr>
        <w:tc>
          <w:tcPr>
            <w:tcW w:w="4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Professional fees</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7,170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4,825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836</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1,178</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14,009</w:t>
            </w:r>
          </w:p>
        </w:tc>
        <w:tc>
          <w:tcPr>
            <w:tcW w:w="0" w:type="dxa"/>
            <w:vAlign w:val="bottom"/>
          </w:tcPr>
          <w:p>
            <w:pPr>
              <w:spacing w:after="0"/>
              <w:rPr>
                <w:sz w:val="1"/>
                <w:szCs w:val="1"/>
                <w:color w:val="auto"/>
              </w:rPr>
            </w:pPr>
          </w:p>
        </w:tc>
      </w:tr>
      <w:tr>
        <w:trPr>
          <w:trHeight w:val="134"/>
        </w:trPr>
        <w:tc>
          <w:tcPr>
            <w:tcW w:w="4260" w:type="dxa"/>
            <w:vAlign w:val="bottom"/>
            <w:gridSpan w:val="2"/>
          </w:tcPr>
          <w:p>
            <w:pPr>
              <w:ind w:left="80"/>
              <w:spacing w:after="0"/>
              <w:rPr>
                <w:sz w:val="20"/>
                <w:szCs w:val="20"/>
                <w:color w:val="auto"/>
              </w:rPr>
            </w:pPr>
            <w:r>
              <w:rPr>
                <w:rFonts w:ascii="Arial" w:cs="Arial" w:eastAsia="Arial" w:hAnsi="Arial"/>
                <w:sz w:val="10"/>
                <w:szCs w:val="10"/>
                <w:color w:val="auto"/>
              </w:rPr>
              <w:t>Data processing</w:t>
            </w:r>
          </w:p>
        </w:tc>
        <w:tc>
          <w:tcPr>
            <w:tcW w:w="12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b w:val="1"/>
                <w:bCs w:val="1"/>
                <w:color w:val="auto"/>
              </w:rPr>
              <w:t>1,439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21,242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ind w:right="12"/>
              <w:spacing w:after="0"/>
              <w:rPr>
                <w:sz w:val="20"/>
                <w:szCs w:val="20"/>
                <w:color w:val="auto"/>
              </w:rPr>
            </w:pPr>
            <w:r>
              <w:rPr>
                <w:rFonts w:ascii="Arial" w:cs="Arial" w:eastAsia="Arial" w:hAnsi="Arial"/>
                <w:sz w:val="10"/>
                <w:szCs w:val="10"/>
                <w:b w:val="1"/>
                <w:bCs w:val="1"/>
                <w:color w:val="auto"/>
              </w:rPr>
              <w:t>188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157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23,026</w:t>
            </w:r>
          </w:p>
        </w:tc>
        <w:tc>
          <w:tcPr>
            <w:tcW w:w="0" w:type="dxa"/>
            <w:vAlign w:val="bottom"/>
          </w:tcPr>
          <w:p>
            <w:pPr>
              <w:spacing w:after="0"/>
              <w:rPr>
                <w:sz w:val="1"/>
                <w:szCs w:val="1"/>
                <w:color w:val="auto"/>
              </w:rPr>
            </w:pPr>
          </w:p>
        </w:tc>
      </w:tr>
      <w:tr>
        <w:trPr>
          <w:trHeight w:val="136"/>
        </w:trPr>
        <w:tc>
          <w:tcPr>
            <w:tcW w:w="4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Advertising</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2,666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1,333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480</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369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4,848</w:t>
            </w:r>
          </w:p>
        </w:tc>
        <w:tc>
          <w:tcPr>
            <w:tcW w:w="0" w:type="dxa"/>
            <w:vAlign w:val="bottom"/>
          </w:tcPr>
          <w:p>
            <w:pPr>
              <w:spacing w:after="0"/>
              <w:rPr>
                <w:sz w:val="1"/>
                <w:szCs w:val="1"/>
                <w:color w:val="auto"/>
              </w:rPr>
            </w:pPr>
          </w:p>
        </w:tc>
      </w:tr>
      <w:tr>
        <w:trPr>
          <w:trHeight w:val="134"/>
        </w:trPr>
        <w:tc>
          <w:tcPr>
            <w:tcW w:w="4260" w:type="dxa"/>
            <w:vAlign w:val="bottom"/>
            <w:gridSpan w:val="2"/>
          </w:tcPr>
          <w:p>
            <w:pPr>
              <w:ind w:left="80"/>
              <w:spacing w:after="0"/>
              <w:rPr>
                <w:sz w:val="20"/>
                <w:szCs w:val="20"/>
                <w:color w:val="auto"/>
              </w:rPr>
            </w:pPr>
            <w:r>
              <w:rPr>
                <w:rFonts w:ascii="Arial" w:cs="Arial" w:eastAsia="Arial" w:hAnsi="Arial"/>
                <w:sz w:val="10"/>
                <w:szCs w:val="10"/>
                <w:color w:val="auto"/>
              </w:rPr>
              <w:t>Loan processing</w:t>
            </w:r>
          </w:p>
        </w:tc>
        <w:tc>
          <w:tcPr>
            <w:tcW w:w="12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b w:val="1"/>
                <w:bCs w:val="1"/>
                <w:color w:val="auto"/>
              </w:rPr>
              <w:t>2,269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323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ind w:right="12"/>
              <w:spacing w:after="0"/>
              <w:rPr>
                <w:sz w:val="20"/>
                <w:szCs w:val="20"/>
                <w:color w:val="auto"/>
              </w:rPr>
            </w:pPr>
            <w:r>
              <w:rPr>
                <w:rFonts w:ascii="Arial" w:cs="Arial" w:eastAsia="Arial" w:hAnsi="Arial"/>
                <w:sz w:val="10"/>
                <w:szCs w:val="10"/>
                <w:b w:val="1"/>
                <w:bCs w:val="1"/>
                <w:color w:val="auto"/>
              </w:rPr>
              <w:t>32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777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3,401</w:t>
            </w:r>
          </w:p>
        </w:tc>
        <w:tc>
          <w:tcPr>
            <w:tcW w:w="0" w:type="dxa"/>
            <w:vAlign w:val="bottom"/>
          </w:tcPr>
          <w:p>
            <w:pPr>
              <w:spacing w:after="0"/>
              <w:rPr>
                <w:sz w:val="1"/>
                <w:szCs w:val="1"/>
                <w:color w:val="auto"/>
              </w:rPr>
            </w:pPr>
          </w:p>
        </w:tc>
      </w:tr>
      <w:tr>
        <w:trPr>
          <w:trHeight w:val="136"/>
        </w:trPr>
        <w:tc>
          <w:tcPr>
            <w:tcW w:w="4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Merger-related expenses</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1,577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1,577</w:t>
            </w:r>
          </w:p>
        </w:tc>
        <w:tc>
          <w:tcPr>
            <w:tcW w:w="0" w:type="dxa"/>
            <w:vAlign w:val="bottom"/>
          </w:tcPr>
          <w:p>
            <w:pPr>
              <w:spacing w:after="0"/>
              <w:rPr>
                <w:sz w:val="1"/>
                <w:szCs w:val="1"/>
                <w:color w:val="auto"/>
              </w:rPr>
            </w:pPr>
          </w:p>
        </w:tc>
      </w:tr>
      <w:tr>
        <w:trPr>
          <w:trHeight w:val="134"/>
        </w:trPr>
        <w:tc>
          <w:tcPr>
            <w:tcW w:w="4260" w:type="dxa"/>
            <w:vAlign w:val="bottom"/>
            <w:gridSpan w:val="2"/>
          </w:tcPr>
          <w:p>
            <w:pPr>
              <w:ind w:left="80"/>
              <w:spacing w:after="0"/>
              <w:rPr>
                <w:sz w:val="20"/>
                <w:szCs w:val="20"/>
                <w:color w:val="auto"/>
              </w:rPr>
            </w:pPr>
            <w:r>
              <w:rPr>
                <w:rFonts w:ascii="Arial" w:cs="Arial" w:eastAsia="Arial" w:hAnsi="Arial"/>
                <w:sz w:val="10"/>
                <w:szCs w:val="10"/>
                <w:color w:val="auto"/>
              </w:rPr>
              <w:t>Operational and other card fraud related losses</w:t>
            </w:r>
          </w:p>
        </w:tc>
        <w:tc>
          <w:tcPr>
            <w:tcW w:w="12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b w:val="1"/>
                <w:bCs w:val="1"/>
                <w:color w:val="auto"/>
              </w:rPr>
              <w:t>210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2,055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ind w:right="12"/>
              <w:spacing w:after="0"/>
              <w:rPr>
                <w:sz w:val="20"/>
                <w:szCs w:val="20"/>
                <w:color w:val="auto"/>
              </w:rPr>
            </w:pPr>
            <w:r>
              <w:rPr>
                <w:rFonts w:ascii="Arial" w:cs="Arial" w:eastAsia="Arial" w:hAnsi="Arial"/>
                <w:sz w:val="10"/>
                <w:szCs w:val="10"/>
                <w:b w:val="1"/>
                <w:bCs w:val="1"/>
                <w:color w:val="auto"/>
              </w:rPr>
              <w:t>23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22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2,310</w:t>
            </w:r>
          </w:p>
        </w:tc>
        <w:tc>
          <w:tcPr>
            <w:tcW w:w="0" w:type="dxa"/>
            <w:vAlign w:val="bottom"/>
          </w:tcPr>
          <w:p>
            <w:pPr>
              <w:spacing w:after="0"/>
              <w:rPr>
                <w:sz w:val="1"/>
                <w:szCs w:val="1"/>
                <w:color w:val="auto"/>
              </w:rPr>
            </w:pPr>
          </w:p>
        </w:tc>
      </w:tr>
      <w:tr>
        <w:trPr>
          <w:trHeight w:val="136"/>
        </w:trPr>
        <w:tc>
          <w:tcPr>
            <w:tcW w:w="4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Regulatory assessment expenses</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1,744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661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200</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191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2,796</w:t>
            </w:r>
          </w:p>
        </w:tc>
        <w:tc>
          <w:tcPr>
            <w:tcW w:w="0" w:type="dxa"/>
            <w:vAlign w:val="bottom"/>
          </w:tcPr>
          <w:p>
            <w:pPr>
              <w:spacing w:after="0"/>
              <w:rPr>
                <w:sz w:val="1"/>
                <w:szCs w:val="1"/>
                <w:color w:val="auto"/>
              </w:rPr>
            </w:pPr>
          </w:p>
        </w:tc>
      </w:tr>
      <w:tr>
        <w:trPr>
          <w:trHeight w:val="134"/>
        </w:trPr>
        <w:tc>
          <w:tcPr>
            <w:tcW w:w="4260" w:type="dxa"/>
            <w:vAlign w:val="bottom"/>
            <w:tcBorders>
              <w:bottom w:val="single" w:sz="8" w:color="CCEEFF"/>
            </w:tcBorders>
            <w:gridSpan w:val="2"/>
          </w:tcPr>
          <w:p>
            <w:pPr>
              <w:ind w:left="80"/>
              <w:spacing w:after="0"/>
              <w:rPr>
                <w:sz w:val="20"/>
                <w:szCs w:val="20"/>
                <w:color w:val="auto"/>
              </w:rPr>
            </w:pPr>
            <w:r>
              <w:rPr>
                <w:rFonts w:ascii="Arial" w:cs="Arial" w:eastAsia="Arial" w:hAnsi="Arial"/>
                <w:sz w:val="10"/>
                <w:szCs w:val="10"/>
                <w:color w:val="auto"/>
              </w:rPr>
              <w:t>Other operating</w:t>
            </w: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3,749</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1,616</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1,726</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383</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7,474</w:t>
            </w:r>
          </w:p>
        </w:tc>
        <w:tc>
          <w:tcPr>
            <w:tcW w:w="0" w:type="dxa"/>
            <w:vAlign w:val="bottom"/>
          </w:tcPr>
          <w:p>
            <w:pPr>
              <w:spacing w:after="0"/>
              <w:rPr>
                <w:sz w:val="1"/>
                <w:szCs w:val="1"/>
                <w:color w:val="auto"/>
              </w:rPr>
            </w:pPr>
          </w:p>
        </w:tc>
      </w:tr>
      <w:tr>
        <w:trPr>
          <w:trHeight w:val="124"/>
        </w:trPr>
        <w:tc>
          <w:tcPr>
            <w:tcW w:w="426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Total noninterest expenses</w:t>
            </w:r>
          </w:p>
        </w:tc>
        <w:tc>
          <w:tcPr>
            <w:tcW w:w="12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63,467</w:t>
            </w:r>
          </w:p>
        </w:tc>
        <w:tc>
          <w:tcPr>
            <w:tcW w:w="8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47,282</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13,088</w:t>
            </w:r>
          </w:p>
        </w:tc>
        <w:tc>
          <w:tcPr>
            <w:tcW w:w="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8,752</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132,589</w:t>
            </w:r>
          </w:p>
        </w:tc>
        <w:tc>
          <w:tcPr>
            <w:tcW w:w="0" w:type="dxa"/>
            <w:vAlign w:val="bottom"/>
          </w:tcPr>
          <w:p>
            <w:pPr>
              <w:spacing w:after="0"/>
              <w:rPr>
                <w:sz w:val="1"/>
                <w:szCs w:val="1"/>
                <w:color w:val="auto"/>
              </w:rPr>
            </w:pPr>
          </w:p>
        </w:tc>
      </w:tr>
      <w:tr>
        <w:trPr>
          <w:trHeight w:val="141"/>
        </w:trPr>
        <w:tc>
          <w:tcPr>
            <w:tcW w:w="4260" w:type="dxa"/>
            <w:vAlign w:val="bottom"/>
            <w:tcBorders>
              <w:bottom w:val="single" w:sz="8" w:color="CCEEFF"/>
            </w:tcBorders>
            <w:gridSpan w:val="2"/>
          </w:tcPr>
          <w:p>
            <w:pPr>
              <w:ind w:left="80"/>
              <w:spacing w:after="0"/>
              <w:rPr>
                <w:sz w:val="20"/>
                <w:szCs w:val="20"/>
                <w:color w:val="auto"/>
              </w:rPr>
            </w:pPr>
            <w:r>
              <w:rPr>
                <w:rFonts w:ascii="Arial" w:cs="Arial" w:eastAsia="Arial" w:hAnsi="Arial"/>
                <w:sz w:val="10"/>
                <w:szCs w:val="10"/>
                <w:b w:val="1"/>
                <w:bCs w:val="1"/>
                <w:color w:val="auto"/>
              </w:rPr>
              <w:t>Net income (loss) before taxes</w:t>
            </w: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46,451</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3,214</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5,821</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(3,615)</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51,871</w:t>
            </w:r>
          </w:p>
        </w:tc>
        <w:tc>
          <w:tcPr>
            <w:tcW w:w="0" w:type="dxa"/>
            <w:vAlign w:val="bottom"/>
          </w:tcPr>
          <w:p>
            <w:pPr>
              <w:spacing w:after="0"/>
              <w:rPr>
                <w:sz w:val="1"/>
                <w:szCs w:val="1"/>
                <w:color w:val="auto"/>
              </w:rPr>
            </w:pPr>
          </w:p>
        </w:tc>
      </w:tr>
      <w:tr>
        <w:trPr>
          <w:trHeight w:val="126"/>
        </w:trPr>
        <w:tc>
          <w:tcPr>
            <w:tcW w:w="216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rPr>
                <w:sz w:val="20"/>
                <w:szCs w:val="20"/>
                <w:color w:val="auto"/>
              </w:rPr>
            </w:pPr>
            <w:r>
              <w:rPr>
                <w:rFonts w:ascii="Arial" w:cs="Arial" w:eastAsia="Arial" w:hAnsi="Arial"/>
                <w:sz w:val="10"/>
                <w:szCs w:val="10"/>
                <w:b w:val="1"/>
                <w:bCs w:val="1"/>
                <w:color w:val="auto"/>
              </w:rPr>
              <w:t>Total assets</w:t>
            </w: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3,607,589</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144,462</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28,508</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21,994</w:t>
            </w:r>
          </w:p>
        </w:tc>
        <w:tc>
          <w:tcPr>
            <w:tcW w:w="80" w:type="dxa"/>
            <w:vAlign w:val="bottom"/>
          </w:tcPr>
          <w:p>
            <w:pPr>
              <w:spacing w:after="0"/>
              <w:rPr>
                <w:sz w:val="11"/>
                <w:szCs w:val="11"/>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3,802,553</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2"/>
                <w:szCs w:val="12"/>
                <w:color w:val="auto"/>
              </w:rPr>
              <w:t>_______________</w:t>
            </w: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16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48" w:hanging="148"/>
        <w:spacing w:after="0"/>
        <w:tabs>
          <w:tab w:leader="none" w:pos="148" w:val="left"/>
        </w:tabs>
        <w:numPr>
          <w:ilvl w:val="0"/>
          <w:numId w:val="33"/>
        </w:numPr>
        <w:rPr>
          <w:rFonts w:ascii="Arial" w:cs="Arial" w:eastAsia="Arial" w:hAnsi="Arial"/>
          <w:sz w:val="11"/>
          <w:szCs w:val="11"/>
          <w:color w:val="auto"/>
          <w:vertAlign w:val="superscript"/>
        </w:rPr>
      </w:pPr>
      <w:r>
        <w:rPr>
          <w:rFonts w:ascii="Arial" w:cs="Arial" w:eastAsia="Arial" w:hAnsi="Arial"/>
          <w:sz w:val="8"/>
          <w:szCs w:val="8"/>
          <w:color w:val="auto"/>
        </w:rPr>
        <w:t>Gross government loan servicing revenue totaled $18.9 million, including $4.2 million of servicing fees earned from the Commercial Bank by Windsor</w:t>
      </w:r>
      <w:r>
        <w:rPr>
          <w:rFonts w:ascii="Arial" w:cs="Arial" w:eastAsia="Arial" w:hAnsi="Arial"/>
          <w:sz w:val="10"/>
          <w:szCs w:val="10"/>
          <w:color w:val="auto"/>
          <w:vertAlign w:val="superscript"/>
        </w:rPr>
        <w:t>TM</w:t>
      </w:r>
      <w:r>
        <w:rPr>
          <w:rFonts w:ascii="Arial" w:cs="Arial" w:eastAsia="Arial" w:hAnsi="Arial"/>
          <w:sz w:val="8"/>
          <w:szCs w:val="8"/>
          <w:color w:val="auto"/>
        </w:rPr>
        <w:t>, for the nine months ended September 30, 2026.</w:t>
      </w:r>
    </w:p>
    <w:p>
      <w:pPr>
        <w:spacing w:after="0" w:line="200" w:lineRule="exact"/>
        <w:rPr>
          <w:sz w:val="20"/>
          <w:szCs w:val="20"/>
          <w:color w:val="auto"/>
        </w:rPr>
      </w:pPr>
    </w:p>
    <w:p>
      <w:pPr>
        <w:spacing w:after="0" w:line="304" w:lineRule="exact"/>
        <w:rPr>
          <w:sz w:val="20"/>
          <w:szCs w:val="20"/>
          <w:color w:val="auto"/>
        </w:rPr>
      </w:pPr>
    </w:p>
    <w:p>
      <w:pPr>
        <w:ind w:left="5588"/>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0408"/>
          </w:cols>
          <w:pgMar w:left="292" w:top="833" w:right="1199" w:bottom="1440" w:gutter="0" w:footer="0" w:header="0"/>
        </w:sectPr>
      </w:pPr>
    </w:p>
    <w:bookmarkStart w:id="24" w:name="page25"/>
    <w:bookmarkEnd w:id="24"/>
    <w:p>
      <w:pPr>
        <w:ind w:left="8"/>
        <w:spacing w:after="0"/>
        <w:rPr>
          <w:sz w:val="20"/>
          <w:szCs w:val="20"/>
          <w:color w:val="auto"/>
        </w:rPr>
      </w:pPr>
      <w:r>
        <w:rPr>
          <w:rFonts w:ascii="Arial" w:cs="Arial" w:eastAsia="Arial" w:hAnsi="Arial"/>
          <w:sz w:val="11"/>
          <w:szCs w:val="11"/>
          <w:b w:val="1"/>
          <w:bCs w:val="1"/>
          <w:color w:val="auto"/>
        </w:rPr>
        <w:t>Segments</w:t>
      </w:r>
    </w:p>
    <w:p>
      <w:pPr>
        <w:spacing w:after="0" w:line="10"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1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5"/>
              </w:rPr>
              <w:t>For the nine months ended September 30, 2025</w:t>
            </w:r>
          </w:p>
        </w:tc>
        <w:tc>
          <w:tcPr>
            <w:tcW w:w="2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7"/>
                <w:szCs w:val="7"/>
                <w:color w:val="auto"/>
              </w:rPr>
              <w:t>(in thousands)</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99"/>
              </w:rPr>
              <w:t>Commercial Bank</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OpenSky</w:t>
            </w:r>
            <w:r>
              <w:rPr>
                <w:rFonts w:ascii="Arial" w:cs="Arial" w:eastAsia="Arial" w:hAnsi="Arial"/>
                <w:sz w:val="12"/>
                <w:szCs w:val="12"/>
                <w:b w:val="1"/>
                <w:bCs w:val="1"/>
                <w:color w:val="auto"/>
                <w:vertAlign w:val="superscript"/>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w w:val="94"/>
              </w:rPr>
              <w:t>Windsor Advantage</w:t>
            </w:r>
            <w:r>
              <w:rPr>
                <w:rFonts w:ascii="Arial" w:cs="Arial" w:eastAsia="Arial" w:hAnsi="Arial"/>
                <w:sz w:val="12"/>
                <w:szCs w:val="12"/>
                <w:b w:val="1"/>
                <w:bCs w:val="1"/>
                <w:color w:val="auto"/>
                <w:w w:val="94"/>
                <w:vertAlign w:val="superscript"/>
              </w:rPr>
              <w:t>™</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b w:val="1"/>
                <w:bCs w:val="1"/>
                <w:color w:val="auto"/>
              </w:rPr>
              <w:t>CBHL</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124"/>
        </w:trPr>
        <w:tc>
          <w:tcPr>
            <w:tcW w:w="42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Interest income</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147,128</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44,566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543</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192,237</w:t>
            </w:r>
          </w:p>
        </w:tc>
        <w:tc>
          <w:tcPr>
            <w:tcW w:w="0" w:type="dxa"/>
            <w:vAlign w:val="bottom"/>
          </w:tcPr>
          <w:p>
            <w:pPr>
              <w:spacing w:after="0"/>
              <w:rPr>
                <w:sz w:val="1"/>
                <w:szCs w:val="1"/>
                <w:color w:val="auto"/>
              </w:rPr>
            </w:pPr>
          </w:p>
        </w:tc>
      </w:tr>
      <w:tr>
        <w:trPr>
          <w:trHeight w:val="134"/>
        </w:trPr>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Interest expense</w:t>
            </w: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46,273</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251</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46,524</w:t>
            </w:r>
          </w:p>
        </w:tc>
        <w:tc>
          <w:tcPr>
            <w:tcW w:w="0" w:type="dxa"/>
            <w:vAlign w:val="bottom"/>
          </w:tcPr>
          <w:p>
            <w:pPr>
              <w:spacing w:after="0"/>
              <w:rPr>
                <w:sz w:val="1"/>
                <w:szCs w:val="1"/>
                <w:color w:val="auto"/>
              </w:rPr>
            </w:pPr>
          </w:p>
        </w:tc>
      </w:tr>
      <w:tr>
        <w:trPr>
          <w:trHeight w:val="125"/>
        </w:trPr>
        <w:tc>
          <w:tcPr>
            <w:tcW w:w="4260" w:type="dxa"/>
            <w:vAlign w:val="bottom"/>
            <w:gridSpan w:val="2"/>
            <w:shd w:val="clear" w:color="auto" w:fill="CCEEFF"/>
          </w:tcPr>
          <w:p>
            <w:pPr>
              <w:ind w:left="80"/>
              <w:spacing w:after="0"/>
              <w:rPr>
                <w:sz w:val="20"/>
                <w:szCs w:val="20"/>
                <w:color w:val="auto"/>
              </w:rPr>
            </w:pPr>
            <w:r>
              <w:rPr>
                <w:rFonts w:ascii="Arial" w:cs="Arial" w:eastAsia="Arial" w:hAnsi="Arial"/>
                <w:sz w:val="10"/>
                <w:szCs w:val="10"/>
                <w:b w:val="1"/>
                <w:bCs w:val="1"/>
                <w:color w:val="auto"/>
              </w:rPr>
              <w:t>Net interest income</w:t>
            </w: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100,855</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44,566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292</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145,713</w:t>
            </w:r>
          </w:p>
        </w:tc>
        <w:tc>
          <w:tcPr>
            <w:tcW w:w="0" w:type="dxa"/>
            <w:vAlign w:val="bottom"/>
          </w:tcPr>
          <w:p>
            <w:pPr>
              <w:spacing w:after="0"/>
              <w:rPr>
                <w:sz w:val="1"/>
                <w:szCs w:val="1"/>
                <w:color w:val="auto"/>
              </w:rPr>
            </w:pPr>
          </w:p>
        </w:tc>
      </w:tr>
      <w:tr>
        <w:trPr>
          <w:trHeight w:val="134"/>
        </w:trPr>
        <w:tc>
          <w:tcPr>
            <w:tcW w:w="4260" w:type="dxa"/>
            <w:vAlign w:val="bottom"/>
            <w:gridSpan w:val="2"/>
          </w:tcPr>
          <w:p>
            <w:pPr>
              <w:spacing w:after="0"/>
              <w:rPr>
                <w:sz w:val="20"/>
                <w:szCs w:val="20"/>
                <w:color w:val="auto"/>
              </w:rPr>
            </w:pPr>
            <w:r>
              <w:rPr>
                <w:rFonts w:ascii="Arial" w:cs="Arial" w:eastAsia="Arial" w:hAnsi="Arial"/>
                <w:sz w:val="10"/>
                <w:szCs w:val="10"/>
                <w:color w:val="auto"/>
              </w:rPr>
              <w:t>Provision for credit losses</w:t>
            </w:r>
          </w:p>
        </w:tc>
        <w:tc>
          <w:tcPr>
            <w:tcW w:w="12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b w:val="1"/>
                <w:bCs w:val="1"/>
                <w:color w:val="auto"/>
              </w:rPr>
              <w:t>3,457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7,520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10,977</w:t>
            </w:r>
          </w:p>
        </w:tc>
        <w:tc>
          <w:tcPr>
            <w:tcW w:w="0" w:type="dxa"/>
            <w:vAlign w:val="bottom"/>
          </w:tcPr>
          <w:p>
            <w:pPr>
              <w:spacing w:after="0"/>
              <w:rPr>
                <w:sz w:val="1"/>
                <w:szCs w:val="1"/>
                <w:color w:val="auto"/>
              </w:rPr>
            </w:pPr>
          </w:p>
        </w:tc>
      </w:tr>
      <w:tr>
        <w:trPr>
          <w:trHeight w:val="136"/>
        </w:trPr>
        <w:tc>
          <w:tcPr>
            <w:tcW w:w="42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Provision for credit losses on unfunded commitments</w:t>
            </w:r>
          </w:p>
        </w:tc>
        <w:tc>
          <w:tcPr>
            <w:tcW w:w="1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217</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217</w:t>
            </w:r>
          </w:p>
        </w:tc>
        <w:tc>
          <w:tcPr>
            <w:tcW w:w="0" w:type="dxa"/>
            <w:vAlign w:val="bottom"/>
          </w:tcPr>
          <w:p>
            <w:pPr>
              <w:spacing w:after="0"/>
              <w:rPr>
                <w:sz w:val="1"/>
                <w:szCs w:val="1"/>
                <w:color w:val="auto"/>
              </w:rPr>
            </w:pPr>
          </w:p>
        </w:tc>
      </w:tr>
      <w:tr>
        <w:trPr>
          <w:trHeight w:val="123"/>
        </w:trPr>
        <w:tc>
          <w:tcPr>
            <w:tcW w:w="4260" w:type="dxa"/>
            <w:vAlign w:val="bottom"/>
            <w:gridSpan w:val="2"/>
          </w:tcPr>
          <w:p>
            <w:pPr>
              <w:ind w:left="80"/>
              <w:spacing w:after="0"/>
              <w:rPr>
                <w:sz w:val="20"/>
                <w:szCs w:val="20"/>
                <w:color w:val="auto"/>
              </w:rPr>
            </w:pPr>
            <w:r>
              <w:rPr>
                <w:rFonts w:ascii="Arial" w:cs="Arial" w:eastAsia="Arial" w:hAnsi="Arial"/>
                <w:sz w:val="10"/>
                <w:szCs w:val="10"/>
                <w:b w:val="1"/>
                <w:bCs w:val="1"/>
                <w:color w:val="auto"/>
              </w:rPr>
              <w:t>Net interest income after provision</w:t>
            </w:r>
          </w:p>
        </w:tc>
        <w:tc>
          <w:tcPr>
            <w:tcW w:w="120" w:type="dxa"/>
            <w:vAlign w:val="bottom"/>
          </w:tcPr>
          <w:p>
            <w:pPr>
              <w:spacing w:after="0"/>
              <w:rPr>
                <w:sz w:val="10"/>
                <w:szCs w:val="10"/>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b w:val="1"/>
                <w:bCs w:val="1"/>
                <w:color w:val="auto"/>
              </w:rPr>
              <w:t>97,181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37,046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292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134,519</w:t>
            </w:r>
          </w:p>
        </w:tc>
        <w:tc>
          <w:tcPr>
            <w:tcW w:w="0" w:type="dxa"/>
            <w:vAlign w:val="bottom"/>
          </w:tcPr>
          <w:p>
            <w:pPr>
              <w:spacing w:after="0"/>
              <w:rPr>
                <w:sz w:val="1"/>
                <w:szCs w:val="1"/>
                <w:color w:val="auto"/>
              </w:rPr>
            </w:pPr>
          </w:p>
        </w:tc>
      </w:tr>
      <w:tr>
        <w:trPr>
          <w:trHeight w:val="136"/>
        </w:trPr>
        <w:tc>
          <w:tcPr>
            <w:tcW w:w="42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Noninterest income</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260" w:type="dxa"/>
            <w:vAlign w:val="bottom"/>
            <w:gridSpan w:val="2"/>
          </w:tcPr>
          <w:p>
            <w:pPr>
              <w:ind w:left="80"/>
              <w:spacing w:after="0"/>
              <w:rPr>
                <w:sz w:val="20"/>
                <w:szCs w:val="20"/>
                <w:color w:val="auto"/>
              </w:rPr>
            </w:pPr>
            <w:r>
              <w:rPr>
                <w:rFonts w:ascii="Arial" w:cs="Arial" w:eastAsia="Arial" w:hAnsi="Arial"/>
                <w:sz w:val="10"/>
                <w:szCs w:val="10"/>
                <w:color w:val="auto"/>
              </w:rPr>
              <w:t>Service charges on deposits</w:t>
            </w:r>
          </w:p>
        </w:tc>
        <w:tc>
          <w:tcPr>
            <w:tcW w:w="12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b w:val="1"/>
                <w:bCs w:val="1"/>
                <w:color w:val="auto"/>
              </w:rPr>
              <w:t>945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945</w:t>
            </w:r>
          </w:p>
        </w:tc>
        <w:tc>
          <w:tcPr>
            <w:tcW w:w="0" w:type="dxa"/>
            <w:vAlign w:val="bottom"/>
          </w:tcPr>
          <w:p>
            <w:pPr>
              <w:spacing w:after="0"/>
              <w:rPr>
                <w:sz w:val="1"/>
                <w:szCs w:val="1"/>
                <w:color w:val="auto"/>
              </w:rPr>
            </w:pPr>
          </w:p>
        </w:tc>
      </w:tr>
      <w:tr>
        <w:trPr>
          <w:trHeight w:val="136"/>
        </w:trPr>
        <w:tc>
          <w:tcPr>
            <w:tcW w:w="4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Credit card fees</w:t>
            </w:r>
          </w:p>
        </w:tc>
        <w:tc>
          <w:tcPr>
            <w:tcW w:w="12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12,529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12,529</w:t>
            </w:r>
          </w:p>
        </w:tc>
        <w:tc>
          <w:tcPr>
            <w:tcW w:w="0" w:type="dxa"/>
            <w:vAlign w:val="bottom"/>
          </w:tcPr>
          <w:p>
            <w:pPr>
              <w:spacing w:after="0"/>
              <w:rPr>
                <w:sz w:val="1"/>
                <w:szCs w:val="1"/>
                <w:color w:val="auto"/>
              </w:rPr>
            </w:pPr>
          </w:p>
        </w:tc>
      </w:tr>
      <w:tr>
        <w:trPr>
          <w:trHeight w:val="134"/>
        </w:trPr>
        <w:tc>
          <w:tcPr>
            <w:tcW w:w="4260" w:type="dxa"/>
            <w:vAlign w:val="bottom"/>
            <w:gridSpan w:val="2"/>
          </w:tcPr>
          <w:p>
            <w:pPr>
              <w:ind w:left="80"/>
              <w:spacing w:after="0"/>
              <w:rPr>
                <w:sz w:val="20"/>
                <w:szCs w:val="20"/>
                <w:color w:val="auto"/>
              </w:rPr>
            </w:pPr>
            <w:r>
              <w:rPr>
                <w:rFonts w:ascii="Arial" w:cs="Arial" w:eastAsia="Arial" w:hAnsi="Arial"/>
                <w:sz w:val="10"/>
                <w:szCs w:val="10"/>
                <w:color w:val="auto"/>
              </w:rPr>
              <w:t>Mortgage banking revenue</w:t>
            </w:r>
          </w:p>
        </w:tc>
        <w:tc>
          <w:tcPr>
            <w:tcW w:w="12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b w:val="1"/>
                <w:bCs w:val="1"/>
                <w:color w:val="auto"/>
              </w:rPr>
              <w:t>1,043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4,469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5,512</w:t>
            </w:r>
          </w:p>
        </w:tc>
        <w:tc>
          <w:tcPr>
            <w:tcW w:w="0" w:type="dxa"/>
            <w:vAlign w:val="bottom"/>
          </w:tcPr>
          <w:p>
            <w:pPr>
              <w:spacing w:after="0"/>
              <w:rPr>
                <w:sz w:val="1"/>
                <w:szCs w:val="1"/>
                <w:color w:val="auto"/>
              </w:rPr>
            </w:pPr>
          </w:p>
        </w:tc>
      </w:tr>
      <w:tr>
        <w:trPr>
          <w:trHeight w:val="136"/>
        </w:trPr>
        <w:tc>
          <w:tcPr>
            <w:tcW w:w="4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Government lending revenue</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4,222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4,222</w:t>
            </w:r>
          </w:p>
        </w:tc>
        <w:tc>
          <w:tcPr>
            <w:tcW w:w="0" w:type="dxa"/>
            <w:vAlign w:val="bottom"/>
          </w:tcPr>
          <w:p>
            <w:pPr>
              <w:spacing w:after="0"/>
              <w:rPr>
                <w:sz w:val="1"/>
                <w:szCs w:val="1"/>
                <w:color w:val="auto"/>
              </w:rPr>
            </w:pPr>
          </w:p>
        </w:tc>
      </w:tr>
      <w:tr>
        <w:trPr>
          <w:trHeight w:val="135"/>
        </w:trPr>
        <w:tc>
          <w:tcPr>
            <w:tcW w:w="4260" w:type="dxa"/>
            <w:vAlign w:val="bottom"/>
            <w:gridSpan w:val="2"/>
          </w:tcPr>
          <w:p>
            <w:pPr>
              <w:ind w:left="80"/>
              <w:spacing w:after="0" w:line="135" w:lineRule="exact"/>
              <w:rPr>
                <w:sz w:val="20"/>
                <w:szCs w:val="20"/>
                <w:color w:val="auto"/>
              </w:rPr>
            </w:pPr>
            <w:r>
              <w:rPr>
                <w:rFonts w:ascii="Arial" w:cs="Arial" w:eastAsia="Arial" w:hAnsi="Arial"/>
                <w:sz w:val="10"/>
                <w:szCs w:val="10"/>
                <w:color w:val="auto"/>
              </w:rPr>
              <w:t>Government loan servicing revenue</w:t>
            </w:r>
            <w:r>
              <w:rPr>
                <w:rFonts w:ascii="Arial" w:cs="Arial" w:eastAsia="Arial" w:hAnsi="Arial"/>
                <w:sz w:val="12"/>
                <w:szCs w:val="12"/>
                <w:color w:val="auto"/>
                <w:vertAlign w:val="superscript"/>
              </w:rPr>
              <w:t>(1)</w:t>
            </w:r>
          </w:p>
        </w:tc>
        <w:tc>
          <w:tcPr>
            <w:tcW w:w="12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b w:val="1"/>
                <w:bCs w:val="1"/>
                <w:color w:val="auto"/>
              </w:rPr>
              <w:t>(3,164)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11"/>
                <w:szCs w:val="11"/>
                <w:color w:val="auto"/>
              </w:rPr>
            </w:pPr>
          </w:p>
        </w:tc>
        <w:tc>
          <w:tcPr>
            <w:tcW w:w="1080" w:type="dxa"/>
            <w:vAlign w:val="bottom"/>
          </w:tcPr>
          <w:p>
            <w:pPr>
              <w:jc w:val="right"/>
              <w:ind w:right="12"/>
              <w:spacing w:after="0"/>
              <w:rPr>
                <w:sz w:val="20"/>
                <w:szCs w:val="20"/>
                <w:color w:val="auto"/>
              </w:rPr>
            </w:pPr>
            <w:r>
              <w:rPr>
                <w:rFonts w:ascii="Arial" w:cs="Arial" w:eastAsia="Arial" w:hAnsi="Arial"/>
                <w:sz w:val="10"/>
                <w:szCs w:val="10"/>
                <w:b w:val="1"/>
                <w:bCs w:val="1"/>
                <w:color w:val="auto"/>
              </w:rPr>
              <w:t>14,641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11,477</w:t>
            </w:r>
          </w:p>
        </w:tc>
        <w:tc>
          <w:tcPr>
            <w:tcW w:w="0" w:type="dxa"/>
            <w:vAlign w:val="bottom"/>
          </w:tcPr>
          <w:p>
            <w:pPr>
              <w:spacing w:after="0"/>
              <w:rPr>
                <w:sz w:val="1"/>
                <w:szCs w:val="1"/>
                <w:color w:val="auto"/>
              </w:rPr>
            </w:pPr>
          </w:p>
        </w:tc>
      </w:tr>
      <w:tr>
        <w:trPr>
          <w:trHeight w:val="135"/>
        </w:trPr>
        <w:tc>
          <w:tcPr>
            <w:tcW w:w="4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Loan servicing rights</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250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250</w:t>
            </w:r>
          </w:p>
        </w:tc>
        <w:tc>
          <w:tcPr>
            <w:tcW w:w="0" w:type="dxa"/>
            <w:vAlign w:val="bottom"/>
          </w:tcPr>
          <w:p>
            <w:pPr>
              <w:spacing w:after="0"/>
              <w:rPr>
                <w:sz w:val="1"/>
                <w:szCs w:val="1"/>
                <w:color w:val="auto"/>
              </w:rPr>
            </w:pPr>
          </w:p>
        </w:tc>
      </w:tr>
      <w:tr>
        <w:trPr>
          <w:trHeight w:val="134"/>
        </w:trPr>
        <w:tc>
          <w:tcPr>
            <w:tcW w:w="4260" w:type="dxa"/>
            <w:vAlign w:val="bottom"/>
            <w:gridSpan w:val="2"/>
          </w:tcPr>
          <w:p>
            <w:pPr>
              <w:ind w:left="80"/>
              <w:spacing w:after="0"/>
              <w:rPr>
                <w:sz w:val="20"/>
                <w:szCs w:val="20"/>
                <w:color w:val="auto"/>
              </w:rPr>
            </w:pPr>
            <w:r>
              <w:rPr>
                <w:rFonts w:ascii="Arial" w:cs="Arial" w:eastAsia="Arial" w:hAnsi="Arial"/>
                <w:sz w:val="10"/>
                <w:szCs w:val="10"/>
                <w:color w:val="auto"/>
              </w:rPr>
              <w:t>Other income</w:t>
            </w:r>
          </w:p>
        </w:tc>
        <w:tc>
          <w:tcPr>
            <w:tcW w:w="12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b w:val="1"/>
                <w:bCs w:val="1"/>
                <w:color w:val="auto"/>
              </w:rPr>
              <w:t>1,215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570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1,788</w:t>
            </w:r>
          </w:p>
        </w:tc>
        <w:tc>
          <w:tcPr>
            <w:tcW w:w="0" w:type="dxa"/>
            <w:vAlign w:val="bottom"/>
          </w:tcPr>
          <w:p>
            <w:pPr>
              <w:spacing w:after="0"/>
              <w:rPr>
                <w:sz w:val="1"/>
                <w:szCs w:val="1"/>
                <w:color w:val="auto"/>
              </w:rPr>
            </w:pPr>
          </w:p>
        </w:tc>
      </w:tr>
      <w:tr>
        <w:trPr>
          <w:trHeight w:val="125"/>
        </w:trPr>
        <w:tc>
          <w:tcPr>
            <w:tcW w:w="42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Total noninterest income</w:t>
            </w:r>
          </w:p>
        </w:tc>
        <w:tc>
          <w:tcPr>
            <w:tcW w:w="12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4,511</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12,532</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14,641</w:t>
            </w: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5,039</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36,723</w:t>
            </w:r>
          </w:p>
        </w:tc>
        <w:tc>
          <w:tcPr>
            <w:tcW w:w="0" w:type="dxa"/>
            <w:vAlign w:val="bottom"/>
          </w:tcPr>
          <w:p>
            <w:pPr>
              <w:spacing w:after="0"/>
              <w:rPr>
                <w:sz w:val="1"/>
                <w:szCs w:val="1"/>
                <w:color w:val="auto"/>
              </w:rPr>
            </w:pPr>
          </w:p>
        </w:tc>
      </w:tr>
      <w:tr>
        <w:trPr>
          <w:trHeight w:val="134"/>
        </w:trPr>
        <w:tc>
          <w:tcPr>
            <w:tcW w:w="4260" w:type="dxa"/>
            <w:vAlign w:val="bottom"/>
            <w:gridSpan w:val="2"/>
          </w:tcPr>
          <w:p>
            <w:pPr>
              <w:spacing w:after="0"/>
              <w:rPr>
                <w:sz w:val="20"/>
                <w:szCs w:val="20"/>
                <w:color w:val="auto"/>
              </w:rPr>
            </w:pPr>
            <w:r>
              <w:rPr>
                <w:rFonts w:ascii="Arial" w:cs="Arial" w:eastAsia="Arial" w:hAnsi="Arial"/>
                <w:sz w:val="10"/>
                <w:szCs w:val="10"/>
                <w:b w:val="1"/>
                <w:bCs w:val="1"/>
                <w:color w:val="auto"/>
              </w:rPr>
              <w:t>Noninterest expenses</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Salaries and employee benefits</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32,275</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10,019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7,370</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4,591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54,255</w:t>
            </w:r>
          </w:p>
        </w:tc>
        <w:tc>
          <w:tcPr>
            <w:tcW w:w="0" w:type="dxa"/>
            <w:vAlign w:val="bottom"/>
          </w:tcPr>
          <w:p>
            <w:pPr>
              <w:spacing w:after="0"/>
              <w:rPr>
                <w:sz w:val="1"/>
                <w:szCs w:val="1"/>
                <w:color w:val="auto"/>
              </w:rPr>
            </w:pPr>
          </w:p>
        </w:tc>
      </w:tr>
      <w:tr>
        <w:trPr>
          <w:trHeight w:val="134"/>
        </w:trPr>
        <w:tc>
          <w:tcPr>
            <w:tcW w:w="4260" w:type="dxa"/>
            <w:vAlign w:val="bottom"/>
            <w:gridSpan w:val="2"/>
          </w:tcPr>
          <w:p>
            <w:pPr>
              <w:ind w:left="80"/>
              <w:spacing w:after="0"/>
              <w:rPr>
                <w:sz w:val="20"/>
                <w:szCs w:val="20"/>
                <w:color w:val="auto"/>
              </w:rPr>
            </w:pPr>
            <w:r>
              <w:rPr>
                <w:rFonts w:ascii="Arial" w:cs="Arial" w:eastAsia="Arial" w:hAnsi="Arial"/>
                <w:sz w:val="10"/>
                <w:szCs w:val="10"/>
                <w:color w:val="auto"/>
              </w:rPr>
              <w:t>Occupancy and equipment</w:t>
            </w:r>
          </w:p>
        </w:tc>
        <w:tc>
          <w:tcPr>
            <w:tcW w:w="12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b w:val="1"/>
                <w:bCs w:val="1"/>
                <w:color w:val="auto"/>
              </w:rPr>
              <w:t>5,115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1,693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ind w:right="12"/>
              <w:spacing w:after="0"/>
              <w:rPr>
                <w:sz w:val="20"/>
                <w:szCs w:val="20"/>
                <w:color w:val="auto"/>
              </w:rPr>
            </w:pPr>
            <w:r>
              <w:rPr>
                <w:rFonts w:ascii="Arial" w:cs="Arial" w:eastAsia="Arial" w:hAnsi="Arial"/>
                <w:sz w:val="10"/>
                <w:szCs w:val="10"/>
                <w:b w:val="1"/>
                <w:bCs w:val="1"/>
                <w:color w:val="auto"/>
              </w:rPr>
              <w:t>1,495</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451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8,754</w:t>
            </w:r>
          </w:p>
        </w:tc>
        <w:tc>
          <w:tcPr>
            <w:tcW w:w="0" w:type="dxa"/>
            <w:vAlign w:val="bottom"/>
          </w:tcPr>
          <w:p>
            <w:pPr>
              <w:spacing w:after="0"/>
              <w:rPr>
                <w:sz w:val="1"/>
                <w:szCs w:val="1"/>
                <w:color w:val="auto"/>
              </w:rPr>
            </w:pPr>
          </w:p>
        </w:tc>
      </w:tr>
      <w:tr>
        <w:trPr>
          <w:trHeight w:val="136"/>
        </w:trPr>
        <w:tc>
          <w:tcPr>
            <w:tcW w:w="4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Professional fees</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3,802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1,714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389</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760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6,665</w:t>
            </w:r>
          </w:p>
        </w:tc>
        <w:tc>
          <w:tcPr>
            <w:tcW w:w="0" w:type="dxa"/>
            <w:vAlign w:val="bottom"/>
          </w:tcPr>
          <w:p>
            <w:pPr>
              <w:spacing w:after="0"/>
              <w:rPr>
                <w:sz w:val="1"/>
                <w:szCs w:val="1"/>
                <w:color w:val="auto"/>
              </w:rPr>
            </w:pPr>
          </w:p>
        </w:tc>
      </w:tr>
      <w:tr>
        <w:trPr>
          <w:trHeight w:val="134"/>
        </w:trPr>
        <w:tc>
          <w:tcPr>
            <w:tcW w:w="4260" w:type="dxa"/>
            <w:vAlign w:val="bottom"/>
            <w:gridSpan w:val="2"/>
          </w:tcPr>
          <w:p>
            <w:pPr>
              <w:ind w:left="80"/>
              <w:spacing w:after="0"/>
              <w:rPr>
                <w:sz w:val="20"/>
                <w:szCs w:val="20"/>
                <w:color w:val="auto"/>
              </w:rPr>
            </w:pPr>
            <w:r>
              <w:rPr>
                <w:rFonts w:ascii="Arial" w:cs="Arial" w:eastAsia="Arial" w:hAnsi="Arial"/>
                <w:sz w:val="10"/>
                <w:szCs w:val="10"/>
                <w:color w:val="auto"/>
              </w:rPr>
              <w:t>Data processing</w:t>
            </w:r>
          </w:p>
        </w:tc>
        <w:tc>
          <w:tcPr>
            <w:tcW w:w="12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b w:val="1"/>
                <w:bCs w:val="1"/>
                <w:color w:val="auto"/>
              </w:rPr>
              <w:t>1,244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20,633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ind w:right="12"/>
              <w:spacing w:after="0"/>
              <w:rPr>
                <w:sz w:val="20"/>
                <w:szCs w:val="20"/>
                <w:color w:val="auto"/>
              </w:rPr>
            </w:pPr>
            <w:r>
              <w:rPr>
                <w:rFonts w:ascii="Arial" w:cs="Arial" w:eastAsia="Arial" w:hAnsi="Arial"/>
                <w:sz w:val="10"/>
                <w:szCs w:val="10"/>
                <w:b w:val="1"/>
                <w:bCs w:val="1"/>
                <w:color w:val="auto"/>
              </w:rPr>
              <w:t>283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126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22,286</w:t>
            </w:r>
          </w:p>
        </w:tc>
        <w:tc>
          <w:tcPr>
            <w:tcW w:w="0" w:type="dxa"/>
            <w:vAlign w:val="bottom"/>
          </w:tcPr>
          <w:p>
            <w:pPr>
              <w:spacing w:after="0"/>
              <w:rPr>
                <w:sz w:val="1"/>
                <w:szCs w:val="1"/>
                <w:color w:val="auto"/>
              </w:rPr>
            </w:pPr>
          </w:p>
        </w:tc>
      </w:tr>
      <w:tr>
        <w:trPr>
          <w:trHeight w:val="136"/>
        </w:trPr>
        <w:tc>
          <w:tcPr>
            <w:tcW w:w="4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Advertising</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2,207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2,177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215</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265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4,864</w:t>
            </w:r>
          </w:p>
        </w:tc>
        <w:tc>
          <w:tcPr>
            <w:tcW w:w="0" w:type="dxa"/>
            <w:vAlign w:val="bottom"/>
          </w:tcPr>
          <w:p>
            <w:pPr>
              <w:spacing w:after="0"/>
              <w:rPr>
                <w:sz w:val="1"/>
                <w:szCs w:val="1"/>
                <w:color w:val="auto"/>
              </w:rPr>
            </w:pPr>
          </w:p>
        </w:tc>
      </w:tr>
      <w:tr>
        <w:trPr>
          <w:trHeight w:val="134"/>
        </w:trPr>
        <w:tc>
          <w:tcPr>
            <w:tcW w:w="4260" w:type="dxa"/>
            <w:vAlign w:val="bottom"/>
            <w:gridSpan w:val="2"/>
          </w:tcPr>
          <w:p>
            <w:pPr>
              <w:ind w:left="80"/>
              <w:spacing w:after="0"/>
              <w:rPr>
                <w:sz w:val="20"/>
                <w:szCs w:val="20"/>
                <w:color w:val="auto"/>
              </w:rPr>
            </w:pPr>
            <w:r>
              <w:rPr>
                <w:rFonts w:ascii="Arial" w:cs="Arial" w:eastAsia="Arial" w:hAnsi="Arial"/>
                <w:sz w:val="10"/>
                <w:szCs w:val="10"/>
                <w:color w:val="auto"/>
              </w:rPr>
              <w:t>Loan processing</w:t>
            </w:r>
          </w:p>
        </w:tc>
        <w:tc>
          <w:tcPr>
            <w:tcW w:w="12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b w:val="1"/>
                <w:bCs w:val="1"/>
                <w:color w:val="auto"/>
              </w:rPr>
              <w:t>1,867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58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ind w:right="12"/>
              <w:spacing w:after="0"/>
              <w:rPr>
                <w:sz w:val="20"/>
                <w:szCs w:val="20"/>
                <w:color w:val="auto"/>
              </w:rPr>
            </w:pPr>
            <w:r>
              <w:rPr>
                <w:rFonts w:ascii="Arial" w:cs="Arial" w:eastAsia="Arial" w:hAnsi="Arial"/>
                <w:sz w:val="10"/>
                <w:szCs w:val="10"/>
                <w:b w:val="1"/>
                <w:bCs w:val="1"/>
                <w:color w:val="auto"/>
              </w:rPr>
              <w:t>128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783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2,836</w:t>
            </w:r>
          </w:p>
        </w:tc>
        <w:tc>
          <w:tcPr>
            <w:tcW w:w="0" w:type="dxa"/>
            <w:vAlign w:val="bottom"/>
          </w:tcPr>
          <w:p>
            <w:pPr>
              <w:spacing w:after="0"/>
              <w:rPr>
                <w:sz w:val="1"/>
                <w:szCs w:val="1"/>
                <w:color w:val="auto"/>
              </w:rPr>
            </w:pPr>
          </w:p>
        </w:tc>
      </w:tr>
      <w:tr>
        <w:trPr>
          <w:trHeight w:val="136"/>
        </w:trPr>
        <w:tc>
          <w:tcPr>
            <w:tcW w:w="4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Merger-related expenses</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3,361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3,361</w:t>
            </w:r>
          </w:p>
        </w:tc>
        <w:tc>
          <w:tcPr>
            <w:tcW w:w="0" w:type="dxa"/>
            <w:vAlign w:val="bottom"/>
          </w:tcPr>
          <w:p>
            <w:pPr>
              <w:spacing w:after="0"/>
              <w:rPr>
                <w:sz w:val="1"/>
                <w:szCs w:val="1"/>
                <w:color w:val="auto"/>
              </w:rPr>
            </w:pPr>
          </w:p>
        </w:tc>
      </w:tr>
      <w:tr>
        <w:trPr>
          <w:trHeight w:val="134"/>
        </w:trPr>
        <w:tc>
          <w:tcPr>
            <w:tcW w:w="4260" w:type="dxa"/>
            <w:vAlign w:val="bottom"/>
            <w:gridSpan w:val="2"/>
          </w:tcPr>
          <w:p>
            <w:pPr>
              <w:ind w:left="80"/>
              <w:spacing w:after="0"/>
              <w:rPr>
                <w:sz w:val="20"/>
                <w:szCs w:val="20"/>
                <w:color w:val="auto"/>
              </w:rPr>
            </w:pPr>
            <w:r>
              <w:rPr>
                <w:rFonts w:ascii="Arial" w:cs="Arial" w:eastAsia="Arial" w:hAnsi="Arial"/>
                <w:sz w:val="10"/>
                <w:szCs w:val="10"/>
                <w:color w:val="auto"/>
              </w:rPr>
              <w:t>Operational and other card fraud related losses</w:t>
            </w:r>
          </w:p>
        </w:tc>
        <w:tc>
          <w:tcPr>
            <w:tcW w:w="120" w:type="dxa"/>
            <w:vAlign w:val="bottom"/>
          </w:tcPr>
          <w:p>
            <w:pPr>
              <w:spacing w:after="0"/>
              <w:rPr>
                <w:sz w:val="11"/>
                <w:szCs w:val="11"/>
                <w:color w:val="auto"/>
              </w:rPr>
            </w:pPr>
          </w:p>
        </w:tc>
        <w:tc>
          <w:tcPr>
            <w:tcW w:w="1020" w:type="dxa"/>
            <w:vAlign w:val="bottom"/>
          </w:tcPr>
          <w:p>
            <w:pPr>
              <w:jc w:val="right"/>
              <w:ind w:right="12"/>
              <w:spacing w:after="0"/>
              <w:rPr>
                <w:sz w:val="20"/>
                <w:szCs w:val="20"/>
                <w:color w:val="auto"/>
              </w:rPr>
            </w:pPr>
            <w:r>
              <w:rPr>
                <w:rFonts w:ascii="Arial" w:cs="Arial" w:eastAsia="Arial" w:hAnsi="Arial"/>
                <w:sz w:val="10"/>
                <w:szCs w:val="10"/>
                <w:b w:val="1"/>
                <w:bCs w:val="1"/>
                <w:color w:val="auto"/>
              </w:rPr>
              <w:t>131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rPr>
              <w:t>2,628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b w:val="1"/>
                <w:bCs w:val="1"/>
                <w:color w:val="auto"/>
              </w:rPr>
              <w:t>2,759</w:t>
            </w:r>
          </w:p>
        </w:tc>
        <w:tc>
          <w:tcPr>
            <w:tcW w:w="0" w:type="dxa"/>
            <w:vAlign w:val="bottom"/>
          </w:tcPr>
          <w:p>
            <w:pPr>
              <w:spacing w:after="0"/>
              <w:rPr>
                <w:sz w:val="1"/>
                <w:szCs w:val="1"/>
                <w:color w:val="auto"/>
              </w:rPr>
            </w:pPr>
          </w:p>
        </w:tc>
      </w:tr>
      <w:tr>
        <w:trPr>
          <w:trHeight w:val="136"/>
        </w:trPr>
        <w:tc>
          <w:tcPr>
            <w:tcW w:w="426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Regulatory assessment expenses</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2,513</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2,513</w:t>
            </w:r>
          </w:p>
        </w:tc>
        <w:tc>
          <w:tcPr>
            <w:tcW w:w="0" w:type="dxa"/>
            <w:vAlign w:val="bottom"/>
          </w:tcPr>
          <w:p>
            <w:pPr>
              <w:spacing w:after="0"/>
              <w:rPr>
                <w:sz w:val="1"/>
                <w:szCs w:val="1"/>
                <w:color w:val="auto"/>
              </w:rPr>
            </w:pPr>
          </w:p>
        </w:tc>
      </w:tr>
      <w:tr>
        <w:trPr>
          <w:trHeight w:val="134"/>
        </w:trPr>
        <w:tc>
          <w:tcPr>
            <w:tcW w:w="4260" w:type="dxa"/>
            <w:vAlign w:val="bottom"/>
            <w:tcBorders>
              <w:bottom w:val="single" w:sz="8" w:color="CCEEFF"/>
            </w:tcBorders>
            <w:gridSpan w:val="2"/>
          </w:tcPr>
          <w:p>
            <w:pPr>
              <w:ind w:left="80"/>
              <w:spacing w:after="0"/>
              <w:rPr>
                <w:sz w:val="20"/>
                <w:szCs w:val="20"/>
                <w:color w:val="auto"/>
              </w:rPr>
            </w:pPr>
            <w:r>
              <w:rPr>
                <w:rFonts w:ascii="Arial" w:cs="Arial" w:eastAsia="Arial" w:hAnsi="Arial"/>
                <w:sz w:val="10"/>
                <w:szCs w:val="10"/>
                <w:color w:val="auto"/>
              </w:rPr>
              <w:t>Other operating</w:t>
            </w: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4,719</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1,441</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1,222</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304</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7,686</w:t>
            </w:r>
          </w:p>
        </w:tc>
        <w:tc>
          <w:tcPr>
            <w:tcW w:w="0" w:type="dxa"/>
            <w:vAlign w:val="bottom"/>
          </w:tcPr>
          <w:p>
            <w:pPr>
              <w:spacing w:after="0"/>
              <w:rPr>
                <w:sz w:val="1"/>
                <w:szCs w:val="1"/>
                <w:color w:val="auto"/>
              </w:rPr>
            </w:pPr>
          </w:p>
        </w:tc>
      </w:tr>
      <w:tr>
        <w:trPr>
          <w:trHeight w:val="124"/>
        </w:trPr>
        <w:tc>
          <w:tcPr>
            <w:tcW w:w="426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Total noninterest expenses</w:t>
            </w:r>
          </w:p>
        </w:tc>
        <w:tc>
          <w:tcPr>
            <w:tcW w:w="12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57,234</w:t>
            </w:r>
          </w:p>
        </w:tc>
        <w:tc>
          <w:tcPr>
            <w:tcW w:w="8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40,363</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11,102</w:t>
            </w:r>
          </w:p>
        </w:tc>
        <w:tc>
          <w:tcPr>
            <w:tcW w:w="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7,280</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115,979</w:t>
            </w:r>
          </w:p>
        </w:tc>
        <w:tc>
          <w:tcPr>
            <w:tcW w:w="0" w:type="dxa"/>
            <w:vAlign w:val="bottom"/>
          </w:tcPr>
          <w:p>
            <w:pPr>
              <w:spacing w:after="0"/>
              <w:rPr>
                <w:sz w:val="1"/>
                <w:szCs w:val="1"/>
                <w:color w:val="auto"/>
              </w:rPr>
            </w:pPr>
          </w:p>
        </w:tc>
      </w:tr>
      <w:tr>
        <w:trPr>
          <w:trHeight w:val="141"/>
        </w:trPr>
        <w:tc>
          <w:tcPr>
            <w:tcW w:w="4260" w:type="dxa"/>
            <w:vAlign w:val="bottom"/>
            <w:tcBorders>
              <w:bottom w:val="single" w:sz="8" w:color="CCEEFF"/>
            </w:tcBorders>
            <w:gridSpan w:val="2"/>
          </w:tcPr>
          <w:p>
            <w:pPr>
              <w:ind w:left="80"/>
              <w:spacing w:after="0"/>
              <w:rPr>
                <w:sz w:val="20"/>
                <w:szCs w:val="20"/>
                <w:color w:val="auto"/>
              </w:rPr>
            </w:pPr>
            <w:r>
              <w:rPr>
                <w:rFonts w:ascii="Arial" w:cs="Arial" w:eastAsia="Arial" w:hAnsi="Arial"/>
                <w:sz w:val="10"/>
                <w:szCs w:val="10"/>
                <w:b w:val="1"/>
                <w:bCs w:val="1"/>
                <w:color w:val="auto"/>
              </w:rPr>
              <w:t>Net income (loss) before taxes</w:t>
            </w: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44,458</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9,215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3,539</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(1,949)</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55,263</w:t>
            </w:r>
          </w:p>
        </w:tc>
        <w:tc>
          <w:tcPr>
            <w:tcW w:w="0" w:type="dxa"/>
            <w:vAlign w:val="bottom"/>
          </w:tcPr>
          <w:p>
            <w:pPr>
              <w:spacing w:after="0"/>
              <w:rPr>
                <w:sz w:val="1"/>
                <w:szCs w:val="1"/>
                <w:color w:val="auto"/>
              </w:rPr>
            </w:pPr>
          </w:p>
        </w:tc>
      </w:tr>
      <w:tr>
        <w:trPr>
          <w:trHeight w:val="126"/>
        </w:trPr>
        <w:tc>
          <w:tcPr>
            <w:tcW w:w="216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260" w:type="dxa"/>
            <w:vAlign w:val="bottom"/>
            <w:gridSpan w:val="2"/>
          </w:tcPr>
          <w:p>
            <w:pPr>
              <w:spacing w:after="0"/>
              <w:rPr>
                <w:sz w:val="20"/>
                <w:szCs w:val="20"/>
                <w:color w:val="auto"/>
              </w:rPr>
            </w:pPr>
            <w:r>
              <w:rPr>
                <w:rFonts w:ascii="Arial" w:cs="Arial" w:eastAsia="Arial" w:hAnsi="Arial"/>
                <w:sz w:val="10"/>
                <w:szCs w:val="10"/>
                <w:b w:val="1"/>
                <w:bCs w:val="1"/>
                <w:color w:val="auto"/>
              </w:rPr>
              <w:t>Total assets</w:t>
            </w: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3,213,222</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134,422</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21,743</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20,055</w:t>
            </w:r>
          </w:p>
        </w:tc>
        <w:tc>
          <w:tcPr>
            <w:tcW w:w="80" w:type="dxa"/>
            <w:vAlign w:val="bottom"/>
          </w:tcPr>
          <w:p>
            <w:pPr>
              <w:spacing w:after="0"/>
              <w:rPr>
                <w:sz w:val="11"/>
                <w:szCs w:val="11"/>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3,389,442</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2"/>
                <w:szCs w:val="12"/>
                <w:color w:val="auto"/>
              </w:rPr>
              <w:t>_______________</w:t>
            </w: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16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48" w:hanging="148"/>
        <w:spacing w:after="0"/>
        <w:tabs>
          <w:tab w:leader="none" w:pos="148" w:val="left"/>
        </w:tabs>
        <w:numPr>
          <w:ilvl w:val="0"/>
          <w:numId w:val="34"/>
        </w:numPr>
        <w:rPr>
          <w:rFonts w:ascii="Arial" w:cs="Arial" w:eastAsia="Arial" w:hAnsi="Arial"/>
          <w:sz w:val="11"/>
          <w:szCs w:val="11"/>
          <w:color w:val="auto"/>
          <w:vertAlign w:val="superscript"/>
        </w:rPr>
      </w:pPr>
      <w:r>
        <w:rPr>
          <w:rFonts w:ascii="Arial" w:cs="Arial" w:eastAsia="Arial" w:hAnsi="Arial"/>
          <w:sz w:val="8"/>
          <w:szCs w:val="8"/>
          <w:color w:val="auto"/>
        </w:rPr>
        <w:t>Gross government loan servicing revenue totaled $14.6 million, including $3.2 million of servicing fees earned from the Commercial Bank by Windsor</w:t>
      </w:r>
      <w:r>
        <w:rPr>
          <w:rFonts w:ascii="Arial" w:cs="Arial" w:eastAsia="Arial" w:hAnsi="Arial"/>
          <w:sz w:val="10"/>
          <w:szCs w:val="10"/>
          <w:color w:val="auto"/>
          <w:vertAlign w:val="superscript"/>
        </w:rPr>
        <w:t>TM</w:t>
      </w:r>
      <w:r>
        <w:rPr>
          <w:rFonts w:ascii="Arial" w:cs="Arial" w:eastAsia="Arial" w:hAnsi="Arial"/>
          <w:sz w:val="8"/>
          <w:szCs w:val="8"/>
          <w:color w:val="auto"/>
        </w:rPr>
        <w:t>, for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588"/>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0408"/>
          </w:cols>
          <w:pgMar w:left="292" w:top="671" w:right="1199" w:bottom="1440" w:gutter="0" w:footer="0" w:header="0"/>
        </w:sectPr>
      </w:pPr>
    </w:p>
    <w:bookmarkStart w:id="25" w:name="page26"/>
    <w:bookmarkEnd w:id="25"/>
    <w:p>
      <w:pPr>
        <w:ind w:left="28"/>
        <w:spacing w:after="0"/>
        <w:rPr>
          <w:sz w:val="20"/>
          <w:szCs w:val="20"/>
          <w:color w:val="auto"/>
        </w:rPr>
      </w:pPr>
      <w:r>
        <w:rPr>
          <w:rFonts w:ascii="Arial" w:cs="Arial" w:eastAsia="Arial" w:hAnsi="Arial"/>
          <w:sz w:val="14"/>
          <w:szCs w:val="14"/>
          <w:b w:val="1"/>
          <w:bCs w:val="1"/>
          <w:u w:val="single" w:color="auto"/>
          <w:color w:val="auto"/>
        </w:rPr>
        <w:t>HISTORICAL FINANCIAL HIGHLIGHTS - Unaudited</w:t>
      </w:r>
    </w:p>
    <w:p>
      <w:pPr>
        <w:spacing w:after="0" w:line="37"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ind w:left="200"/>
              <w:spacing w:after="0"/>
              <w:rPr>
                <w:sz w:val="20"/>
                <w:szCs w:val="20"/>
                <w:color w:val="auto"/>
              </w:rPr>
            </w:pPr>
            <w:r>
              <w:rPr>
                <w:rFonts w:ascii="Arial" w:cs="Arial" w:eastAsia="Arial" w:hAnsi="Arial"/>
                <w:sz w:val="10"/>
                <w:szCs w:val="10"/>
                <w:b w:val="1"/>
                <w:bCs w:val="1"/>
                <w:color w:val="auto"/>
              </w:rPr>
              <w:t>Quarter Ended</w:t>
            </w: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tcPr>
          <w:p>
            <w:pPr>
              <w:ind w:left="160"/>
              <w:spacing w:after="0" w:line="91" w:lineRule="exact"/>
              <w:rPr>
                <w:sz w:val="20"/>
                <w:szCs w:val="20"/>
                <w:color w:val="auto"/>
              </w:rPr>
            </w:pPr>
            <w:r>
              <w:rPr>
                <w:rFonts w:ascii="Arial" w:cs="Arial" w:eastAsia="Arial" w:hAnsi="Arial"/>
                <w:sz w:val="10"/>
                <w:szCs w:val="10"/>
                <w:b w:val="1"/>
                <w:bCs w:val="1"/>
                <w:color w:val="auto"/>
              </w:rPr>
              <w:t>September 30,</w:t>
            </w:r>
          </w:p>
        </w:tc>
        <w:tc>
          <w:tcPr>
            <w:tcW w:w="22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June 30, 2026</w:t>
            </w:r>
          </w:p>
        </w:tc>
        <w:tc>
          <w:tcPr>
            <w:tcW w:w="260" w:type="dxa"/>
            <w:vAlign w:val="bottom"/>
          </w:tcPr>
          <w:p>
            <w:pPr>
              <w:spacing w:after="0"/>
              <w:rPr>
                <w:sz w:val="7"/>
                <w:szCs w:val="7"/>
                <w:color w:val="auto"/>
              </w:rPr>
            </w:pPr>
          </w:p>
        </w:tc>
        <w:tc>
          <w:tcPr>
            <w:tcW w:w="1320" w:type="dxa"/>
            <w:vAlign w:val="bottom"/>
            <w:gridSpan w:val="2"/>
          </w:tcPr>
          <w:p>
            <w:pPr>
              <w:ind w:left="260"/>
              <w:spacing w:after="0" w:line="91" w:lineRule="exact"/>
              <w:rPr>
                <w:sz w:val="20"/>
                <w:szCs w:val="20"/>
                <w:color w:val="auto"/>
              </w:rPr>
            </w:pPr>
            <w:r>
              <w:rPr>
                <w:rFonts w:ascii="Arial" w:cs="Arial" w:eastAsia="Arial" w:hAnsi="Arial"/>
                <w:sz w:val="10"/>
                <w:szCs w:val="10"/>
                <w:b w:val="1"/>
                <w:bCs w:val="1"/>
                <w:color w:val="auto"/>
              </w:rPr>
              <w:t>March 31,</w:t>
            </w:r>
          </w:p>
        </w:tc>
        <w:tc>
          <w:tcPr>
            <w:tcW w:w="240" w:type="dxa"/>
            <w:vAlign w:val="bottom"/>
          </w:tcPr>
          <w:p>
            <w:pPr>
              <w:spacing w:after="0"/>
              <w:rPr>
                <w:sz w:val="7"/>
                <w:szCs w:val="7"/>
                <w:color w:val="auto"/>
              </w:rPr>
            </w:pPr>
          </w:p>
        </w:tc>
        <w:tc>
          <w:tcPr>
            <w:tcW w:w="1320" w:type="dxa"/>
            <w:vAlign w:val="bottom"/>
            <w:gridSpan w:val="2"/>
          </w:tcPr>
          <w:p>
            <w:pPr>
              <w:ind w:left="180"/>
              <w:spacing w:after="0" w:line="91" w:lineRule="exact"/>
              <w:rPr>
                <w:sz w:val="20"/>
                <w:szCs w:val="20"/>
                <w:color w:val="auto"/>
              </w:rPr>
            </w:pPr>
            <w:r>
              <w:rPr>
                <w:rFonts w:ascii="Arial" w:cs="Arial" w:eastAsia="Arial" w:hAnsi="Arial"/>
                <w:sz w:val="10"/>
                <w:szCs w:val="10"/>
                <w:b w:val="1"/>
                <w:bCs w:val="1"/>
                <w:color w:val="auto"/>
              </w:rPr>
              <w:t>December 31,</w:t>
            </w:r>
          </w:p>
        </w:tc>
        <w:tc>
          <w:tcPr>
            <w:tcW w:w="240" w:type="dxa"/>
            <w:vAlign w:val="bottom"/>
          </w:tcPr>
          <w:p>
            <w:pPr>
              <w:spacing w:after="0"/>
              <w:rPr>
                <w:sz w:val="7"/>
                <w:szCs w:val="7"/>
                <w:color w:val="auto"/>
              </w:rPr>
            </w:pPr>
          </w:p>
        </w:tc>
        <w:tc>
          <w:tcPr>
            <w:tcW w:w="1240" w:type="dxa"/>
            <w:vAlign w:val="bottom"/>
          </w:tcPr>
          <w:p>
            <w:pPr>
              <w:jc w:val="right"/>
              <w:ind w:right="372"/>
              <w:spacing w:after="0" w:line="91"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24"/>
        </w:trPr>
        <w:tc>
          <w:tcPr>
            <w:tcW w:w="3620" w:type="dxa"/>
            <w:vAlign w:val="bottom"/>
            <w:gridSpan w:val="6"/>
          </w:tcPr>
          <w:p>
            <w:pPr>
              <w:ind w:left="20"/>
              <w:spacing w:after="0"/>
              <w:rPr>
                <w:sz w:val="20"/>
                <w:szCs w:val="20"/>
                <w:color w:val="auto"/>
              </w:rPr>
            </w:pPr>
            <w:r>
              <w:rPr>
                <w:rFonts w:ascii="Arial" w:cs="Arial" w:eastAsia="Arial" w:hAnsi="Arial"/>
                <w:sz w:val="7"/>
                <w:szCs w:val="7"/>
                <w:color w:val="auto"/>
              </w:rPr>
              <w:t>(in thousands, except per share data)</w:t>
            </w:r>
          </w:p>
        </w:tc>
        <w:tc>
          <w:tcPr>
            <w:tcW w:w="240" w:type="dxa"/>
            <w:vAlign w:val="bottom"/>
          </w:tcPr>
          <w:p>
            <w:pPr>
              <w:spacing w:after="0"/>
              <w:rPr>
                <w:sz w:val="10"/>
                <w:szCs w:val="10"/>
                <w:color w:val="auto"/>
              </w:rPr>
            </w:pPr>
          </w:p>
        </w:tc>
        <w:tc>
          <w:tcPr>
            <w:tcW w:w="1240" w:type="dxa"/>
            <w:vAlign w:val="bottom"/>
          </w:tcPr>
          <w:p>
            <w:pPr>
              <w:jc w:val="right"/>
              <w:ind w:right="59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right"/>
              <w:ind w:right="59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97"/>
        </w:trPr>
        <w:tc>
          <w:tcPr>
            <w:tcW w:w="3620" w:type="dxa"/>
            <w:vAlign w:val="bottom"/>
            <w:tcBorders>
              <w:top w:val="single" w:sz="8" w:color="CCEEFF"/>
            </w:tcBorders>
            <w:gridSpan w:val="6"/>
            <w:shd w:val="clear" w:color="auto" w:fill="CCEEFF"/>
          </w:tcPr>
          <w:p>
            <w:pPr>
              <w:ind w:left="20"/>
              <w:spacing w:after="0" w:line="97" w:lineRule="exact"/>
              <w:rPr>
                <w:sz w:val="20"/>
                <w:szCs w:val="20"/>
                <w:color w:val="auto"/>
              </w:rPr>
            </w:pPr>
            <w:r>
              <w:rPr>
                <w:rFonts w:ascii="Arial" w:cs="Arial" w:eastAsia="Arial" w:hAnsi="Arial"/>
                <w:sz w:val="11"/>
                <w:szCs w:val="11"/>
                <w:b w:val="1"/>
                <w:bCs w:val="1"/>
                <w:color w:val="auto"/>
              </w:rPr>
              <w:t>Earnings:</w:t>
            </w:r>
          </w:p>
        </w:tc>
        <w:tc>
          <w:tcPr>
            <w:tcW w:w="240" w:type="dxa"/>
            <w:vAlign w:val="bottom"/>
            <w:tcBorders>
              <w:top w:val="single" w:sz="8" w:color="auto"/>
            </w:tcBorders>
            <w:shd w:val="clear" w:color="auto" w:fill="CCEEFF"/>
          </w:tcPr>
          <w:p>
            <w:pPr>
              <w:spacing w:after="0"/>
              <w:rPr>
                <w:sz w:val="8"/>
                <w:szCs w:val="8"/>
                <w:color w:val="auto"/>
              </w:rPr>
            </w:pPr>
          </w:p>
        </w:tc>
        <w:tc>
          <w:tcPr>
            <w:tcW w:w="12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11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2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2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2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3620" w:type="dxa"/>
            <w:vAlign w:val="bottom"/>
            <w:gridSpan w:val="6"/>
          </w:tcPr>
          <w:p>
            <w:pPr>
              <w:ind w:left="20"/>
              <w:spacing w:after="0"/>
              <w:rPr>
                <w:sz w:val="20"/>
                <w:szCs w:val="20"/>
                <w:color w:val="auto"/>
              </w:rPr>
            </w:pPr>
            <w:r>
              <w:rPr>
                <w:rFonts w:ascii="Arial" w:cs="Arial" w:eastAsia="Arial" w:hAnsi="Arial"/>
                <w:sz w:val="10"/>
                <w:szCs w:val="10"/>
                <w:color w:val="auto"/>
              </w:rPr>
              <w:t>Net income</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13,122</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14,250</w:t>
            </w:r>
          </w:p>
        </w:tc>
        <w:tc>
          <w:tcPr>
            <w:tcW w:w="80" w:type="dxa"/>
            <w:vAlign w:val="bottom"/>
          </w:tcPr>
          <w:p>
            <w:pPr>
              <w:spacing w:after="0"/>
              <w:rPr>
                <w:sz w:val="11"/>
                <w:szCs w:val="11"/>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12,018</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15,037</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15,065</w:t>
            </w:r>
          </w:p>
        </w:tc>
        <w:tc>
          <w:tcPr>
            <w:tcW w:w="0" w:type="dxa"/>
            <w:vAlign w:val="bottom"/>
          </w:tcPr>
          <w:p>
            <w:pPr>
              <w:spacing w:after="0"/>
              <w:rPr>
                <w:sz w:val="1"/>
                <w:szCs w:val="1"/>
                <w:color w:val="auto"/>
              </w:rPr>
            </w:pPr>
          </w:p>
        </w:tc>
      </w:tr>
      <w:tr>
        <w:trPr>
          <w:trHeight w:val="138"/>
        </w:trPr>
        <w:tc>
          <w:tcPr>
            <w:tcW w:w="3620" w:type="dxa"/>
            <w:vAlign w:val="bottom"/>
            <w:gridSpan w:val="6"/>
            <w:shd w:val="clear" w:color="auto" w:fill="CCEEFF"/>
          </w:tcPr>
          <w:p>
            <w:pPr>
              <w:ind w:left="20"/>
              <w:spacing w:after="0"/>
              <w:rPr>
                <w:sz w:val="20"/>
                <w:szCs w:val="20"/>
                <w:color w:val="auto"/>
              </w:rPr>
            </w:pPr>
            <w:r>
              <w:rPr>
                <w:rFonts w:ascii="Arial" w:cs="Arial" w:eastAsia="Arial" w:hAnsi="Arial"/>
                <w:sz w:val="10"/>
                <w:szCs w:val="10"/>
                <w:color w:val="auto"/>
              </w:rPr>
              <w:t>Earnings per common share, diluted</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0.80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0.87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0.73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0.91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0.89</w:t>
            </w:r>
          </w:p>
        </w:tc>
        <w:tc>
          <w:tcPr>
            <w:tcW w:w="0" w:type="dxa"/>
            <w:vAlign w:val="bottom"/>
          </w:tcPr>
          <w:p>
            <w:pPr>
              <w:spacing w:after="0"/>
              <w:rPr>
                <w:sz w:val="1"/>
                <w:szCs w:val="1"/>
                <w:color w:val="auto"/>
              </w:rPr>
            </w:pPr>
          </w:p>
        </w:tc>
      </w:tr>
      <w:tr>
        <w:trPr>
          <w:trHeight w:val="132"/>
        </w:trPr>
        <w:tc>
          <w:tcPr>
            <w:tcW w:w="3620" w:type="dxa"/>
            <w:vAlign w:val="bottom"/>
            <w:gridSpan w:val="6"/>
          </w:tcPr>
          <w:p>
            <w:pPr>
              <w:ind w:left="20"/>
              <w:spacing w:after="0"/>
              <w:rPr>
                <w:sz w:val="20"/>
                <w:szCs w:val="20"/>
                <w:color w:val="auto"/>
              </w:rPr>
            </w:pPr>
            <w:r>
              <w:rPr>
                <w:rFonts w:ascii="Arial" w:cs="Arial" w:eastAsia="Arial" w:hAnsi="Arial"/>
                <w:sz w:val="10"/>
                <w:szCs w:val="10"/>
                <w:color w:val="auto"/>
              </w:rPr>
              <w:t>Net interest margin</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5.81 %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5.64 %</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5.71 %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5.94 %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6.36 %</w:t>
            </w:r>
          </w:p>
        </w:tc>
        <w:tc>
          <w:tcPr>
            <w:tcW w:w="0" w:type="dxa"/>
            <w:vAlign w:val="bottom"/>
          </w:tcPr>
          <w:p>
            <w:pPr>
              <w:spacing w:after="0"/>
              <w:rPr>
                <w:sz w:val="1"/>
                <w:szCs w:val="1"/>
                <w:color w:val="auto"/>
              </w:rPr>
            </w:pPr>
          </w:p>
        </w:tc>
      </w:tr>
      <w:tr>
        <w:trPr>
          <w:trHeight w:val="138"/>
        </w:trPr>
        <w:tc>
          <w:tcPr>
            <w:tcW w:w="3620" w:type="dxa"/>
            <w:vAlign w:val="bottom"/>
            <w:gridSpan w:val="6"/>
            <w:shd w:val="clear" w:color="auto" w:fill="CCEEFF"/>
          </w:tcPr>
          <w:p>
            <w:pPr>
              <w:ind w:left="20"/>
              <w:spacing w:after="0"/>
              <w:rPr>
                <w:sz w:val="20"/>
                <w:szCs w:val="20"/>
                <w:color w:val="auto"/>
              </w:rPr>
            </w:pPr>
            <w:r>
              <w:rPr>
                <w:rFonts w:ascii="Arial" w:cs="Arial" w:eastAsia="Arial" w:hAnsi="Arial"/>
                <w:sz w:val="10"/>
                <w:szCs w:val="10"/>
                <w:color w:val="auto"/>
              </w:rPr>
              <w:t>Core net interest margin</w:t>
            </w:r>
            <w:r>
              <w:rPr>
                <w:rFonts w:ascii="Arial" w:cs="Arial" w:eastAsia="Arial" w:hAnsi="Arial"/>
                <w:sz w:val="12"/>
                <w:szCs w:val="12"/>
                <w:color w:val="auto"/>
                <w:vertAlign w:val="superscript"/>
              </w:rPr>
              <w:t>(2)</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4.18 %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4.04 %</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4.15 %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4.19 %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4.66 %</w:t>
            </w:r>
          </w:p>
        </w:tc>
        <w:tc>
          <w:tcPr>
            <w:tcW w:w="0" w:type="dxa"/>
            <w:vAlign w:val="bottom"/>
          </w:tcPr>
          <w:p>
            <w:pPr>
              <w:spacing w:after="0"/>
              <w:rPr>
                <w:sz w:val="1"/>
                <w:szCs w:val="1"/>
                <w:color w:val="auto"/>
              </w:rPr>
            </w:pPr>
          </w:p>
        </w:tc>
      </w:tr>
      <w:tr>
        <w:trPr>
          <w:trHeight w:val="135"/>
        </w:trPr>
        <w:tc>
          <w:tcPr>
            <w:tcW w:w="3620" w:type="dxa"/>
            <w:vAlign w:val="bottom"/>
            <w:gridSpan w:val="6"/>
          </w:tcPr>
          <w:p>
            <w:pPr>
              <w:ind w:left="20"/>
              <w:spacing w:after="0" w:line="135" w:lineRule="exact"/>
              <w:rPr>
                <w:sz w:val="20"/>
                <w:szCs w:val="20"/>
                <w:color w:val="auto"/>
              </w:rPr>
            </w:pPr>
            <w:r>
              <w:rPr>
                <w:rFonts w:ascii="Arial" w:cs="Arial" w:eastAsia="Arial" w:hAnsi="Arial"/>
                <w:sz w:val="10"/>
                <w:szCs w:val="10"/>
                <w:color w:val="auto"/>
              </w:rPr>
              <w:t>Return on average assets</w:t>
            </w:r>
            <w:r>
              <w:rPr>
                <w:rFonts w:ascii="Arial" w:cs="Arial" w:eastAsia="Arial" w:hAnsi="Arial"/>
                <w:sz w:val="12"/>
                <w:szCs w:val="12"/>
                <w:color w:val="auto"/>
                <w:vertAlign w:val="superscript"/>
              </w:rPr>
              <w:t>(1)</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1.38 %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1.52 %</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1.33 %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1.71 %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1.77 %</w:t>
            </w:r>
          </w:p>
        </w:tc>
        <w:tc>
          <w:tcPr>
            <w:tcW w:w="0" w:type="dxa"/>
            <w:vAlign w:val="bottom"/>
          </w:tcPr>
          <w:p>
            <w:pPr>
              <w:spacing w:after="0"/>
              <w:rPr>
                <w:sz w:val="1"/>
                <w:szCs w:val="1"/>
                <w:color w:val="auto"/>
              </w:rPr>
            </w:pPr>
          </w:p>
        </w:tc>
      </w:tr>
      <w:tr>
        <w:trPr>
          <w:trHeight w:val="135"/>
        </w:trPr>
        <w:tc>
          <w:tcPr>
            <w:tcW w:w="362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0"/>
                <w:szCs w:val="10"/>
                <w:color w:val="auto"/>
              </w:rPr>
              <w:t>Return on average equity</w:t>
            </w:r>
            <w:r>
              <w:rPr>
                <w:rFonts w:ascii="Arial" w:cs="Arial" w:eastAsia="Arial" w:hAnsi="Arial"/>
                <w:sz w:val="12"/>
                <w:szCs w:val="12"/>
                <w:color w:val="auto"/>
                <w:vertAlign w:val="superscript"/>
              </w:rPr>
              <w:t>(1)</w:t>
            </w: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12.16 %</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13.80 %</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12.03 %</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15.23 %</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15.57 %</w:t>
            </w:r>
          </w:p>
        </w:tc>
        <w:tc>
          <w:tcPr>
            <w:tcW w:w="0" w:type="dxa"/>
            <w:vAlign w:val="bottom"/>
          </w:tcPr>
          <w:p>
            <w:pPr>
              <w:spacing w:after="0"/>
              <w:rPr>
                <w:sz w:val="1"/>
                <w:szCs w:val="1"/>
                <w:color w:val="auto"/>
              </w:rPr>
            </w:pPr>
          </w:p>
        </w:tc>
      </w:tr>
      <w:tr>
        <w:trPr>
          <w:trHeight w:val="132"/>
        </w:trPr>
        <w:tc>
          <w:tcPr>
            <w:tcW w:w="3620" w:type="dxa"/>
            <w:vAlign w:val="bottom"/>
            <w:gridSpan w:val="6"/>
          </w:tcPr>
          <w:p>
            <w:pPr>
              <w:ind w:left="20"/>
              <w:spacing w:after="0"/>
              <w:rPr>
                <w:sz w:val="20"/>
                <w:szCs w:val="20"/>
                <w:color w:val="auto"/>
              </w:rPr>
            </w:pPr>
            <w:r>
              <w:rPr>
                <w:rFonts w:ascii="Arial" w:cs="Arial" w:eastAsia="Arial" w:hAnsi="Arial"/>
                <w:sz w:val="10"/>
                <w:szCs w:val="10"/>
                <w:color w:val="auto"/>
              </w:rPr>
              <w:t>Efficiency ratio</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67.12 %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66.14 %</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69.59 %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62.32 %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60.79 %</w:t>
            </w: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20" w:type="dxa"/>
            <w:vAlign w:val="bottom"/>
            <w:gridSpan w:val="6"/>
          </w:tcPr>
          <w:p>
            <w:pPr>
              <w:ind w:left="20"/>
              <w:spacing w:after="0" w:line="117" w:lineRule="exact"/>
              <w:rPr>
                <w:sz w:val="20"/>
                <w:szCs w:val="20"/>
                <w:color w:val="auto"/>
              </w:rPr>
            </w:pPr>
            <w:r>
              <w:rPr>
                <w:rFonts w:ascii="Arial" w:cs="Arial" w:eastAsia="Arial" w:hAnsi="Arial"/>
                <w:sz w:val="11"/>
                <w:szCs w:val="11"/>
                <w:b w:val="1"/>
                <w:bCs w:val="1"/>
                <w:color w:val="auto"/>
              </w:rPr>
              <w:t>Balance Sheet:</w:t>
            </w: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620" w:type="dxa"/>
            <w:vAlign w:val="bottom"/>
            <w:gridSpan w:val="6"/>
            <w:shd w:val="clear" w:color="auto" w:fill="CCEEFF"/>
          </w:tcPr>
          <w:p>
            <w:pPr>
              <w:ind w:left="20"/>
              <w:spacing w:after="0"/>
              <w:rPr>
                <w:sz w:val="20"/>
                <w:szCs w:val="20"/>
                <w:color w:val="auto"/>
              </w:rPr>
            </w:pPr>
            <w:r>
              <w:rPr>
                <w:rFonts w:ascii="Arial" w:cs="Arial" w:eastAsia="Arial" w:hAnsi="Arial"/>
                <w:sz w:val="10"/>
                <w:szCs w:val="10"/>
                <w:color w:val="auto"/>
              </w:rPr>
              <w:t>Total portfolio loans receivable, net deferred fees</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3,114,264</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3,085,950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3,026,431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2,959,457</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2,821,983</w:t>
            </w:r>
          </w:p>
        </w:tc>
        <w:tc>
          <w:tcPr>
            <w:tcW w:w="0" w:type="dxa"/>
            <w:vAlign w:val="bottom"/>
          </w:tcPr>
          <w:p>
            <w:pPr>
              <w:spacing w:after="0"/>
              <w:rPr>
                <w:sz w:val="1"/>
                <w:szCs w:val="1"/>
                <w:color w:val="auto"/>
              </w:rPr>
            </w:pPr>
          </w:p>
        </w:tc>
      </w:tr>
      <w:tr>
        <w:trPr>
          <w:trHeight w:val="132"/>
        </w:trPr>
        <w:tc>
          <w:tcPr>
            <w:tcW w:w="3620" w:type="dxa"/>
            <w:vAlign w:val="bottom"/>
            <w:gridSpan w:val="6"/>
          </w:tcPr>
          <w:p>
            <w:pPr>
              <w:ind w:left="20"/>
              <w:spacing w:after="0"/>
              <w:rPr>
                <w:sz w:val="20"/>
                <w:szCs w:val="20"/>
                <w:color w:val="auto"/>
              </w:rPr>
            </w:pPr>
            <w:r>
              <w:rPr>
                <w:rFonts w:ascii="Arial" w:cs="Arial" w:eastAsia="Arial" w:hAnsi="Arial"/>
                <w:sz w:val="10"/>
                <w:szCs w:val="10"/>
                <w:color w:val="auto"/>
              </w:rPr>
              <w:t>Total deposits</w:t>
            </w:r>
          </w:p>
        </w:tc>
        <w:tc>
          <w:tcPr>
            <w:tcW w:w="24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3,319,135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3,371,103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3,292,047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3,093,200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2,912,053</w:t>
            </w:r>
          </w:p>
        </w:tc>
        <w:tc>
          <w:tcPr>
            <w:tcW w:w="0" w:type="dxa"/>
            <w:vAlign w:val="bottom"/>
          </w:tcPr>
          <w:p>
            <w:pPr>
              <w:spacing w:after="0"/>
              <w:rPr>
                <w:sz w:val="1"/>
                <w:szCs w:val="1"/>
                <w:color w:val="auto"/>
              </w:rPr>
            </w:pPr>
          </w:p>
        </w:tc>
      </w:tr>
      <w:tr>
        <w:trPr>
          <w:trHeight w:val="138"/>
        </w:trPr>
        <w:tc>
          <w:tcPr>
            <w:tcW w:w="3620" w:type="dxa"/>
            <w:vAlign w:val="bottom"/>
            <w:gridSpan w:val="6"/>
            <w:shd w:val="clear" w:color="auto" w:fill="CCEEFF"/>
          </w:tcPr>
          <w:p>
            <w:pPr>
              <w:ind w:left="20"/>
              <w:spacing w:after="0"/>
              <w:rPr>
                <w:sz w:val="20"/>
                <w:szCs w:val="20"/>
                <w:color w:val="auto"/>
              </w:rPr>
            </w:pPr>
            <w:r>
              <w:rPr>
                <w:rFonts w:ascii="Arial" w:cs="Arial" w:eastAsia="Arial" w:hAnsi="Arial"/>
                <w:sz w:val="10"/>
                <w:szCs w:val="10"/>
                <w:color w:val="auto"/>
              </w:rPr>
              <w:t>Total assets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3,802,553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3,889,938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3,808,467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3,606,207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3,389,442</w:t>
            </w:r>
          </w:p>
        </w:tc>
        <w:tc>
          <w:tcPr>
            <w:tcW w:w="0" w:type="dxa"/>
            <w:vAlign w:val="bottom"/>
          </w:tcPr>
          <w:p>
            <w:pPr>
              <w:spacing w:after="0"/>
              <w:rPr>
                <w:sz w:val="1"/>
                <w:szCs w:val="1"/>
                <w:color w:val="auto"/>
              </w:rPr>
            </w:pPr>
          </w:p>
        </w:tc>
      </w:tr>
      <w:tr>
        <w:trPr>
          <w:trHeight w:val="132"/>
        </w:trPr>
        <w:tc>
          <w:tcPr>
            <w:tcW w:w="3620" w:type="dxa"/>
            <w:vAlign w:val="bottom"/>
            <w:gridSpan w:val="6"/>
          </w:tcPr>
          <w:p>
            <w:pPr>
              <w:ind w:left="20"/>
              <w:spacing w:after="0"/>
              <w:rPr>
                <w:sz w:val="20"/>
                <w:szCs w:val="20"/>
                <w:color w:val="auto"/>
              </w:rPr>
            </w:pPr>
            <w:r>
              <w:rPr>
                <w:rFonts w:ascii="Arial" w:cs="Arial" w:eastAsia="Arial" w:hAnsi="Arial"/>
                <w:sz w:val="10"/>
                <w:szCs w:val="10"/>
                <w:color w:val="auto"/>
              </w:rPr>
              <w:t>Total stockholders' equity</w:t>
            </w:r>
          </w:p>
        </w:tc>
        <w:tc>
          <w:tcPr>
            <w:tcW w:w="24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431,450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422,205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408,859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401,757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394,770</w:t>
            </w:r>
          </w:p>
        </w:tc>
        <w:tc>
          <w:tcPr>
            <w:tcW w:w="0" w:type="dxa"/>
            <w:vAlign w:val="bottom"/>
          </w:tcPr>
          <w:p>
            <w:pPr>
              <w:spacing w:after="0"/>
              <w:rPr>
                <w:sz w:val="1"/>
                <w:szCs w:val="1"/>
                <w:color w:val="auto"/>
              </w:rPr>
            </w:pPr>
          </w:p>
        </w:tc>
      </w:tr>
      <w:tr>
        <w:trPr>
          <w:trHeight w:val="138"/>
        </w:trPr>
        <w:tc>
          <w:tcPr>
            <w:tcW w:w="3620" w:type="dxa"/>
            <w:vAlign w:val="bottom"/>
            <w:gridSpan w:val="6"/>
            <w:shd w:val="clear" w:color="auto" w:fill="CCEEFF"/>
          </w:tcPr>
          <w:p>
            <w:pPr>
              <w:ind w:left="20"/>
              <w:spacing w:after="0"/>
              <w:rPr>
                <w:sz w:val="20"/>
                <w:szCs w:val="20"/>
                <w:color w:val="auto"/>
              </w:rPr>
            </w:pPr>
            <w:r>
              <w:rPr>
                <w:rFonts w:ascii="Arial" w:cs="Arial" w:eastAsia="Arial" w:hAnsi="Arial"/>
                <w:sz w:val="10"/>
                <w:szCs w:val="10"/>
                <w:color w:val="auto"/>
              </w:rPr>
              <w:t>Total average portfolio loans receivable, net deferred fees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3,135,648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3,058,476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3,008,187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2,902,033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2,789,815</w:t>
            </w:r>
          </w:p>
        </w:tc>
        <w:tc>
          <w:tcPr>
            <w:tcW w:w="0" w:type="dxa"/>
            <w:vAlign w:val="bottom"/>
          </w:tcPr>
          <w:p>
            <w:pPr>
              <w:spacing w:after="0"/>
              <w:rPr>
                <w:sz w:val="1"/>
                <w:szCs w:val="1"/>
                <w:color w:val="auto"/>
              </w:rPr>
            </w:pPr>
          </w:p>
        </w:tc>
      </w:tr>
      <w:tr>
        <w:trPr>
          <w:trHeight w:val="132"/>
        </w:trPr>
        <w:tc>
          <w:tcPr>
            <w:tcW w:w="3620" w:type="dxa"/>
            <w:vAlign w:val="bottom"/>
            <w:gridSpan w:val="6"/>
          </w:tcPr>
          <w:p>
            <w:pPr>
              <w:ind w:left="20"/>
              <w:spacing w:after="0"/>
              <w:rPr>
                <w:sz w:val="20"/>
                <w:szCs w:val="20"/>
                <w:color w:val="auto"/>
              </w:rPr>
            </w:pPr>
            <w:r>
              <w:rPr>
                <w:rFonts w:ascii="Arial" w:cs="Arial" w:eastAsia="Arial" w:hAnsi="Arial"/>
                <w:sz w:val="10"/>
                <w:szCs w:val="10"/>
                <w:color w:val="auto"/>
              </w:rPr>
              <w:t>Total average deposits</w:t>
            </w:r>
          </w:p>
        </w:tc>
        <w:tc>
          <w:tcPr>
            <w:tcW w:w="24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3,265,136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3,243,978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3,130,392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2,992,784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2,917,067</w:t>
            </w:r>
          </w:p>
        </w:tc>
        <w:tc>
          <w:tcPr>
            <w:tcW w:w="0" w:type="dxa"/>
            <w:vAlign w:val="bottom"/>
          </w:tcPr>
          <w:p>
            <w:pPr>
              <w:spacing w:after="0"/>
              <w:rPr>
                <w:sz w:val="1"/>
                <w:szCs w:val="1"/>
                <w:color w:val="auto"/>
              </w:rPr>
            </w:pPr>
          </w:p>
        </w:tc>
      </w:tr>
      <w:tr>
        <w:trPr>
          <w:trHeight w:val="138"/>
        </w:trPr>
        <w:tc>
          <w:tcPr>
            <w:tcW w:w="3620" w:type="dxa"/>
            <w:vAlign w:val="bottom"/>
            <w:gridSpan w:val="6"/>
            <w:shd w:val="clear" w:color="auto" w:fill="CCEEFF"/>
          </w:tcPr>
          <w:p>
            <w:pPr>
              <w:ind w:left="20"/>
              <w:spacing w:after="0"/>
              <w:rPr>
                <w:sz w:val="20"/>
                <w:szCs w:val="20"/>
                <w:color w:val="auto"/>
              </w:rPr>
            </w:pPr>
            <w:r>
              <w:rPr>
                <w:rFonts w:ascii="Arial" w:cs="Arial" w:eastAsia="Arial" w:hAnsi="Arial"/>
                <w:sz w:val="10"/>
                <w:szCs w:val="10"/>
                <w:color w:val="auto"/>
              </w:rPr>
              <w:t>Portfolio loans-to-deposit ratio (period-end balances)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93.83 %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91.54 %</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91.93 %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95.68 %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96.91 %</w:t>
            </w:r>
          </w:p>
        </w:tc>
        <w:tc>
          <w:tcPr>
            <w:tcW w:w="0" w:type="dxa"/>
            <w:vAlign w:val="bottom"/>
          </w:tcPr>
          <w:p>
            <w:pPr>
              <w:spacing w:after="0"/>
              <w:rPr>
                <w:sz w:val="1"/>
                <w:szCs w:val="1"/>
                <w:color w:val="auto"/>
              </w:rPr>
            </w:pPr>
          </w:p>
        </w:tc>
      </w:tr>
      <w:tr>
        <w:trPr>
          <w:trHeight w:val="132"/>
        </w:trPr>
        <w:tc>
          <w:tcPr>
            <w:tcW w:w="3620" w:type="dxa"/>
            <w:vAlign w:val="bottom"/>
            <w:gridSpan w:val="6"/>
          </w:tcPr>
          <w:p>
            <w:pPr>
              <w:ind w:left="20"/>
              <w:spacing w:after="0"/>
              <w:rPr>
                <w:sz w:val="20"/>
                <w:szCs w:val="20"/>
                <w:color w:val="auto"/>
              </w:rPr>
            </w:pPr>
            <w:r>
              <w:rPr>
                <w:rFonts w:ascii="Arial" w:cs="Arial" w:eastAsia="Arial" w:hAnsi="Arial"/>
                <w:sz w:val="10"/>
                <w:szCs w:val="10"/>
                <w:color w:val="auto"/>
              </w:rPr>
              <w:t>Portfolio loans-to-deposit ratio (average balances)</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96.03 %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94.28 %</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96.10 %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96.97 %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95.64 %</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20" w:type="dxa"/>
            <w:vAlign w:val="bottom"/>
            <w:gridSpan w:val="6"/>
          </w:tcPr>
          <w:p>
            <w:pPr>
              <w:ind w:left="20"/>
              <w:spacing w:after="0" w:line="117" w:lineRule="exact"/>
              <w:rPr>
                <w:sz w:val="20"/>
                <w:szCs w:val="20"/>
                <w:color w:val="auto"/>
              </w:rPr>
            </w:pPr>
            <w:r>
              <w:rPr>
                <w:rFonts w:ascii="Arial" w:cs="Arial" w:eastAsia="Arial" w:hAnsi="Arial"/>
                <w:sz w:val="11"/>
                <w:szCs w:val="11"/>
                <w:b w:val="1"/>
                <w:bCs w:val="1"/>
                <w:color w:val="auto"/>
              </w:rPr>
              <w:t>Asset Quality Ratios:</w:t>
            </w: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620" w:type="dxa"/>
            <w:vAlign w:val="bottom"/>
            <w:gridSpan w:val="6"/>
            <w:shd w:val="clear" w:color="auto" w:fill="CCEEFF"/>
          </w:tcPr>
          <w:p>
            <w:pPr>
              <w:ind w:left="20"/>
              <w:spacing w:after="0"/>
              <w:rPr>
                <w:sz w:val="20"/>
                <w:szCs w:val="20"/>
                <w:color w:val="auto"/>
              </w:rPr>
            </w:pPr>
            <w:r>
              <w:rPr>
                <w:rFonts w:ascii="Arial" w:cs="Arial" w:eastAsia="Arial" w:hAnsi="Arial"/>
                <w:sz w:val="10"/>
                <w:szCs w:val="10"/>
                <w:color w:val="auto"/>
              </w:rPr>
              <w:t>Nonperforming assets to total assets</w:t>
            </w: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1.59 %</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1.56 %</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1.56 %</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1.62 %</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1.54 %</w:t>
            </w:r>
          </w:p>
        </w:tc>
        <w:tc>
          <w:tcPr>
            <w:tcW w:w="0" w:type="dxa"/>
            <w:vAlign w:val="bottom"/>
          </w:tcPr>
          <w:p>
            <w:pPr>
              <w:spacing w:after="0"/>
              <w:rPr>
                <w:sz w:val="1"/>
                <w:szCs w:val="1"/>
                <w:color w:val="auto"/>
              </w:rPr>
            </w:pPr>
          </w:p>
        </w:tc>
      </w:tr>
      <w:tr>
        <w:trPr>
          <w:trHeight w:val="132"/>
        </w:trPr>
        <w:tc>
          <w:tcPr>
            <w:tcW w:w="3620" w:type="dxa"/>
            <w:vAlign w:val="bottom"/>
            <w:gridSpan w:val="6"/>
          </w:tcPr>
          <w:p>
            <w:pPr>
              <w:ind w:left="20"/>
              <w:spacing w:after="0"/>
              <w:rPr>
                <w:sz w:val="20"/>
                <w:szCs w:val="20"/>
                <w:color w:val="auto"/>
              </w:rPr>
            </w:pPr>
            <w:r>
              <w:rPr>
                <w:rFonts w:ascii="Arial" w:cs="Arial" w:eastAsia="Arial" w:hAnsi="Arial"/>
                <w:sz w:val="10"/>
                <w:szCs w:val="10"/>
                <w:color w:val="auto"/>
              </w:rPr>
              <w:t>Nonperforming loans to total loans</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1.82 %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1.85 %</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1.83 %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1.84 %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1.85 %</w:t>
            </w:r>
          </w:p>
        </w:tc>
        <w:tc>
          <w:tcPr>
            <w:tcW w:w="0" w:type="dxa"/>
            <w:vAlign w:val="bottom"/>
          </w:tcPr>
          <w:p>
            <w:pPr>
              <w:spacing w:after="0"/>
              <w:rPr>
                <w:sz w:val="1"/>
                <w:szCs w:val="1"/>
                <w:color w:val="auto"/>
              </w:rPr>
            </w:pPr>
          </w:p>
        </w:tc>
      </w:tr>
      <w:tr>
        <w:trPr>
          <w:trHeight w:val="138"/>
        </w:trPr>
        <w:tc>
          <w:tcPr>
            <w:tcW w:w="3620" w:type="dxa"/>
            <w:vAlign w:val="bottom"/>
            <w:gridSpan w:val="6"/>
            <w:shd w:val="clear" w:color="auto" w:fill="CCEEFF"/>
          </w:tcPr>
          <w:p>
            <w:pPr>
              <w:ind w:left="20"/>
              <w:spacing w:after="0"/>
              <w:rPr>
                <w:sz w:val="20"/>
                <w:szCs w:val="20"/>
                <w:color w:val="auto"/>
              </w:rPr>
            </w:pPr>
            <w:r>
              <w:rPr>
                <w:rFonts w:ascii="Arial" w:cs="Arial" w:eastAsia="Arial" w:hAnsi="Arial"/>
                <w:sz w:val="10"/>
                <w:szCs w:val="10"/>
                <w:color w:val="auto"/>
              </w:rPr>
              <w:t xml:space="preserve">Net charge-offs to average portfolio loans </w:t>
            </w:r>
            <w:r>
              <w:rPr>
                <w:rFonts w:ascii="Arial" w:cs="Arial" w:eastAsia="Arial" w:hAnsi="Arial"/>
                <w:sz w:val="12"/>
                <w:szCs w:val="12"/>
                <w:color w:val="auto"/>
                <w:vertAlign w:val="superscript"/>
              </w:rPr>
              <w:t>(1)</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0.49 %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0.50 %</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0.40 %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0.32 %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0.35 %</w:t>
            </w:r>
          </w:p>
        </w:tc>
        <w:tc>
          <w:tcPr>
            <w:tcW w:w="0" w:type="dxa"/>
            <w:vAlign w:val="bottom"/>
          </w:tcPr>
          <w:p>
            <w:pPr>
              <w:spacing w:after="0"/>
              <w:rPr>
                <w:sz w:val="1"/>
                <w:szCs w:val="1"/>
                <w:color w:val="auto"/>
              </w:rPr>
            </w:pPr>
          </w:p>
        </w:tc>
      </w:tr>
      <w:tr>
        <w:trPr>
          <w:trHeight w:val="132"/>
        </w:trPr>
        <w:tc>
          <w:tcPr>
            <w:tcW w:w="3620" w:type="dxa"/>
            <w:vAlign w:val="bottom"/>
            <w:gridSpan w:val="6"/>
          </w:tcPr>
          <w:p>
            <w:pPr>
              <w:ind w:left="20"/>
              <w:spacing w:after="0"/>
              <w:rPr>
                <w:sz w:val="20"/>
                <w:szCs w:val="20"/>
                <w:color w:val="auto"/>
              </w:rPr>
            </w:pPr>
            <w:r>
              <w:rPr>
                <w:rFonts w:ascii="Arial" w:cs="Arial" w:eastAsia="Arial" w:hAnsi="Arial"/>
                <w:sz w:val="10"/>
                <w:szCs w:val="10"/>
                <w:color w:val="auto"/>
              </w:rPr>
              <w:t>Allowance for credit losses to total loans</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1.78 %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1.76 %</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1.81 %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1.85 %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1.88 %</w:t>
            </w:r>
          </w:p>
        </w:tc>
        <w:tc>
          <w:tcPr>
            <w:tcW w:w="0" w:type="dxa"/>
            <w:vAlign w:val="bottom"/>
          </w:tcPr>
          <w:p>
            <w:pPr>
              <w:spacing w:after="0"/>
              <w:rPr>
                <w:sz w:val="1"/>
                <w:szCs w:val="1"/>
                <w:color w:val="auto"/>
              </w:rPr>
            </w:pPr>
          </w:p>
        </w:tc>
      </w:tr>
      <w:tr>
        <w:trPr>
          <w:trHeight w:val="138"/>
        </w:trPr>
        <w:tc>
          <w:tcPr>
            <w:tcW w:w="3620" w:type="dxa"/>
            <w:vAlign w:val="bottom"/>
            <w:gridSpan w:val="6"/>
            <w:shd w:val="clear" w:color="auto" w:fill="CCEEFF"/>
          </w:tcPr>
          <w:p>
            <w:pPr>
              <w:ind w:left="20"/>
              <w:spacing w:after="0"/>
              <w:rPr>
                <w:sz w:val="20"/>
                <w:szCs w:val="20"/>
                <w:color w:val="auto"/>
              </w:rPr>
            </w:pPr>
            <w:r>
              <w:rPr>
                <w:rFonts w:ascii="Arial" w:cs="Arial" w:eastAsia="Arial" w:hAnsi="Arial"/>
                <w:sz w:val="10"/>
                <w:szCs w:val="10"/>
                <w:color w:val="auto"/>
              </w:rPr>
              <w:t>Allowance for credit losses to non-performing loans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97.94 %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95.51 %</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98.67 %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100.44 %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101.53 %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20" w:type="dxa"/>
            <w:vAlign w:val="bottom"/>
            <w:gridSpan w:val="6"/>
            <w:shd w:val="clear" w:color="auto" w:fill="CCEEFF"/>
          </w:tcPr>
          <w:p>
            <w:pPr>
              <w:ind w:left="20"/>
              <w:spacing w:after="0" w:line="117" w:lineRule="exact"/>
              <w:rPr>
                <w:sz w:val="20"/>
                <w:szCs w:val="20"/>
                <w:color w:val="auto"/>
              </w:rPr>
            </w:pPr>
            <w:r>
              <w:rPr>
                <w:rFonts w:ascii="Arial" w:cs="Arial" w:eastAsia="Arial" w:hAnsi="Arial"/>
                <w:sz w:val="11"/>
                <w:szCs w:val="11"/>
                <w:b w:val="1"/>
                <w:bCs w:val="1"/>
                <w:color w:val="auto"/>
              </w:rPr>
              <w:t>Bank Capital Ratios:</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000000"/>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620" w:type="dxa"/>
            <w:vAlign w:val="bottom"/>
            <w:gridSpan w:val="6"/>
          </w:tcPr>
          <w:p>
            <w:pPr>
              <w:ind w:left="20"/>
              <w:spacing w:after="0" w:line="135" w:lineRule="exact"/>
              <w:rPr>
                <w:sz w:val="20"/>
                <w:szCs w:val="20"/>
                <w:color w:val="auto"/>
              </w:rPr>
            </w:pPr>
            <w:r>
              <w:rPr>
                <w:rFonts w:ascii="Arial" w:cs="Arial" w:eastAsia="Arial" w:hAnsi="Arial"/>
                <w:sz w:val="10"/>
                <w:szCs w:val="10"/>
                <w:color w:val="auto"/>
              </w:rPr>
              <w:t>Total risk based capital ratio</w:t>
            </w:r>
            <w:r>
              <w:rPr>
                <w:rFonts w:ascii="Arial" w:cs="Arial" w:eastAsia="Arial" w:hAnsi="Arial"/>
                <w:sz w:val="12"/>
                <w:szCs w:val="12"/>
                <w:color w:val="auto"/>
                <w:vertAlign w:val="superscript"/>
              </w:rPr>
              <w:t>(3)</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12.52 %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12.60 %</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12.52 %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12.60 %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12.95 %</w:t>
            </w:r>
          </w:p>
        </w:tc>
        <w:tc>
          <w:tcPr>
            <w:tcW w:w="0" w:type="dxa"/>
            <w:vAlign w:val="bottom"/>
          </w:tcPr>
          <w:p>
            <w:pPr>
              <w:spacing w:after="0"/>
              <w:rPr>
                <w:sz w:val="1"/>
                <w:szCs w:val="1"/>
                <w:color w:val="auto"/>
              </w:rPr>
            </w:pPr>
          </w:p>
        </w:tc>
      </w:tr>
      <w:tr>
        <w:trPr>
          <w:trHeight w:val="135"/>
        </w:trPr>
        <w:tc>
          <w:tcPr>
            <w:tcW w:w="362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0"/>
                <w:szCs w:val="10"/>
                <w:color w:val="auto"/>
              </w:rPr>
              <w:t>Tier-1 risk based capital ratio</w:t>
            </w:r>
            <w:r>
              <w:rPr>
                <w:rFonts w:ascii="Arial" w:cs="Arial" w:eastAsia="Arial" w:hAnsi="Arial"/>
                <w:sz w:val="12"/>
                <w:szCs w:val="12"/>
                <w:color w:val="auto"/>
                <w:vertAlign w:val="superscript"/>
              </w:rPr>
              <w:t>(3)</w:t>
            </w: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11.26 %</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11.34 %</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11.26 %</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11.34 %</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11.69 %</w:t>
            </w:r>
          </w:p>
        </w:tc>
        <w:tc>
          <w:tcPr>
            <w:tcW w:w="0" w:type="dxa"/>
            <w:vAlign w:val="bottom"/>
          </w:tcPr>
          <w:p>
            <w:pPr>
              <w:spacing w:after="0"/>
              <w:rPr>
                <w:sz w:val="1"/>
                <w:szCs w:val="1"/>
                <w:color w:val="auto"/>
              </w:rPr>
            </w:pPr>
          </w:p>
        </w:tc>
      </w:tr>
      <w:tr>
        <w:trPr>
          <w:trHeight w:val="135"/>
        </w:trPr>
        <w:tc>
          <w:tcPr>
            <w:tcW w:w="3620" w:type="dxa"/>
            <w:vAlign w:val="bottom"/>
            <w:gridSpan w:val="6"/>
          </w:tcPr>
          <w:p>
            <w:pPr>
              <w:ind w:left="20"/>
              <w:spacing w:after="0" w:line="135" w:lineRule="exact"/>
              <w:rPr>
                <w:sz w:val="20"/>
                <w:szCs w:val="20"/>
                <w:color w:val="auto"/>
              </w:rPr>
            </w:pPr>
            <w:r>
              <w:rPr>
                <w:rFonts w:ascii="Arial" w:cs="Arial" w:eastAsia="Arial" w:hAnsi="Arial"/>
                <w:sz w:val="10"/>
                <w:szCs w:val="10"/>
                <w:color w:val="auto"/>
              </w:rPr>
              <w:t>Leverage ratio</w:t>
            </w:r>
            <w:r>
              <w:rPr>
                <w:rFonts w:ascii="Arial" w:cs="Arial" w:eastAsia="Arial" w:hAnsi="Arial"/>
                <w:sz w:val="12"/>
                <w:szCs w:val="12"/>
                <w:color w:val="auto"/>
                <w:vertAlign w:val="superscript"/>
              </w:rPr>
              <w:t>(3)</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9.15 %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8.97 %</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9.00 %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9.24 %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9.34 %</w:t>
            </w:r>
          </w:p>
        </w:tc>
        <w:tc>
          <w:tcPr>
            <w:tcW w:w="0" w:type="dxa"/>
            <w:vAlign w:val="bottom"/>
          </w:tcPr>
          <w:p>
            <w:pPr>
              <w:spacing w:after="0"/>
              <w:rPr>
                <w:sz w:val="1"/>
                <w:szCs w:val="1"/>
                <w:color w:val="auto"/>
              </w:rPr>
            </w:pPr>
          </w:p>
        </w:tc>
      </w:tr>
      <w:tr>
        <w:trPr>
          <w:trHeight w:val="135"/>
        </w:trPr>
        <w:tc>
          <w:tcPr>
            <w:tcW w:w="362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0"/>
                <w:szCs w:val="10"/>
                <w:color w:val="auto"/>
              </w:rPr>
              <w:t>Common Equity Tier-1 capital ratio</w:t>
            </w:r>
            <w:r>
              <w:rPr>
                <w:rFonts w:ascii="Arial" w:cs="Arial" w:eastAsia="Arial" w:hAnsi="Arial"/>
                <w:sz w:val="12"/>
                <w:szCs w:val="12"/>
                <w:color w:val="auto"/>
                <w:vertAlign w:val="superscript"/>
              </w:rPr>
              <w:t>(3)</w:t>
            </w: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11.26 %</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11.34 %</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11.26 %</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11.34 %</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11.69 %</w:t>
            </w:r>
          </w:p>
        </w:tc>
        <w:tc>
          <w:tcPr>
            <w:tcW w:w="0" w:type="dxa"/>
            <w:vAlign w:val="bottom"/>
          </w:tcPr>
          <w:p>
            <w:pPr>
              <w:spacing w:after="0"/>
              <w:rPr>
                <w:sz w:val="1"/>
                <w:szCs w:val="1"/>
                <w:color w:val="auto"/>
              </w:rPr>
            </w:pPr>
          </w:p>
        </w:tc>
      </w:tr>
      <w:tr>
        <w:trPr>
          <w:trHeight w:val="135"/>
        </w:trPr>
        <w:tc>
          <w:tcPr>
            <w:tcW w:w="3620" w:type="dxa"/>
            <w:vAlign w:val="bottom"/>
            <w:gridSpan w:val="6"/>
          </w:tcPr>
          <w:p>
            <w:pPr>
              <w:ind w:left="20"/>
              <w:spacing w:after="0" w:line="135" w:lineRule="exact"/>
              <w:rPr>
                <w:sz w:val="20"/>
                <w:szCs w:val="20"/>
                <w:color w:val="auto"/>
              </w:rPr>
            </w:pPr>
            <w:r>
              <w:rPr>
                <w:rFonts w:ascii="Arial" w:cs="Arial" w:eastAsia="Arial" w:hAnsi="Arial"/>
                <w:sz w:val="10"/>
                <w:szCs w:val="10"/>
                <w:color w:val="auto"/>
              </w:rPr>
              <w:t>Tangible common equity</w:t>
            </w:r>
            <w:r>
              <w:rPr>
                <w:rFonts w:ascii="Arial" w:cs="Arial" w:eastAsia="Arial" w:hAnsi="Arial"/>
                <w:sz w:val="12"/>
                <w:szCs w:val="12"/>
                <w:color w:val="auto"/>
                <w:vertAlign w:val="superscript"/>
              </w:rPr>
              <w:t>(3)</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9.34 %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9.06 %</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8.40 %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8.75 %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9.06 %</w:t>
            </w:r>
          </w:p>
        </w:tc>
        <w:tc>
          <w:tcPr>
            <w:tcW w:w="0" w:type="dxa"/>
            <w:vAlign w:val="bottom"/>
          </w:tcPr>
          <w:p>
            <w:pPr>
              <w:spacing w:after="0"/>
              <w:rPr>
                <w:sz w:val="1"/>
                <w:szCs w:val="1"/>
                <w:color w:val="auto"/>
              </w:rPr>
            </w:pPr>
          </w:p>
        </w:tc>
      </w:tr>
      <w:tr>
        <w:trPr>
          <w:trHeight w:val="117"/>
        </w:trPr>
        <w:tc>
          <w:tcPr>
            <w:tcW w:w="3620" w:type="dxa"/>
            <w:vAlign w:val="bottom"/>
            <w:gridSpan w:val="6"/>
            <w:shd w:val="clear" w:color="auto" w:fill="CCEEFF"/>
          </w:tcPr>
          <w:p>
            <w:pPr>
              <w:ind w:left="20"/>
              <w:spacing w:after="0" w:line="117" w:lineRule="exact"/>
              <w:rPr>
                <w:sz w:val="20"/>
                <w:szCs w:val="20"/>
                <w:color w:val="auto"/>
              </w:rPr>
            </w:pPr>
            <w:r>
              <w:rPr>
                <w:rFonts w:ascii="Arial" w:cs="Arial" w:eastAsia="Arial" w:hAnsi="Arial"/>
                <w:sz w:val="11"/>
                <w:szCs w:val="11"/>
                <w:b w:val="1"/>
                <w:bCs w:val="1"/>
                <w:color w:val="auto"/>
              </w:rPr>
              <w:t>Holding Company Capital Ratios:</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620" w:type="dxa"/>
            <w:vAlign w:val="bottom"/>
            <w:gridSpan w:val="6"/>
          </w:tcPr>
          <w:p>
            <w:pPr>
              <w:ind w:left="20"/>
              <w:spacing w:after="0" w:line="135" w:lineRule="exact"/>
              <w:rPr>
                <w:sz w:val="20"/>
                <w:szCs w:val="20"/>
                <w:color w:val="auto"/>
              </w:rPr>
            </w:pPr>
            <w:r>
              <w:rPr>
                <w:rFonts w:ascii="Arial" w:cs="Arial" w:eastAsia="Arial" w:hAnsi="Arial"/>
                <w:sz w:val="10"/>
                <w:szCs w:val="10"/>
                <w:color w:val="auto"/>
              </w:rPr>
              <w:t>Total risk based capital ratio</w:t>
            </w:r>
            <w:r>
              <w:rPr>
                <w:rFonts w:ascii="Arial" w:cs="Arial" w:eastAsia="Arial" w:hAnsi="Arial"/>
                <w:sz w:val="12"/>
                <w:szCs w:val="12"/>
                <w:color w:val="auto"/>
                <w:vertAlign w:val="superscript"/>
              </w:rPr>
              <w:t>(3)</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14.58 %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14.49 %</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14.25 %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14.31 %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15.25 %</w:t>
            </w:r>
          </w:p>
        </w:tc>
        <w:tc>
          <w:tcPr>
            <w:tcW w:w="0" w:type="dxa"/>
            <w:vAlign w:val="bottom"/>
          </w:tcPr>
          <w:p>
            <w:pPr>
              <w:spacing w:after="0"/>
              <w:rPr>
                <w:sz w:val="1"/>
                <w:szCs w:val="1"/>
                <w:color w:val="auto"/>
              </w:rPr>
            </w:pPr>
          </w:p>
        </w:tc>
      </w:tr>
      <w:tr>
        <w:trPr>
          <w:trHeight w:val="135"/>
        </w:trPr>
        <w:tc>
          <w:tcPr>
            <w:tcW w:w="362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0"/>
                <w:szCs w:val="10"/>
                <w:color w:val="auto"/>
              </w:rPr>
              <w:t>Tier-1 risk based capital ratio</w:t>
            </w:r>
            <w:r>
              <w:rPr>
                <w:rFonts w:ascii="Arial" w:cs="Arial" w:eastAsia="Arial" w:hAnsi="Arial"/>
                <w:sz w:val="12"/>
                <w:szCs w:val="12"/>
                <w:color w:val="auto"/>
                <w:vertAlign w:val="superscript"/>
              </w:rPr>
              <w:t>(3)</w:t>
            </w: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13.32 %</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13.23 %</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12.99 %</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13.05 %</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13.62 %</w:t>
            </w:r>
          </w:p>
        </w:tc>
        <w:tc>
          <w:tcPr>
            <w:tcW w:w="0" w:type="dxa"/>
            <w:vAlign w:val="bottom"/>
          </w:tcPr>
          <w:p>
            <w:pPr>
              <w:spacing w:after="0"/>
              <w:rPr>
                <w:sz w:val="1"/>
                <w:szCs w:val="1"/>
                <w:color w:val="auto"/>
              </w:rPr>
            </w:pPr>
          </w:p>
        </w:tc>
      </w:tr>
      <w:tr>
        <w:trPr>
          <w:trHeight w:val="135"/>
        </w:trPr>
        <w:tc>
          <w:tcPr>
            <w:tcW w:w="3620" w:type="dxa"/>
            <w:vAlign w:val="bottom"/>
            <w:gridSpan w:val="6"/>
          </w:tcPr>
          <w:p>
            <w:pPr>
              <w:ind w:left="20"/>
              <w:spacing w:after="0" w:line="135" w:lineRule="exact"/>
              <w:rPr>
                <w:sz w:val="20"/>
                <w:szCs w:val="20"/>
                <w:color w:val="auto"/>
              </w:rPr>
            </w:pPr>
            <w:r>
              <w:rPr>
                <w:rFonts w:ascii="Arial" w:cs="Arial" w:eastAsia="Arial" w:hAnsi="Arial"/>
                <w:sz w:val="10"/>
                <w:szCs w:val="10"/>
                <w:color w:val="auto"/>
              </w:rPr>
              <w:t>Leverage ratio</w:t>
            </w:r>
            <w:r>
              <w:rPr>
                <w:rFonts w:ascii="Arial" w:cs="Arial" w:eastAsia="Arial" w:hAnsi="Arial"/>
                <w:sz w:val="12"/>
                <w:szCs w:val="12"/>
                <w:color w:val="auto"/>
                <w:vertAlign w:val="superscript"/>
              </w:rPr>
              <w:t>(3)</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10.84 %</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10.51 %</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10.48 %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10.71 %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10.98 %</w:t>
            </w:r>
          </w:p>
        </w:tc>
        <w:tc>
          <w:tcPr>
            <w:tcW w:w="0" w:type="dxa"/>
            <w:vAlign w:val="bottom"/>
          </w:tcPr>
          <w:p>
            <w:pPr>
              <w:spacing w:after="0"/>
              <w:rPr>
                <w:sz w:val="1"/>
                <w:szCs w:val="1"/>
                <w:color w:val="auto"/>
              </w:rPr>
            </w:pPr>
          </w:p>
        </w:tc>
      </w:tr>
      <w:tr>
        <w:trPr>
          <w:trHeight w:val="135"/>
        </w:trPr>
        <w:tc>
          <w:tcPr>
            <w:tcW w:w="362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0"/>
                <w:szCs w:val="10"/>
                <w:color w:val="auto"/>
              </w:rPr>
              <w:t>Common Equity Tier-1 capital ratio</w:t>
            </w:r>
            <w:r>
              <w:rPr>
                <w:rFonts w:ascii="Arial" w:cs="Arial" w:eastAsia="Arial" w:hAnsi="Arial"/>
                <w:sz w:val="12"/>
                <w:szCs w:val="12"/>
                <w:color w:val="auto"/>
                <w:vertAlign w:val="superscript"/>
              </w:rPr>
              <w:t>(3)</w:t>
            </w: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13.25 %</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13.16 %</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12.92 %</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12.98 %</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13.54 %</w:t>
            </w:r>
          </w:p>
        </w:tc>
        <w:tc>
          <w:tcPr>
            <w:tcW w:w="0" w:type="dxa"/>
            <w:vAlign w:val="bottom"/>
          </w:tcPr>
          <w:p>
            <w:pPr>
              <w:spacing w:after="0"/>
              <w:rPr>
                <w:sz w:val="1"/>
                <w:szCs w:val="1"/>
                <w:color w:val="auto"/>
              </w:rPr>
            </w:pPr>
          </w:p>
        </w:tc>
      </w:tr>
      <w:tr>
        <w:trPr>
          <w:trHeight w:val="168"/>
        </w:trPr>
        <w:tc>
          <w:tcPr>
            <w:tcW w:w="3620" w:type="dxa"/>
            <w:vAlign w:val="bottom"/>
            <w:gridSpan w:val="6"/>
          </w:tcPr>
          <w:p>
            <w:pPr>
              <w:ind w:left="20"/>
              <w:spacing w:after="0"/>
              <w:rPr>
                <w:sz w:val="20"/>
                <w:szCs w:val="20"/>
                <w:color w:val="auto"/>
              </w:rPr>
            </w:pPr>
            <w:r>
              <w:rPr>
                <w:rFonts w:ascii="Arial" w:cs="Arial" w:eastAsia="Arial" w:hAnsi="Arial"/>
                <w:sz w:val="10"/>
                <w:szCs w:val="10"/>
                <w:color w:val="auto"/>
              </w:rPr>
              <w:t>Tangible common equity</w:t>
            </w:r>
            <w:r>
              <w:rPr>
                <w:rFonts w:ascii="Arial" w:cs="Arial" w:eastAsia="Arial" w:hAnsi="Arial"/>
                <w:sz w:val="12"/>
                <w:szCs w:val="12"/>
                <w:color w:val="auto"/>
                <w:vertAlign w:val="superscript"/>
              </w:rPr>
              <w:t>(3)</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11.02 %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10.54 %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9.73 %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10.07 %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10.60 %</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w:t>
      </w:r>
    </w:p>
    <w:p>
      <w:pPr>
        <w:ind w:left="208" w:hanging="208"/>
        <w:spacing w:after="0" w:line="215" w:lineRule="auto"/>
        <w:tabs>
          <w:tab w:leader="none" w:pos="208" w:val="left"/>
        </w:tabs>
        <w:numPr>
          <w:ilvl w:val="0"/>
          <w:numId w:val="35"/>
        </w:numPr>
        <w:rPr>
          <w:rFonts w:ascii="Arial" w:cs="Arial" w:eastAsia="Arial" w:hAnsi="Arial"/>
          <w:sz w:val="11"/>
          <w:szCs w:val="11"/>
          <w:color w:val="auto"/>
          <w:vertAlign w:val="superscript"/>
        </w:rPr>
      </w:pPr>
      <w:r>
        <w:rPr>
          <w:rFonts w:ascii="Arial" w:cs="Arial" w:eastAsia="Arial" w:hAnsi="Arial"/>
          <w:sz w:val="8"/>
          <w:szCs w:val="8"/>
          <w:color w:val="auto"/>
        </w:rPr>
        <w:t>Annualized.</w:t>
      </w:r>
    </w:p>
    <w:p>
      <w:pPr>
        <w:ind w:left="208" w:hanging="208"/>
        <w:spacing w:after="0" w:line="187" w:lineRule="auto"/>
        <w:tabs>
          <w:tab w:leader="none" w:pos="208" w:val="left"/>
        </w:tabs>
        <w:numPr>
          <w:ilvl w:val="0"/>
          <w:numId w:val="35"/>
        </w:numPr>
        <w:rPr>
          <w:rFonts w:ascii="Arial" w:cs="Arial" w:eastAsia="Arial" w:hAnsi="Arial"/>
          <w:sz w:val="11"/>
          <w:szCs w:val="11"/>
          <w:color w:val="auto"/>
          <w:vertAlign w:val="superscript"/>
        </w:rPr>
      </w:pPr>
      <w:r>
        <w:rPr>
          <w:rFonts w:ascii="Arial" w:cs="Arial" w:eastAsia="Arial" w:hAnsi="Arial"/>
          <w:sz w:val="8"/>
          <w:szCs w:val="8"/>
          <w:color w:val="auto"/>
        </w:rPr>
        <w:t>Refer to Appendix for reconciliation of non-GAAP measures.</w:t>
      </w:r>
    </w:p>
    <w:p>
      <w:pPr>
        <w:ind w:left="208" w:hanging="208"/>
        <w:spacing w:after="0" w:line="193" w:lineRule="auto"/>
        <w:tabs>
          <w:tab w:leader="none" w:pos="208" w:val="left"/>
        </w:tabs>
        <w:numPr>
          <w:ilvl w:val="0"/>
          <w:numId w:val="35"/>
        </w:numPr>
        <w:rPr>
          <w:rFonts w:ascii="Arial" w:cs="Arial" w:eastAsia="Arial" w:hAnsi="Arial"/>
          <w:sz w:val="11"/>
          <w:szCs w:val="11"/>
          <w:color w:val="auto"/>
          <w:vertAlign w:val="superscript"/>
        </w:rPr>
      </w:pPr>
      <w:r>
        <w:rPr>
          <w:rFonts w:ascii="Arial" w:cs="Arial" w:eastAsia="Arial" w:hAnsi="Arial"/>
          <w:sz w:val="8"/>
          <w:szCs w:val="8"/>
          <w:color w:val="auto"/>
        </w:rPr>
        <w:t>Estimated ratio at September 30, 2026.</w:t>
      </w:r>
    </w:p>
    <w:p>
      <w:pPr>
        <w:spacing w:after="0" w:line="3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288"/>
          </w:cols>
          <w:pgMar w:left="292" w:top="526" w:right="319" w:bottom="1440" w:gutter="0" w:footer="0" w:header="0"/>
        </w:sectPr>
      </w:pPr>
    </w:p>
    <w:bookmarkStart w:id="26" w:name="page27"/>
    <w:bookmarkEnd w:id="26"/>
    <w:p>
      <w:pPr>
        <w:ind w:left="28"/>
        <w:spacing w:after="0"/>
        <w:rPr>
          <w:sz w:val="20"/>
          <w:szCs w:val="20"/>
          <w:color w:val="auto"/>
        </w:rPr>
      </w:pPr>
      <w:r>
        <w:rPr>
          <w:rFonts w:ascii="Arial" w:cs="Arial" w:eastAsia="Arial" w:hAnsi="Arial"/>
          <w:sz w:val="14"/>
          <w:szCs w:val="14"/>
          <w:b w:val="1"/>
          <w:bCs w:val="1"/>
          <w:u w:val="single" w:color="auto"/>
          <w:color w:val="auto"/>
        </w:rPr>
        <w:t>HISTORICAL FINANCIAL HIGHLIGHTS - Unaudited (continued)</w:t>
      </w:r>
    </w:p>
    <w:p>
      <w:pPr>
        <w:spacing w:after="0" w:line="37"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ind w:left="200"/>
              <w:spacing w:after="0"/>
              <w:rPr>
                <w:sz w:val="20"/>
                <w:szCs w:val="20"/>
                <w:color w:val="auto"/>
              </w:rPr>
            </w:pPr>
            <w:r>
              <w:rPr>
                <w:rFonts w:ascii="Arial" w:cs="Arial" w:eastAsia="Arial" w:hAnsi="Arial"/>
                <w:sz w:val="10"/>
                <w:szCs w:val="10"/>
                <w:b w:val="1"/>
                <w:bCs w:val="1"/>
                <w:color w:val="auto"/>
              </w:rPr>
              <w:t>Quarter Ended</w:t>
            </w: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gridSpan w:val="2"/>
          </w:tcPr>
          <w:p>
            <w:pPr>
              <w:ind w:left="180"/>
              <w:spacing w:after="0" w:line="91" w:lineRule="exact"/>
              <w:rPr>
                <w:sz w:val="20"/>
                <w:szCs w:val="20"/>
                <w:color w:val="auto"/>
              </w:rPr>
            </w:pPr>
            <w:r>
              <w:rPr>
                <w:rFonts w:ascii="Arial" w:cs="Arial" w:eastAsia="Arial" w:hAnsi="Arial"/>
                <w:sz w:val="10"/>
                <w:szCs w:val="10"/>
                <w:b w:val="1"/>
                <w:bCs w:val="1"/>
                <w:color w:val="auto"/>
              </w:rPr>
              <w:t>September 30,</w:t>
            </w: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June 30, 2026</w:t>
            </w:r>
          </w:p>
        </w:tc>
        <w:tc>
          <w:tcPr>
            <w:tcW w:w="240" w:type="dxa"/>
            <w:vAlign w:val="bottom"/>
          </w:tcPr>
          <w:p>
            <w:pPr>
              <w:spacing w:after="0"/>
              <w:rPr>
                <w:sz w:val="7"/>
                <w:szCs w:val="7"/>
                <w:color w:val="auto"/>
              </w:rPr>
            </w:pPr>
          </w:p>
        </w:tc>
        <w:tc>
          <w:tcPr>
            <w:tcW w:w="1320" w:type="dxa"/>
            <w:vAlign w:val="bottom"/>
            <w:gridSpan w:val="2"/>
          </w:tcPr>
          <w:p>
            <w:pPr>
              <w:ind w:left="280"/>
              <w:spacing w:after="0" w:line="91" w:lineRule="exact"/>
              <w:rPr>
                <w:sz w:val="20"/>
                <w:szCs w:val="20"/>
                <w:color w:val="auto"/>
              </w:rPr>
            </w:pPr>
            <w:r>
              <w:rPr>
                <w:rFonts w:ascii="Arial" w:cs="Arial" w:eastAsia="Arial" w:hAnsi="Arial"/>
                <w:sz w:val="10"/>
                <w:szCs w:val="10"/>
                <w:b w:val="1"/>
                <w:bCs w:val="1"/>
                <w:color w:val="auto"/>
              </w:rPr>
              <w:t>March 31,</w:t>
            </w:r>
          </w:p>
        </w:tc>
        <w:tc>
          <w:tcPr>
            <w:tcW w:w="240" w:type="dxa"/>
            <w:vAlign w:val="bottom"/>
          </w:tcPr>
          <w:p>
            <w:pPr>
              <w:spacing w:after="0"/>
              <w:rPr>
                <w:sz w:val="7"/>
                <w:szCs w:val="7"/>
                <w:color w:val="auto"/>
              </w:rPr>
            </w:pPr>
          </w:p>
        </w:tc>
        <w:tc>
          <w:tcPr>
            <w:tcW w:w="1320" w:type="dxa"/>
            <w:vAlign w:val="bottom"/>
            <w:gridSpan w:val="2"/>
          </w:tcPr>
          <w:p>
            <w:pPr>
              <w:ind w:left="180"/>
              <w:spacing w:after="0" w:line="91" w:lineRule="exact"/>
              <w:rPr>
                <w:sz w:val="20"/>
                <w:szCs w:val="20"/>
                <w:color w:val="auto"/>
              </w:rPr>
            </w:pPr>
            <w:r>
              <w:rPr>
                <w:rFonts w:ascii="Arial" w:cs="Arial" w:eastAsia="Arial" w:hAnsi="Arial"/>
                <w:sz w:val="10"/>
                <w:szCs w:val="10"/>
                <w:b w:val="1"/>
                <w:bCs w:val="1"/>
                <w:color w:val="auto"/>
              </w:rPr>
              <w:t>December 31,</w:t>
            </w:r>
          </w:p>
        </w:tc>
        <w:tc>
          <w:tcPr>
            <w:tcW w:w="240" w:type="dxa"/>
            <w:vAlign w:val="bottom"/>
          </w:tcPr>
          <w:p>
            <w:pPr>
              <w:spacing w:after="0"/>
              <w:rPr>
                <w:sz w:val="7"/>
                <w:szCs w:val="7"/>
                <w:color w:val="auto"/>
              </w:rPr>
            </w:pPr>
          </w:p>
        </w:tc>
        <w:tc>
          <w:tcPr>
            <w:tcW w:w="1240" w:type="dxa"/>
            <w:vAlign w:val="bottom"/>
          </w:tcPr>
          <w:p>
            <w:pPr>
              <w:jc w:val="right"/>
              <w:ind w:right="372"/>
              <w:spacing w:after="0" w:line="91"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24"/>
        </w:trPr>
        <w:tc>
          <w:tcPr>
            <w:tcW w:w="3620" w:type="dxa"/>
            <w:vAlign w:val="bottom"/>
            <w:gridSpan w:val="8"/>
          </w:tcPr>
          <w:p>
            <w:pPr>
              <w:ind w:left="20"/>
              <w:spacing w:after="0"/>
              <w:rPr>
                <w:sz w:val="20"/>
                <w:szCs w:val="20"/>
                <w:color w:val="auto"/>
              </w:rPr>
            </w:pPr>
            <w:r>
              <w:rPr>
                <w:rFonts w:ascii="Arial" w:cs="Arial" w:eastAsia="Arial" w:hAnsi="Arial"/>
                <w:sz w:val="7"/>
                <w:szCs w:val="7"/>
                <w:color w:val="auto"/>
              </w:rPr>
              <w:t>(in thousands, except per share data)</w:t>
            </w:r>
          </w:p>
        </w:tc>
        <w:tc>
          <w:tcPr>
            <w:tcW w:w="240" w:type="dxa"/>
            <w:vAlign w:val="bottom"/>
          </w:tcPr>
          <w:p>
            <w:pPr>
              <w:spacing w:after="0"/>
              <w:rPr>
                <w:sz w:val="10"/>
                <w:szCs w:val="10"/>
                <w:color w:val="auto"/>
              </w:rPr>
            </w:pPr>
          </w:p>
        </w:tc>
        <w:tc>
          <w:tcPr>
            <w:tcW w:w="1240" w:type="dxa"/>
            <w:vAlign w:val="bottom"/>
          </w:tcPr>
          <w:p>
            <w:pPr>
              <w:jc w:val="right"/>
              <w:ind w:right="59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ind w:right="59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97"/>
        </w:trPr>
        <w:tc>
          <w:tcPr>
            <w:tcW w:w="3620" w:type="dxa"/>
            <w:vAlign w:val="bottom"/>
            <w:tcBorders>
              <w:top w:val="single" w:sz="8" w:color="CCEEFF"/>
            </w:tcBorders>
            <w:gridSpan w:val="8"/>
            <w:shd w:val="clear" w:color="auto" w:fill="CCEEFF"/>
          </w:tcPr>
          <w:p>
            <w:pPr>
              <w:ind w:left="20"/>
              <w:spacing w:after="0" w:line="97" w:lineRule="exact"/>
              <w:rPr>
                <w:sz w:val="20"/>
                <w:szCs w:val="20"/>
                <w:color w:val="auto"/>
              </w:rPr>
            </w:pPr>
            <w:r>
              <w:rPr>
                <w:rFonts w:ascii="Arial" w:cs="Arial" w:eastAsia="Arial" w:hAnsi="Arial"/>
                <w:sz w:val="11"/>
                <w:szCs w:val="11"/>
                <w:b w:val="1"/>
                <w:bCs w:val="1"/>
                <w:color w:val="auto"/>
              </w:rPr>
              <w:t>Composition of Loans:</w:t>
            </w:r>
          </w:p>
        </w:tc>
        <w:tc>
          <w:tcPr>
            <w:tcW w:w="240" w:type="dxa"/>
            <w:vAlign w:val="bottom"/>
            <w:tcBorders>
              <w:top w:val="single" w:sz="8" w:color="auto"/>
            </w:tcBorders>
            <w:shd w:val="clear" w:color="auto" w:fill="CCEEFF"/>
          </w:tcPr>
          <w:p>
            <w:pPr>
              <w:spacing w:after="0"/>
              <w:rPr>
                <w:sz w:val="8"/>
                <w:szCs w:val="8"/>
                <w:color w:val="auto"/>
              </w:rPr>
            </w:pPr>
          </w:p>
        </w:tc>
        <w:tc>
          <w:tcPr>
            <w:tcW w:w="12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1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2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2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2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3620" w:type="dxa"/>
            <w:vAlign w:val="bottom"/>
            <w:gridSpan w:val="8"/>
          </w:tcPr>
          <w:p>
            <w:pPr>
              <w:ind w:left="20"/>
              <w:spacing w:after="0"/>
              <w:rPr>
                <w:sz w:val="20"/>
                <w:szCs w:val="20"/>
                <w:color w:val="auto"/>
              </w:rPr>
            </w:pPr>
            <w:r>
              <w:rPr>
                <w:rFonts w:ascii="Arial" w:cs="Arial" w:eastAsia="Arial" w:hAnsi="Arial"/>
                <w:sz w:val="10"/>
                <w:szCs w:val="10"/>
                <w:color w:val="auto"/>
              </w:rPr>
              <w:t>Commercial real estate, non owner-occupied</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545,612</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92"/>
              <w:spacing w:after="0"/>
              <w:rPr>
                <w:sz w:val="20"/>
                <w:szCs w:val="20"/>
                <w:color w:val="auto"/>
              </w:rPr>
            </w:pPr>
            <w:r>
              <w:rPr>
                <w:rFonts w:ascii="Arial" w:cs="Arial" w:eastAsia="Arial" w:hAnsi="Arial"/>
                <w:sz w:val="10"/>
                <w:szCs w:val="10"/>
                <w:color w:val="auto"/>
              </w:rPr>
              <w:t>561,805</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522,498</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533,141</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509,878</w:t>
            </w:r>
          </w:p>
        </w:tc>
        <w:tc>
          <w:tcPr>
            <w:tcW w:w="0" w:type="dxa"/>
            <w:vAlign w:val="bottom"/>
          </w:tcPr>
          <w:p>
            <w:pPr>
              <w:spacing w:after="0"/>
              <w:rPr>
                <w:sz w:val="1"/>
                <w:szCs w:val="1"/>
                <w:color w:val="auto"/>
              </w:rPr>
            </w:pPr>
          </w:p>
        </w:tc>
      </w:tr>
      <w:tr>
        <w:trPr>
          <w:trHeight w:val="138"/>
        </w:trPr>
        <w:tc>
          <w:tcPr>
            <w:tcW w:w="362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Commercial real estate, owner-occupied</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419,186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424,109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428,632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418,701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442,827</w:t>
            </w:r>
          </w:p>
        </w:tc>
        <w:tc>
          <w:tcPr>
            <w:tcW w:w="0" w:type="dxa"/>
            <w:vAlign w:val="bottom"/>
          </w:tcPr>
          <w:p>
            <w:pPr>
              <w:spacing w:after="0"/>
              <w:rPr>
                <w:sz w:val="1"/>
                <w:szCs w:val="1"/>
                <w:color w:val="auto"/>
              </w:rPr>
            </w:pPr>
          </w:p>
        </w:tc>
      </w:tr>
      <w:tr>
        <w:trPr>
          <w:trHeight w:val="132"/>
        </w:trPr>
        <w:tc>
          <w:tcPr>
            <w:tcW w:w="3620" w:type="dxa"/>
            <w:vAlign w:val="bottom"/>
            <w:gridSpan w:val="8"/>
          </w:tcPr>
          <w:p>
            <w:pPr>
              <w:ind w:left="20"/>
              <w:spacing w:after="0"/>
              <w:rPr>
                <w:sz w:val="20"/>
                <w:szCs w:val="20"/>
                <w:color w:val="auto"/>
              </w:rPr>
            </w:pPr>
            <w:r>
              <w:rPr>
                <w:rFonts w:ascii="Arial" w:cs="Arial" w:eastAsia="Arial" w:hAnsi="Arial"/>
                <w:sz w:val="10"/>
                <w:szCs w:val="10"/>
                <w:color w:val="auto"/>
              </w:rPr>
              <w:t>Residential real estate</w:t>
            </w: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784,220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ind w:right="92"/>
              <w:spacing w:after="0"/>
              <w:rPr>
                <w:sz w:val="20"/>
                <w:szCs w:val="20"/>
                <w:color w:val="auto"/>
              </w:rPr>
            </w:pPr>
            <w:r>
              <w:rPr>
                <w:rFonts w:ascii="Arial" w:cs="Arial" w:eastAsia="Arial" w:hAnsi="Arial"/>
                <w:sz w:val="10"/>
                <w:szCs w:val="10"/>
                <w:color w:val="auto"/>
              </w:rPr>
              <w:t>797,745</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795,505</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765,808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740,060</w:t>
            </w:r>
          </w:p>
        </w:tc>
        <w:tc>
          <w:tcPr>
            <w:tcW w:w="0" w:type="dxa"/>
            <w:vAlign w:val="bottom"/>
          </w:tcPr>
          <w:p>
            <w:pPr>
              <w:spacing w:after="0"/>
              <w:rPr>
                <w:sz w:val="1"/>
                <w:szCs w:val="1"/>
                <w:color w:val="auto"/>
              </w:rPr>
            </w:pPr>
          </w:p>
        </w:tc>
      </w:tr>
      <w:tr>
        <w:trPr>
          <w:trHeight w:val="138"/>
        </w:trPr>
        <w:tc>
          <w:tcPr>
            <w:tcW w:w="362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Construction real estate</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380,688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370,710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365,706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359,566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344,290</w:t>
            </w:r>
          </w:p>
        </w:tc>
        <w:tc>
          <w:tcPr>
            <w:tcW w:w="0" w:type="dxa"/>
            <w:vAlign w:val="bottom"/>
          </w:tcPr>
          <w:p>
            <w:pPr>
              <w:spacing w:after="0"/>
              <w:rPr>
                <w:sz w:val="1"/>
                <w:szCs w:val="1"/>
                <w:color w:val="auto"/>
              </w:rPr>
            </w:pPr>
          </w:p>
        </w:tc>
      </w:tr>
      <w:tr>
        <w:trPr>
          <w:trHeight w:val="132"/>
        </w:trPr>
        <w:tc>
          <w:tcPr>
            <w:tcW w:w="3620" w:type="dxa"/>
            <w:vAlign w:val="bottom"/>
            <w:gridSpan w:val="8"/>
          </w:tcPr>
          <w:p>
            <w:pPr>
              <w:ind w:left="20"/>
              <w:spacing w:after="0"/>
              <w:rPr>
                <w:sz w:val="20"/>
                <w:szCs w:val="20"/>
                <w:color w:val="auto"/>
              </w:rPr>
            </w:pPr>
            <w:r>
              <w:rPr>
                <w:rFonts w:ascii="Arial" w:cs="Arial" w:eastAsia="Arial" w:hAnsi="Arial"/>
                <w:sz w:val="10"/>
                <w:szCs w:val="10"/>
                <w:color w:val="auto"/>
              </w:rPr>
              <w:t>Commercial and industrial</w:t>
            </w: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774,297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ind w:right="92"/>
              <w:spacing w:after="0"/>
              <w:rPr>
                <w:sz w:val="20"/>
                <w:szCs w:val="20"/>
                <w:color w:val="auto"/>
              </w:rPr>
            </w:pPr>
            <w:r>
              <w:rPr>
                <w:rFonts w:ascii="Arial" w:cs="Arial" w:eastAsia="Arial" w:hAnsi="Arial"/>
                <w:sz w:val="10"/>
                <w:szCs w:val="10"/>
                <w:color w:val="auto"/>
              </w:rPr>
              <w:t>731,575</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730,576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698,289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619,148</w:t>
            </w:r>
          </w:p>
        </w:tc>
        <w:tc>
          <w:tcPr>
            <w:tcW w:w="0" w:type="dxa"/>
            <w:vAlign w:val="bottom"/>
          </w:tcPr>
          <w:p>
            <w:pPr>
              <w:spacing w:after="0"/>
              <w:rPr>
                <w:sz w:val="1"/>
                <w:szCs w:val="1"/>
                <w:color w:val="auto"/>
              </w:rPr>
            </w:pPr>
          </w:p>
        </w:tc>
      </w:tr>
      <w:tr>
        <w:trPr>
          <w:trHeight w:val="138"/>
        </w:trPr>
        <w:tc>
          <w:tcPr>
            <w:tcW w:w="362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Lender finance</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55,601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50,020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43,775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41,421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31,883</w:t>
            </w:r>
          </w:p>
        </w:tc>
        <w:tc>
          <w:tcPr>
            <w:tcW w:w="0" w:type="dxa"/>
            <w:vAlign w:val="bottom"/>
          </w:tcPr>
          <w:p>
            <w:pPr>
              <w:spacing w:after="0"/>
              <w:rPr>
                <w:sz w:val="1"/>
                <w:szCs w:val="1"/>
                <w:color w:val="auto"/>
              </w:rPr>
            </w:pPr>
          </w:p>
        </w:tc>
      </w:tr>
      <w:tr>
        <w:trPr>
          <w:trHeight w:val="132"/>
        </w:trPr>
        <w:tc>
          <w:tcPr>
            <w:tcW w:w="3620" w:type="dxa"/>
            <w:vAlign w:val="bottom"/>
            <w:gridSpan w:val="8"/>
          </w:tcPr>
          <w:p>
            <w:pPr>
              <w:ind w:left="20"/>
              <w:spacing w:after="0"/>
              <w:rPr>
                <w:sz w:val="20"/>
                <w:szCs w:val="20"/>
                <w:color w:val="auto"/>
              </w:rPr>
            </w:pPr>
            <w:r>
              <w:rPr>
                <w:rFonts w:ascii="Arial" w:cs="Arial" w:eastAsia="Arial" w:hAnsi="Arial"/>
                <w:sz w:val="10"/>
                <w:szCs w:val="10"/>
                <w:color w:val="auto"/>
              </w:rPr>
              <w:t>Business equity lines of credit</w:t>
            </w: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4,355</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ind w:right="92"/>
              <w:spacing w:after="0"/>
              <w:rPr>
                <w:sz w:val="20"/>
                <w:szCs w:val="20"/>
                <w:color w:val="auto"/>
              </w:rPr>
            </w:pPr>
            <w:r>
              <w:rPr>
                <w:rFonts w:ascii="Arial" w:cs="Arial" w:eastAsia="Arial" w:hAnsi="Arial"/>
                <w:sz w:val="10"/>
                <w:szCs w:val="10"/>
                <w:color w:val="auto"/>
              </w:rPr>
              <w:t>4,930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4,170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3,818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2,931</w:t>
            </w:r>
          </w:p>
        </w:tc>
        <w:tc>
          <w:tcPr>
            <w:tcW w:w="0" w:type="dxa"/>
            <w:vAlign w:val="bottom"/>
          </w:tcPr>
          <w:p>
            <w:pPr>
              <w:spacing w:after="0"/>
              <w:rPr>
                <w:sz w:val="1"/>
                <w:szCs w:val="1"/>
                <w:color w:val="auto"/>
              </w:rPr>
            </w:pPr>
          </w:p>
        </w:tc>
      </w:tr>
      <w:tr>
        <w:trPr>
          <w:trHeight w:val="138"/>
        </w:trPr>
        <w:tc>
          <w:tcPr>
            <w:tcW w:w="362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Credit card, net of reserve</w:t>
            </w:r>
            <w:r>
              <w:rPr>
                <w:rFonts w:ascii="Arial" w:cs="Arial" w:eastAsia="Arial" w:hAnsi="Arial"/>
                <w:sz w:val="12"/>
                <w:szCs w:val="12"/>
                <w:color w:val="auto"/>
                <w:vertAlign w:val="superscript"/>
              </w:rPr>
              <w:t>(4)</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149,184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145,266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134,789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142,397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136,483</w:t>
            </w:r>
          </w:p>
        </w:tc>
        <w:tc>
          <w:tcPr>
            <w:tcW w:w="0" w:type="dxa"/>
            <w:vAlign w:val="bottom"/>
          </w:tcPr>
          <w:p>
            <w:pPr>
              <w:spacing w:after="0"/>
              <w:rPr>
                <w:sz w:val="1"/>
                <w:szCs w:val="1"/>
                <w:color w:val="auto"/>
              </w:rPr>
            </w:pPr>
          </w:p>
        </w:tc>
      </w:tr>
      <w:tr>
        <w:trPr>
          <w:trHeight w:val="132"/>
        </w:trPr>
        <w:tc>
          <w:tcPr>
            <w:tcW w:w="3620" w:type="dxa"/>
            <w:vAlign w:val="bottom"/>
            <w:tcBorders>
              <w:bottom w:val="single" w:sz="8" w:color="CCEEFF"/>
            </w:tcBorders>
            <w:gridSpan w:val="8"/>
          </w:tcPr>
          <w:p>
            <w:pPr>
              <w:ind w:left="20"/>
              <w:spacing w:after="0"/>
              <w:rPr>
                <w:sz w:val="20"/>
                <w:szCs w:val="20"/>
                <w:color w:val="auto"/>
              </w:rPr>
            </w:pPr>
            <w:r>
              <w:rPr>
                <w:rFonts w:ascii="Arial" w:cs="Arial" w:eastAsia="Arial" w:hAnsi="Arial"/>
                <w:sz w:val="10"/>
                <w:szCs w:val="10"/>
                <w:color w:val="auto"/>
              </w:rPr>
              <w:t>Other consumer loans</w:t>
            </w: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5,539</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3,772</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4,779</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1,930</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2,010</w:t>
            </w: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3600" w:type="dxa"/>
            <w:vAlign w:val="bottom"/>
            <w:gridSpan w:val="7"/>
            <w:shd w:val="clear" w:color="auto" w:fill="CCEEFF"/>
          </w:tcPr>
          <w:p>
            <w:pPr>
              <w:ind w:left="140"/>
              <w:spacing w:after="0"/>
              <w:rPr>
                <w:sz w:val="20"/>
                <w:szCs w:val="20"/>
                <w:color w:val="auto"/>
              </w:rPr>
            </w:pPr>
            <w:r>
              <w:rPr>
                <w:rFonts w:ascii="Arial" w:cs="Arial" w:eastAsia="Arial" w:hAnsi="Arial"/>
                <w:sz w:val="10"/>
                <w:szCs w:val="10"/>
                <w:color w:val="auto"/>
              </w:rPr>
              <w:t>Portfolio loans receivable</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3,118,682</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3,089,932</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3,030,430</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2,965,071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2,829,510</w:t>
            </w:r>
          </w:p>
        </w:tc>
        <w:tc>
          <w:tcPr>
            <w:tcW w:w="0" w:type="dxa"/>
            <w:vAlign w:val="bottom"/>
          </w:tcPr>
          <w:p>
            <w:pPr>
              <w:spacing w:after="0"/>
              <w:rPr>
                <w:sz w:val="1"/>
                <w:szCs w:val="1"/>
                <w:color w:val="auto"/>
              </w:rPr>
            </w:pPr>
          </w:p>
        </w:tc>
      </w:tr>
      <w:tr>
        <w:trPr>
          <w:trHeight w:val="132"/>
        </w:trPr>
        <w:tc>
          <w:tcPr>
            <w:tcW w:w="3620" w:type="dxa"/>
            <w:vAlign w:val="bottom"/>
            <w:tcBorders>
              <w:bottom w:val="single" w:sz="8" w:color="CCEEFF"/>
            </w:tcBorders>
            <w:gridSpan w:val="8"/>
          </w:tcPr>
          <w:p>
            <w:pPr>
              <w:ind w:left="20"/>
              <w:spacing w:after="0"/>
              <w:rPr>
                <w:sz w:val="20"/>
                <w:szCs w:val="20"/>
                <w:color w:val="auto"/>
              </w:rPr>
            </w:pPr>
            <w:r>
              <w:rPr>
                <w:rFonts w:ascii="Arial" w:cs="Arial" w:eastAsia="Arial" w:hAnsi="Arial"/>
                <w:sz w:val="10"/>
                <w:szCs w:val="10"/>
                <w:color w:val="auto"/>
              </w:rPr>
              <w:t>Deferred origination fees, net</w:t>
            </w: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(4,418)</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(3,982)</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(3,999)</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(5,614)</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(7,527)</w:t>
            </w:r>
          </w:p>
        </w:tc>
        <w:tc>
          <w:tcPr>
            <w:tcW w:w="0" w:type="dxa"/>
            <w:vAlign w:val="bottom"/>
          </w:tcPr>
          <w:p>
            <w:pPr>
              <w:spacing w:after="0"/>
              <w:rPr>
                <w:sz w:val="1"/>
                <w:szCs w:val="1"/>
                <w:color w:val="auto"/>
              </w:rPr>
            </w:pPr>
          </w:p>
        </w:tc>
      </w:tr>
      <w:tr>
        <w:trPr>
          <w:trHeight w:val="124"/>
        </w:trPr>
        <w:tc>
          <w:tcPr>
            <w:tcW w:w="20" w:type="dxa"/>
            <w:vAlign w:val="bottom"/>
            <w:shd w:val="clear" w:color="auto" w:fill="CCEEFF"/>
          </w:tcPr>
          <w:p>
            <w:pPr>
              <w:spacing w:after="0"/>
              <w:rPr>
                <w:sz w:val="10"/>
                <w:szCs w:val="10"/>
                <w:color w:val="auto"/>
              </w:rPr>
            </w:pPr>
          </w:p>
        </w:tc>
        <w:tc>
          <w:tcPr>
            <w:tcW w:w="3600" w:type="dxa"/>
            <w:vAlign w:val="bottom"/>
            <w:gridSpan w:val="7"/>
            <w:shd w:val="clear" w:color="auto" w:fill="CCEEFF"/>
          </w:tcPr>
          <w:p>
            <w:pPr>
              <w:ind w:left="140"/>
              <w:spacing w:after="0"/>
              <w:rPr>
                <w:sz w:val="20"/>
                <w:szCs w:val="20"/>
                <w:color w:val="auto"/>
              </w:rPr>
            </w:pPr>
            <w:r>
              <w:rPr>
                <w:rFonts w:ascii="Arial" w:cs="Arial" w:eastAsia="Arial" w:hAnsi="Arial"/>
                <w:sz w:val="10"/>
                <w:szCs w:val="10"/>
                <w:color w:val="auto"/>
              </w:rPr>
              <w:t>Portfolio loans receivable, net</w:t>
            </w: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3,114,264</w:t>
            </w:r>
          </w:p>
        </w:tc>
        <w:tc>
          <w:tcPr>
            <w:tcW w:w="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3,085,950</w:t>
            </w:r>
          </w:p>
        </w:tc>
        <w:tc>
          <w:tcPr>
            <w:tcW w:w="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3,026,431</w:t>
            </w:r>
          </w:p>
        </w:tc>
        <w:tc>
          <w:tcPr>
            <w:tcW w:w="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2,959,457</w:t>
            </w:r>
          </w:p>
        </w:tc>
        <w:tc>
          <w:tcPr>
            <w:tcW w:w="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2,821,983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20" w:type="dxa"/>
            <w:vAlign w:val="bottom"/>
            <w:gridSpan w:val="8"/>
            <w:shd w:val="clear" w:color="auto" w:fill="CCEEFF"/>
          </w:tcPr>
          <w:p>
            <w:pPr>
              <w:ind w:left="20"/>
              <w:spacing w:after="0" w:line="117" w:lineRule="exact"/>
              <w:rPr>
                <w:sz w:val="20"/>
                <w:szCs w:val="20"/>
                <w:color w:val="auto"/>
              </w:rPr>
            </w:pPr>
            <w:r>
              <w:rPr>
                <w:rFonts w:ascii="Arial" w:cs="Arial" w:eastAsia="Arial" w:hAnsi="Arial"/>
                <w:sz w:val="11"/>
                <w:szCs w:val="11"/>
                <w:b w:val="1"/>
                <w:bCs w:val="1"/>
                <w:color w:val="auto"/>
              </w:rPr>
              <w:t>Composition of Deposits:</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3620" w:type="dxa"/>
            <w:vAlign w:val="bottom"/>
            <w:gridSpan w:val="8"/>
          </w:tcPr>
          <w:p>
            <w:pPr>
              <w:ind w:left="20"/>
              <w:spacing w:after="0"/>
              <w:rPr>
                <w:sz w:val="20"/>
                <w:szCs w:val="20"/>
                <w:color w:val="auto"/>
              </w:rPr>
            </w:pPr>
            <w:r>
              <w:rPr>
                <w:rFonts w:ascii="Arial" w:cs="Arial" w:eastAsia="Arial" w:hAnsi="Arial"/>
                <w:sz w:val="10"/>
                <w:szCs w:val="10"/>
                <w:color w:val="auto"/>
              </w:rPr>
              <w:t>Noninterest-bearing</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844,536</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92"/>
              <w:spacing w:after="0"/>
              <w:rPr>
                <w:sz w:val="20"/>
                <w:szCs w:val="20"/>
                <w:color w:val="auto"/>
              </w:rPr>
            </w:pPr>
            <w:r>
              <w:rPr>
                <w:rFonts w:ascii="Arial" w:cs="Arial" w:eastAsia="Arial" w:hAnsi="Arial"/>
                <w:sz w:val="10"/>
                <w:szCs w:val="10"/>
                <w:color w:val="auto"/>
              </w:rPr>
              <w:t>897,363</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871,677</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852,741</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857,543</w:t>
            </w:r>
          </w:p>
        </w:tc>
        <w:tc>
          <w:tcPr>
            <w:tcW w:w="0" w:type="dxa"/>
            <w:vAlign w:val="bottom"/>
          </w:tcPr>
          <w:p>
            <w:pPr>
              <w:spacing w:after="0"/>
              <w:rPr>
                <w:sz w:val="1"/>
                <w:szCs w:val="1"/>
                <w:color w:val="auto"/>
              </w:rPr>
            </w:pPr>
          </w:p>
        </w:tc>
      </w:tr>
      <w:tr>
        <w:trPr>
          <w:trHeight w:val="138"/>
        </w:trPr>
        <w:tc>
          <w:tcPr>
            <w:tcW w:w="362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Interest-bearing demand</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323,139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391,544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341,723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257,233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275,767</w:t>
            </w:r>
          </w:p>
        </w:tc>
        <w:tc>
          <w:tcPr>
            <w:tcW w:w="0" w:type="dxa"/>
            <w:vAlign w:val="bottom"/>
          </w:tcPr>
          <w:p>
            <w:pPr>
              <w:spacing w:after="0"/>
              <w:rPr>
                <w:sz w:val="1"/>
                <w:szCs w:val="1"/>
                <w:color w:val="auto"/>
              </w:rPr>
            </w:pPr>
          </w:p>
        </w:tc>
      </w:tr>
      <w:tr>
        <w:trPr>
          <w:trHeight w:val="132"/>
        </w:trPr>
        <w:tc>
          <w:tcPr>
            <w:tcW w:w="3620" w:type="dxa"/>
            <w:vAlign w:val="bottom"/>
            <w:gridSpan w:val="8"/>
          </w:tcPr>
          <w:p>
            <w:pPr>
              <w:ind w:left="20"/>
              <w:spacing w:after="0"/>
              <w:rPr>
                <w:sz w:val="20"/>
                <w:szCs w:val="20"/>
                <w:color w:val="auto"/>
              </w:rPr>
            </w:pPr>
            <w:r>
              <w:rPr>
                <w:rFonts w:ascii="Arial" w:cs="Arial" w:eastAsia="Arial" w:hAnsi="Arial"/>
                <w:sz w:val="10"/>
                <w:szCs w:val="10"/>
                <w:color w:val="auto"/>
              </w:rPr>
              <w:t>Savings</w:t>
            </w: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30,538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ind w:right="92"/>
              <w:spacing w:after="0"/>
              <w:rPr>
                <w:sz w:val="20"/>
                <w:szCs w:val="20"/>
                <w:color w:val="auto"/>
              </w:rPr>
            </w:pPr>
            <w:r>
              <w:rPr>
                <w:rFonts w:ascii="Arial" w:cs="Arial" w:eastAsia="Arial" w:hAnsi="Arial"/>
                <w:sz w:val="10"/>
                <w:szCs w:val="10"/>
                <w:color w:val="auto"/>
              </w:rPr>
              <w:t>23,077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21,471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11,679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12,835</w:t>
            </w:r>
          </w:p>
        </w:tc>
        <w:tc>
          <w:tcPr>
            <w:tcW w:w="0" w:type="dxa"/>
            <w:vAlign w:val="bottom"/>
          </w:tcPr>
          <w:p>
            <w:pPr>
              <w:spacing w:after="0"/>
              <w:rPr>
                <w:sz w:val="1"/>
                <w:szCs w:val="1"/>
                <w:color w:val="auto"/>
              </w:rPr>
            </w:pPr>
          </w:p>
        </w:tc>
      </w:tr>
      <w:tr>
        <w:trPr>
          <w:trHeight w:val="138"/>
        </w:trPr>
        <w:tc>
          <w:tcPr>
            <w:tcW w:w="362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Money markets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1,379,580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1,390,778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1,276,034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1,105,183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989,159</w:t>
            </w:r>
          </w:p>
        </w:tc>
        <w:tc>
          <w:tcPr>
            <w:tcW w:w="0" w:type="dxa"/>
            <w:vAlign w:val="bottom"/>
          </w:tcPr>
          <w:p>
            <w:pPr>
              <w:spacing w:after="0"/>
              <w:rPr>
                <w:sz w:val="1"/>
                <w:szCs w:val="1"/>
                <w:color w:val="auto"/>
              </w:rPr>
            </w:pPr>
          </w:p>
        </w:tc>
      </w:tr>
      <w:tr>
        <w:trPr>
          <w:trHeight w:val="132"/>
        </w:trPr>
        <w:tc>
          <w:tcPr>
            <w:tcW w:w="3620" w:type="dxa"/>
            <w:vAlign w:val="bottom"/>
            <w:gridSpan w:val="8"/>
          </w:tcPr>
          <w:p>
            <w:pPr>
              <w:ind w:left="20"/>
              <w:spacing w:after="0"/>
              <w:rPr>
                <w:sz w:val="20"/>
                <w:szCs w:val="20"/>
                <w:color w:val="auto"/>
              </w:rPr>
            </w:pPr>
            <w:r>
              <w:rPr>
                <w:rFonts w:ascii="Arial" w:cs="Arial" w:eastAsia="Arial" w:hAnsi="Arial"/>
                <w:sz w:val="10"/>
                <w:szCs w:val="10"/>
                <w:color w:val="auto"/>
              </w:rPr>
              <w:t>Customer time deposits</w:t>
            </w: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410,479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ind w:right="92"/>
              <w:spacing w:after="0"/>
              <w:rPr>
                <w:sz w:val="20"/>
                <w:szCs w:val="20"/>
                <w:color w:val="auto"/>
              </w:rPr>
            </w:pPr>
            <w:r>
              <w:rPr>
                <w:rFonts w:ascii="Arial" w:cs="Arial" w:eastAsia="Arial" w:hAnsi="Arial"/>
                <w:sz w:val="10"/>
                <w:szCs w:val="10"/>
                <w:color w:val="auto"/>
              </w:rPr>
              <w:t>437,358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478,085</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489,687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539,207</w:t>
            </w:r>
          </w:p>
        </w:tc>
        <w:tc>
          <w:tcPr>
            <w:tcW w:w="0" w:type="dxa"/>
            <w:vAlign w:val="bottom"/>
          </w:tcPr>
          <w:p>
            <w:pPr>
              <w:spacing w:after="0"/>
              <w:rPr>
                <w:sz w:val="1"/>
                <w:szCs w:val="1"/>
                <w:color w:val="auto"/>
              </w:rPr>
            </w:pPr>
          </w:p>
        </w:tc>
      </w:tr>
      <w:tr>
        <w:trPr>
          <w:trHeight w:val="138"/>
        </w:trPr>
        <w:tc>
          <w:tcPr>
            <w:tcW w:w="362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Brokered time deposits</w:t>
            </w: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330,863</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230,983</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303,057</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376,677</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237,542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600" w:type="dxa"/>
            <w:vAlign w:val="bottom"/>
            <w:gridSpan w:val="7"/>
          </w:tcPr>
          <w:p>
            <w:pPr>
              <w:ind w:left="140"/>
              <w:spacing w:after="0"/>
              <w:rPr>
                <w:sz w:val="20"/>
                <w:szCs w:val="20"/>
                <w:color w:val="auto"/>
              </w:rPr>
            </w:pPr>
            <w:r>
              <w:rPr>
                <w:rFonts w:ascii="Arial" w:cs="Arial" w:eastAsia="Arial" w:hAnsi="Arial"/>
                <w:sz w:val="10"/>
                <w:szCs w:val="10"/>
                <w:color w:val="auto"/>
              </w:rPr>
              <w:t>Total deposits</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3,319,135</w:t>
            </w:r>
          </w:p>
        </w:tc>
        <w:tc>
          <w:tcPr>
            <w:tcW w:w="80" w:type="dxa"/>
            <w:vAlign w:val="bottom"/>
          </w:tcPr>
          <w:p>
            <w:pPr>
              <w:spacing w:after="0"/>
              <w:rPr>
                <w:sz w:val="10"/>
                <w:szCs w:val="10"/>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92"/>
              <w:spacing w:after="0"/>
              <w:rPr>
                <w:sz w:val="20"/>
                <w:szCs w:val="20"/>
                <w:color w:val="auto"/>
              </w:rPr>
            </w:pPr>
            <w:r>
              <w:rPr>
                <w:rFonts w:ascii="Arial" w:cs="Arial" w:eastAsia="Arial" w:hAnsi="Arial"/>
                <w:sz w:val="10"/>
                <w:szCs w:val="10"/>
                <w:color w:val="auto"/>
              </w:rPr>
              <w:t>3,371,103</w:t>
            </w:r>
          </w:p>
        </w:tc>
        <w:tc>
          <w:tcPr>
            <w:tcW w:w="80" w:type="dxa"/>
            <w:vAlign w:val="bottom"/>
          </w:tcPr>
          <w:p>
            <w:pPr>
              <w:spacing w:after="0"/>
              <w:rPr>
                <w:sz w:val="10"/>
                <w:szCs w:val="10"/>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3,292,047</w:t>
            </w:r>
          </w:p>
        </w:tc>
        <w:tc>
          <w:tcPr>
            <w:tcW w:w="80" w:type="dxa"/>
            <w:vAlign w:val="bottom"/>
          </w:tcPr>
          <w:p>
            <w:pPr>
              <w:spacing w:after="0"/>
              <w:rPr>
                <w:sz w:val="10"/>
                <w:szCs w:val="10"/>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3,093,200</w:t>
            </w:r>
          </w:p>
        </w:tc>
        <w:tc>
          <w:tcPr>
            <w:tcW w:w="80" w:type="dxa"/>
            <w:vAlign w:val="bottom"/>
          </w:tcPr>
          <w:p>
            <w:pPr>
              <w:spacing w:after="0"/>
              <w:rPr>
                <w:sz w:val="10"/>
                <w:szCs w:val="10"/>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2,912,053</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20" w:type="dxa"/>
            <w:vAlign w:val="bottom"/>
            <w:gridSpan w:val="8"/>
          </w:tcPr>
          <w:p>
            <w:pPr>
              <w:ind w:left="20"/>
              <w:spacing w:after="0" w:line="117" w:lineRule="exact"/>
              <w:rPr>
                <w:sz w:val="20"/>
                <w:szCs w:val="20"/>
                <w:color w:val="auto"/>
              </w:rPr>
            </w:pPr>
            <w:r>
              <w:rPr>
                <w:rFonts w:ascii="Arial" w:cs="Arial" w:eastAsia="Arial" w:hAnsi="Arial"/>
                <w:sz w:val="11"/>
                <w:szCs w:val="11"/>
                <w:b w:val="1"/>
                <w:bCs w:val="1"/>
                <w:color w:val="auto"/>
              </w:rPr>
              <w:t>Capital Bank Home Loan Metrics:</w:t>
            </w: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62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Origination of loans held for sale</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75,348</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106,885</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72,933</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107,283</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80,651</w:t>
            </w:r>
          </w:p>
        </w:tc>
        <w:tc>
          <w:tcPr>
            <w:tcW w:w="0" w:type="dxa"/>
            <w:vAlign w:val="bottom"/>
          </w:tcPr>
          <w:p>
            <w:pPr>
              <w:spacing w:after="0"/>
              <w:rPr>
                <w:sz w:val="1"/>
                <w:szCs w:val="1"/>
                <w:color w:val="auto"/>
              </w:rPr>
            </w:pPr>
          </w:p>
        </w:tc>
      </w:tr>
      <w:tr>
        <w:trPr>
          <w:trHeight w:val="132"/>
        </w:trPr>
        <w:tc>
          <w:tcPr>
            <w:tcW w:w="3620" w:type="dxa"/>
            <w:vAlign w:val="bottom"/>
            <w:gridSpan w:val="8"/>
          </w:tcPr>
          <w:p>
            <w:pPr>
              <w:ind w:left="20"/>
              <w:spacing w:after="0"/>
              <w:rPr>
                <w:sz w:val="20"/>
                <w:szCs w:val="20"/>
                <w:color w:val="auto"/>
              </w:rPr>
            </w:pPr>
            <w:r>
              <w:rPr>
                <w:rFonts w:ascii="Arial" w:cs="Arial" w:eastAsia="Arial" w:hAnsi="Arial"/>
                <w:sz w:val="10"/>
                <w:szCs w:val="10"/>
                <w:color w:val="auto"/>
              </w:rPr>
              <w:t>Mortgage loans sold</w:t>
            </w: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47,911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ind w:right="92"/>
              <w:spacing w:after="0"/>
              <w:rPr>
                <w:sz w:val="20"/>
                <w:szCs w:val="20"/>
                <w:color w:val="auto"/>
              </w:rPr>
            </w:pPr>
            <w:r>
              <w:rPr>
                <w:rFonts w:ascii="Arial" w:cs="Arial" w:eastAsia="Arial" w:hAnsi="Arial"/>
                <w:sz w:val="10"/>
                <w:szCs w:val="10"/>
                <w:color w:val="auto"/>
              </w:rPr>
              <w:t>87,059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52,423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82,998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66,409</w:t>
            </w:r>
          </w:p>
        </w:tc>
        <w:tc>
          <w:tcPr>
            <w:tcW w:w="0" w:type="dxa"/>
            <w:vAlign w:val="bottom"/>
          </w:tcPr>
          <w:p>
            <w:pPr>
              <w:spacing w:after="0"/>
              <w:rPr>
                <w:sz w:val="1"/>
                <w:szCs w:val="1"/>
                <w:color w:val="auto"/>
              </w:rPr>
            </w:pPr>
          </w:p>
        </w:tc>
      </w:tr>
      <w:tr>
        <w:trPr>
          <w:trHeight w:val="138"/>
        </w:trPr>
        <w:tc>
          <w:tcPr>
            <w:tcW w:w="362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Gain on sale of loans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1,404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2,362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1,496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2,145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1,698</w:t>
            </w:r>
          </w:p>
        </w:tc>
        <w:tc>
          <w:tcPr>
            <w:tcW w:w="0" w:type="dxa"/>
            <w:vAlign w:val="bottom"/>
          </w:tcPr>
          <w:p>
            <w:pPr>
              <w:spacing w:after="0"/>
              <w:rPr>
                <w:sz w:val="1"/>
                <w:szCs w:val="1"/>
                <w:color w:val="auto"/>
              </w:rPr>
            </w:pPr>
          </w:p>
        </w:tc>
      </w:tr>
      <w:tr>
        <w:trPr>
          <w:trHeight w:val="132"/>
        </w:trPr>
        <w:tc>
          <w:tcPr>
            <w:tcW w:w="3620" w:type="dxa"/>
            <w:vAlign w:val="bottom"/>
            <w:gridSpan w:val="8"/>
          </w:tcPr>
          <w:p>
            <w:pPr>
              <w:ind w:left="20"/>
              <w:spacing w:after="0"/>
              <w:rPr>
                <w:sz w:val="20"/>
                <w:szCs w:val="20"/>
                <w:color w:val="auto"/>
              </w:rPr>
            </w:pPr>
            <w:r>
              <w:rPr>
                <w:rFonts w:ascii="Arial" w:cs="Arial" w:eastAsia="Arial" w:hAnsi="Arial"/>
                <w:sz w:val="10"/>
                <w:szCs w:val="10"/>
                <w:color w:val="auto"/>
              </w:rPr>
              <w:t>Purchase volume as a % of originations</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90.50 %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86.14 %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73.15 %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72.77 %</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92.32 %</w:t>
            </w:r>
          </w:p>
        </w:tc>
        <w:tc>
          <w:tcPr>
            <w:tcW w:w="0" w:type="dxa"/>
            <w:vAlign w:val="bottom"/>
          </w:tcPr>
          <w:p>
            <w:pPr>
              <w:spacing w:after="0"/>
              <w:rPr>
                <w:sz w:val="1"/>
                <w:szCs w:val="1"/>
                <w:color w:val="auto"/>
              </w:rPr>
            </w:pPr>
          </w:p>
        </w:tc>
      </w:tr>
      <w:tr>
        <w:trPr>
          <w:trHeight w:val="138"/>
        </w:trPr>
        <w:tc>
          <w:tcPr>
            <w:tcW w:w="362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Gain on sale as a % of loans sold</w:t>
            </w:r>
            <w:r>
              <w:rPr>
                <w:rFonts w:ascii="Arial" w:cs="Arial" w:eastAsia="Arial" w:hAnsi="Arial"/>
                <w:sz w:val="12"/>
                <w:szCs w:val="12"/>
                <w:color w:val="auto"/>
                <w:vertAlign w:val="superscript"/>
              </w:rPr>
              <w:t>(5)</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2.93 %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2.71 %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2.85 %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2.58 %</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2.56 %</w:t>
            </w:r>
          </w:p>
        </w:tc>
        <w:tc>
          <w:tcPr>
            <w:tcW w:w="0" w:type="dxa"/>
            <w:vAlign w:val="bottom"/>
          </w:tcPr>
          <w:p>
            <w:pPr>
              <w:spacing w:after="0"/>
              <w:rPr>
                <w:sz w:val="1"/>
                <w:szCs w:val="1"/>
                <w:color w:val="auto"/>
              </w:rPr>
            </w:pPr>
          </w:p>
        </w:tc>
      </w:tr>
      <w:tr>
        <w:trPr>
          <w:trHeight w:val="132"/>
        </w:trPr>
        <w:tc>
          <w:tcPr>
            <w:tcW w:w="3620" w:type="dxa"/>
            <w:vAlign w:val="bottom"/>
            <w:gridSpan w:val="8"/>
          </w:tcPr>
          <w:p>
            <w:pPr>
              <w:ind w:left="20"/>
              <w:spacing w:after="0"/>
              <w:rPr>
                <w:sz w:val="20"/>
                <w:szCs w:val="20"/>
                <w:color w:val="auto"/>
              </w:rPr>
            </w:pPr>
            <w:r>
              <w:rPr>
                <w:rFonts w:ascii="Arial" w:cs="Arial" w:eastAsia="Arial" w:hAnsi="Arial"/>
                <w:sz w:val="10"/>
                <w:szCs w:val="10"/>
                <w:color w:val="auto"/>
              </w:rPr>
              <w:t>Mortgage commissions</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591</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92"/>
              <w:spacing w:after="0"/>
              <w:rPr>
                <w:sz w:val="20"/>
                <w:szCs w:val="20"/>
                <w:color w:val="auto"/>
              </w:rPr>
            </w:pPr>
            <w:r>
              <w:rPr>
                <w:rFonts w:ascii="Arial" w:cs="Arial" w:eastAsia="Arial" w:hAnsi="Arial"/>
                <w:sz w:val="10"/>
                <w:szCs w:val="10"/>
                <w:color w:val="auto"/>
              </w:rPr>
              <w:t>947</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594</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899</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656</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20" w:type="dxa"/>
            <w:vAlign w:val="bottom"/>
            <w:gridSpan w:val="8"/>
          </w:tcPr>
          <w:p>
            <w:pPr>
              <w:ind w:left="20"/>
              <w:spacing w:after="0" w:line="117" w:lineRule="exact"/>
              <w:rPr>
                <w:sz w:val="20"/>
                <w:szCs w:val="20"/>
                <w:color w:val="auto"/>
              </w:rPr>
            </w:pPr>
            <w:r>
              <w:rPr>
                <w:rFonts w:ascii="Arial" w:cs="Arial" w:eastAsia="Arial" w:hAnsi="Arial"/>
                <w:sz w:val="10"/>
                <w:szCs w:val="10"/>
                <w:b w:val="1"/>
                <w:bCs w:val="1"/>
                <w:color w:val="auto"/>
              </w:rPr>
              <w:t>OpenSky</w:t>
            </w:r>
            <w:r>
              <w:rPr>
                <w:rFonts w:ascii="Arial" w:cs="Arial" w:eastAsia="Arial" w:hAnsi="Arial"/>
                <w:sz w:val="13"/>
                <w:szCs w:val="13"/>
                <w:b w:val="1"/>
                <w:bCs w:val="1"/>
                <w:color w:val="auto"/>
                <w:vertAlign w:val="superscript"/>
              </w:rPr>
              <w:t>™</w:t>
            </w:r>
            <w:r>
              <w:rPr>
                <w:rFonts w:ascii="Arial" w:cs="Arial" w:eastAsia="Arial" w:hAnsi="Arial"/>
                <w:sz w:val="10"/>
                <w:szCs w:val="10"/>
                <w:b w:val="1"/>
                <w:bCs w:val="1"/>
                <w:color w:val="auto"/>
              </w:rPr>
              <w:t xml:space="preserve"> Portfolio Metrics:</w:t>
            </w: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62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Open customer accounts</w:t>
            </w: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575,841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588,594</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588,190</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585,492</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587,641</w:t>
            </w:r>
          </w:p>
        </w:tc>
        <w:tc>
          <w:tcPr>
            <w:tcW w:w="0" w:type="dxa"/>
            <w:vAlign w:val="bottom"/>
          </w:tcPr>
          <w:p>
            <w:pPr>
              <w:spacing w:after="0"/>
              <w:rPr>
                <w:sz w:val="1"/>
                <w:szCs w:val="1"/>
                <w:color w:val="auto"/>
              </w:rPr>
            </w:pPr>
          </w:p>
        </w:tc>
      </w:tr>
      <w:tr>
        <w:trPr>
          <w:trHeight w:val="132"/>
        </w:trPr>
        <w:tc>
          <w:tcPr>
            <w:tcW w:w="3620" w:type="dxa"/>
            <w:vAlign w:val="bottom"/>
            <w:gridSpan w:val="8"/>
          </w:tcPr>
          <w:p>
            <w:pPr>
              <w:ind w:left="20"/>
              <w:spacing w:after="0"/>
              <w:rPr>
                <w:sz w:val="20"/>
                <w:szCs w:val="20"/>
                <w:color w:val="auto"/>
              </w:rPr>
            </w:pPr>
            <w:r>
              <w:rPr>
                <w:rFonts w:ascii="Arial" w:cs="Arial" w:eastAsia="Arial" w:hAnsi="Arial"/>
                <w:sz w:val="10"/>
                <w:szCs w:val="10"/>
                <w:color w:val="auto"/>
              </w:rPr>
              <w:t>Secured credit card loans, gross</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93,672</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92"/>
              <w:spacing w:after="0"/>
              <w:rPr>
                <w:sz w:val="20"/>
                <w:szCs w:val="20"/>
                <w:color w:val="auto"/>
              </w:rPr>
            </w:pPr>
            <w:r>
              <w:rPr>
                <w:rFonts w:ascii="Arial" w:cs="Arial" w:eastAsia="Arial" w:hAnsi="Arial"/>
                <w:sz w:val="10"/>
                <w:szCs w:val="10"/>
                <w:color w:val="auto"/>
              </w:rPr>
              <w:t>96,026</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90,021</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97,313</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98,793</w:t>
            </w:r>
          </w:p>
        </w:tc>
        <w:tc>
          <w:tcPr>
            <w:tcW w:w="0" w:type="dxa"/>
            <w:vAlign w:val="bottom"/>
          </w:tcPr>
          <w:p>
            <w:pPr>
              <w:spacing w:after="0"/>
              <w:rPr>
                <w:sz w:val="1"/>
                <w:szCs w:val="1"/>
                <w:color w:val="auto"/>
              </w:rPr>
            </w:pPr>
          </w:p>
        </w:tc>
      </w:tr>
      <w:tr>
        <w:trPr>
          <w:trHeight w:val="138"/>
        </w:trPr>
        <w:tc>
          <w:tcPr>
            <w:tcW w:w="3620" w:type="dxa"/>
            <w:vAlign w:val="bottom"/>
            <w:gridSpan w:val="8"/>
            <w:shd w:val="clear" w:color="auto" w:fill="CCEEFF"/>
          </w:tcPr>
          <w:p>
            <w:pPr>
              <w:ind w:left="20"/>
              <w:spacing w:after="0"/>
              <w:rPr>
                <w:sz w:val="20"/>
                <w:szCs w:val="20"/>
                <w:color w:val="auto"/>
              </w:rPr>
            </w:pPr>
            <w:r>
              <w:rPr>
                <w:rFonts w:ascii="Arial" w:cs="Arial" w:eastAsia="Arial" w:hAnsi="Arial"/>
                <w:sz w:val="10"/>
                <w:szCs w:val="10"/>
                <w:color w:val="auto"/>
              </w:rPr>
              <w:t>Unsecured credit card loans, gross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57,589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51,234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46,574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47,131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39,576</w:t>
            </w:r>
          </w:p>
        </w:tc>
        <w:tc>
          <w:tcPr>
            <w:tcW w:w="0" w:type="dxa"/>
            <w:vAlign w:val="bottom"/>
          </w:tcPr>
          <w:p>
            <w:pPr>
              <w:spacing w:after="0"/>
              <w:rPr>
                <w:sz w:val="1"/>
                <w:szCs w:val="1"/>
                <w:color w:val="auto"/>
              </w:rPr>
            </w:pPr>
          </w:p>
        </w:tc>
      </w:tr>
      <w:tr>
        <w:trPr>
          <w:trHeight w:val="129"/>
        </w:trPr>
        <w:tc>
          <w:tcPr>
            <w:tcW w:w="3620" w:type="dxa"/>
            <w:vAlign w:val="bottom"/>
            <w:gridSpan w:val="8"/>
          </w:tcPr>
          <w:p>
            <w:pPr>
              <w:ind w:left="20"/>
              <w:spacing w:after="0"/>
              <w:rPr>
                <w:sz w:val="20"/>
                <w:szCs w:val="20"/>
                <w:color w:val="auto"/>
              </w:rPr>
            </w:pPr>
            <w:r>
              <w:rPr>
                <w:rFonts w:ascii="Arial" w:cs="Arial" w:eastAsia="Arial" w:hAnsi="Arial"/>
                <w:sz w:val="10"/>
                <w:szCs w:val="10"/>
                <w:color w:val="auto"/>
              </w:rPr>
              <w:t>Noninterest secured credit card deposits</w:t>
            </w: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162,354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ind w:right="92"/>
              <w:spacing w:after="0"/>
              <w:rPr>
                <w:sz w:val="20"/>
                <w:szCs w:val="20"/>
                <w:color w:val="auto"/>
              </w:rPr>
            </w:pPr>
            <w:r>
              <w:rPr>
                <w:rFonts w:ascii="Arial" w:cs="Arial" w:eastAsia="Arial" w:hAnsi="Arial"/>
                <w:sz w:val="10"/>
                <w:szCs w:val="10"/>
                <w:color w:val="auto"/>
              </w:rPr>
              <w:t>166,174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92"/>
              <w:spacing w:after="0"/>
              <w:rPr>
                <w:sz w:val="20"/>
                <w:szCs w:val="20"/>
                <w:color w:val="auto"/>
              </w:rPr>
            </w:pPr>
            <w:r>
              <w:rPr>
                <w:rFonts w:ascii="Arial" w:cs="Arial" w:eastAsia="Arial" w:hAnsi="Arial"/>
                <w:sz w:val="10"/>
                <w:szCs w:val="10"/>
                <w:color w:val="auto"/>
              </w:rPr>
              <w:t>165,506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163,184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166,874</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w:t>
      </w:r>
    </w:p>
    <w:p>
      <w:pPr>
        <w:spacing w:after="0" w:line="5" w:lineRule="exact"/>
        <w:rPr>
          <w:sz w:val="20"/>
          <w:szCs w:val="20"/>
          <w:color w:val="auto"/>
        </w:rPr>
      </w:pPr>
    </w:p>
    <w:p>
      <w:pPr>
        <w:ind w:left="208" w:hanging="208"/>
        <w:spacing w:after="0"/>
        <w:tabs>
          <w:tab w:leader="none" w:pos="208" w:val="left"/>
        </w:tabs>
        <w:numPr>
          <w:ilvl w:val="0"/>
          <w:numId w:val="36"/>
        </w:numPr>
        <w:rPr>
          <w:rFonts w:ascii="Arial" w:cs="Arial" w:eastAsia="Arial" w:hAnsi="Arial"/>
          <w:sz w:val="11"/>
          <w:szCs w:val="11"/>
          <w:color w:val="auto"/>
          <w:vertAlign w:val="superscript"/>
        </w:rPr>
      </w:pPr>
      <w:r>
        <w:rPr>
          <w:rFonts w:ascii="Arial" w:cs="Arial" w:eastAsia="Arial" w:hAnsi="Arial"/>
          <w:sz w:val="8"/>
          <w:szCs w:val="8"/>
          <w:color w:val="auto"/>
        </w:rPr>
        <w:t>Credit card loans are presented net of reserve for interest and fees.</w:t>
      </w:r>
    </w:p>
    <w:p>
      <w:pPr>
        <w:ind w:left="208" w:hanging="208"/>
        <w:spacing w:after="0" w:line="193" w:lineRule="auto"/>
        <w:tabs>
          <w:tab w:leader="none" w:pos="208" w:val="left"/>
        </w:tabs>
        <w:numPr>
          <w:ilvl w:val="0"/>
          <w:numId w:val="36"/>
        </w:numPr>
        <w:rPr>
          <w:rFonts w:ascii="Arial" w:cs="Arial" w:eastAsia="Arial" w:hAnsi="Arial"/>
          <w:sz w:val="11"/>
          <w:szCs w:val="11"/>
          <w:color w:val="auto"/>
          <w:vertAlign w:val="superscript"/>
        </w:rPr>
      </w:pPr>
      <w:r>
        <w:rPr>
          <w:rFonts w:ascii="Arial" w:cs="Arial" w:eastAsia="Arial" w:hAnsi="Arial"/>
          <w:sz w:val="8"/>
          <w:szCs w:val="8"/>
          <w:color w:val="auto"/>
        </w:rPr>
        <w:t>Gain on sale percentage is calculated as gain on sale of loans divided by mortgage loans sold.</w:t>
      </w:r>
    </w:p>
    <w:p>
      <w:pPr>
        <w:spacing w:after="0" w:line="22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288"/>
          </w:cols>
          <w:pgMar w:left="292" w:top="526" w:right="319" w:bottom="1440" w:gutter="0" w:footer="0" w:header="0"/>
        </w:sectPr>
      </w:pPr>
    </w:p>
    <w:bookmarkStart w:id="27" w:name="page28"/>
    <w:bookmarkEnd w:id="27"/>
    <w:p>
      <w:pPr>
        <w:jc w:val="center"/>
        <w:spacing w:after="0"/>
        <w:rPr>
          <w:sz w:val="20"/>
          <w:szCs w:val="20"/>
          <w:color w:val="auto"/>
        </w:rPr>
      </w:pPr>
      <w:r>
        <w:rPr>
          <w:rFonts w:ascii="Arial" w:cs="Arial" w:eastAsia="Arial" w:hAnsi="Arial"/>
          <w:sz w:val="12"/>
          <w:szCs w:val="12"/>
          <w:color w:val="auto"/>
        </w:rPr>
        <w:t>Appendix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Non-GAAP Measures</w:t>
      </w:r>
    </w:p>
    <w:p>
      <w:pPr>
        <w:spacing w:after="0" w:line="200" w:lineRule="exact"/>
        <w:rPr>
          <w:sz w:val="20"/>
          <w:szCs w:val="20"/>
          <w:color w:val="auto"/>
        </w:rPr>
      </w:pPr>
    </w:p>
    <w:p>
      <w:pPr>
        <w:spacing w:after="0" w:line="284"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The Company has presented the following non-GAAP (U.S. Generally Accepted Accounting Principles) financial measures because it believes that these measures provide useful and comparative information to assess trends in the Company’s results of operations and financial condition. Presentation of these non-GAAP financial measures is consistent with how the Company evaluates its performance internally and these non-GAAP financial measures are frequently used by securities analysts, investors and other interested parties in the evaluation of companies in the Company’s industry. Investors should recognize that the Company’s presentation of these non-GAAP financial measures might not be comparable to similarly-titled measures of other companies. These non-GAAP financial measures should not be considered a substitute for GAAP basis measures and the Company strongly encourages a review of its condensed consolidated financial statements in their entirety.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300"/>
          </w:cols>
          <w:pgMar w:left="300" w:top="289" w:right="299" w:bottom="1440" w:gutter="0" w:footer="0" w:header="0"/>
        </w:sectPr>
      </w:pPr>
    </w:p>
    <w:bookmarkStart w:id="28" w:name="page29"/>
    <w:bookmarkEnd w:id="28"/>
    <w:p>
      <w:pPr>
        <w:jc w:val="center"/>
        <w:ind w:right="-47"/>
        <w:spacing w:after="0"/>
        <w:rPr>
          <w:sz w:val="20"/>
          <w:szCs w:val="20"/>
          <w:color w:val="auto"/>
        </w:rPr>
      </w:pPr>
      <w:r>
        <w:rPr>
          <w:rFonts w:ascii="Arial" w:cs="Arial" w:eastAsia="Arial" w:hAnsi="Arial"/>
          <w:sz w:val="12"/>
          <w:szCs w:val="12"/>
          <w:color w:val="auto"/>
        </w:rPr>
        <w:t>Appendix</w:t>
      </w:r>
    </w:p>
    <w:p>
      <w:pPr>
        <w:spacing w:after="0" w:line="171" w:lineRule="exact"/>
        <w:rPr>
          <w:sz w:val="20"/>
          <w:szCs w:val="20"/>
          <w:color w:val="auto"/>
        </w:rPr>
      </w:pPr>
    </w:p>
    <w:p>
      <w:pPr>
        <w:jc w:val="center"/>
        <w:ind w:right="-47"/>
        <w:spacing w:after="0"/>
        <w:rPr>
          <w:sz w:val="20"/>
          <w:szCs w:val="20"/>
          <w:color w:val="auto"/>
        </w:rPr>
      </w:pPr>
      <w:r>
        <w:rPr>
          <w:rFonts w:ascii="Arial" w:cs="Arial" w:eastAsia="Arial" w:hAnsi="Arial"/>
          <w:sz w:val="14"/>
          <w:szCs w:val="14"/>
          <w:b w:val="1"/>
          <w:bCs w:val="1"/>
          <w:color w:val="auto"/>
        </w:rPr>
        <w:t>Reconciliation of Non-GAAP Measures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260" w:type="dxa"/>
            <w:vAlign w:val="bottom"/>
          </w:tcPr>
          <w:p>
            <w:pPr>
              <w:spacing w:after="0"/>
              <w:rPr>
                <w:sz w:val="20"/>
                <w:szCs w:val="20"/>
                <w:color w:val="auto"/>
              </w:rPr>
            </w:pPr>
            <w:r>
              <w:rPr>
                <w:rFonts w:ascii="Arial" w:cs="Arial" w:eastAsia="Arial" w:hAnsi="Arial"/>
                <w:sz w:val="11"/>
                <w:szCs w:val="11"/>
                <w:b w:val="1"/>
                <w:bCs w:val="1"/>
                <w:color w:val="auto"/>
              </w:rPr>
              <w:t>Core Earnings Metrics</w:t>
            </w: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Quarter Ended</w:t>
            </w: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23"/>
        </w:trPr>
        <w:tc>
          <w:tcPr>
            <w:tcW w:w="4260" w:type="dxa"/>
            <w:vAlign w:val="bottom"/>
          </w:tcPr>
          <w:p>
            <w:pPr>
              <w:spacing w:after="0"/>
              <w:rPr>
                <w:sz w:val="20"/>
                <w:szCs w:val="20"/>
                <w:color w:val="auto"/>
              </w:rPr>
            </w:pPr>
            <w:r>
              <w:rPr>
                <w:rFonts w:ascii="Arial" w:cs="Arial" w:eastAsia="Arial" w:hAnsi="Arial"/>
                <w:sz w:val="7"/>
                <w:szCs w:val="7"/>
                <w:color w:val="auto"/>
              </w:rPr>
              <w:t>(in thousands, except per share data)</w:t>
            </w:r>
          </w:p>
        </w:tc>
        <w:tc>
          <w:tcPr>
            <w:tcW w:w="160" w:type="dxa"/>
            <w:vAlign w:val="bottom"/>
          </w:tcPr>
          <w:p>
            <w:pPr>
              <w:spacing w:after="0"/>
              <w:rPr>
                <w:sz w:val="10"/>
                <w:szCs w:val="10"/>
                <w:color w:val="auto"/>
              </w:rPr>
            </w:pPr>
          </w:p>
        </w:tc>
        <w:tc>
          <w:tcPr>
            <w:tcW w:w="126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2026</w:t>
            </w:r>
          </w:p>
        </w:tc>
        <w:tc>
          <w:tcPr>
            <w:tcW w:w="200" w:type="dxa"/>
            <w:vAlign w:val="bottom"/>
          </w:tcPr>
          <w:p>
            <w:pPr>
              <w:spacing w:after="0"/>
              <w:rPr>
                <w:sz w:val="10"/>
                <w:szCs w:val="10"/>
                <w:color w:val="auto"/>
              </w:rPr>
            </w:pPr>
          </w:p>
        </w:tc>
        <w:tc>
          <w:tcPr>
            <w:tcW w:w="1160" w:type="dxa"/>
            <w:vAlign w:val="bottom"/>
            <w:gridSpan w:val="2"/>
          </w:tcPr>
          <w:p>
            <w:pPr>
              <w:ind w:left="140"/>
              <w:spacing w:after="0"/>
              <w:rPr>
                <w:sz w:val="20"/>
                <w:szCs w:val="20"/>
                <w:color w:val="auto"/>
              </w:rPr>
            </w:pPr>
            <w:r>
              <w:rPr>
                <w:rFonts w:ascii="Arial" w:cs="Arial" w:eastAsia="Arial" w:hAnsi="Arial"/>
                <w:sz w:val="10"/>
                <w:szCs w:val="10"/>
                <w:b w:val="1"/>
                <w:bCs w:val="1"/>
                <w:color w:val="auto"/>
              </w:rPr>
              <w:t>June 30, 2026</w:t>
            </w:r>
          </w:p>
        </w:tc>
        <w:tc>
          <w:tcPr>
            <w:tcW w:w="200" w:type="dxa"/>
            <w:vAlign w:val="bottom"/>
          </w:tcPr>
          <w:p>
            <w:pPr>
              <w:spacing w:after="0"/>
              <w:rPr>
                <w:sz w:val="10"/>
                <w:szCs w:val="10"/>
                <w:color w:val="auto"/>
              </w:rPr>
            </w:pPr>
          </w:p>
        </w:tc>
        <w:tc>
          <w:tcPr>
            <w:tcW w:w="1220" w:type="dxa"/>
            <w:vAlign w:val="bottom"/>
            <w:gridSpan w:val="2"/>
          </w:tcPr>
          <w:p>
            <w:pPr>
              <w:ind w:left="140"/>
              <w:spacing w:after="0"/>
              <w:rPr>
                <w:sz w:val="20"/>
                <w:szCs w:val="20"/>
                <w:color w:val="auto"/>
              </w:rPr>
            </w:pPr>
            <w:r>
              <w:rPr>
                <w:rFonts w:ascii="Arial" w:cs="Arial" w:eastAsia="Arial" w:hAnsi="Arial"/>
                <w:sz w:val="10"/>
                <w:szCs w:val="10"/>
                <w:b w:val="1"/>
                <w:bCs w:val="1"/>
                <w:color w:val="auto"/>
              </w:rPr>
              <w:t>March 31, 2026</w:t>
            </w:r>
          </w:p>
        </w:tc>
        <w:tc>
          <w:tcPr>
            <w:tcW w:w="160" w:type="dxa"/>
            <w:vAlign w:val="bottom"/>
          </w:tcPr>
          <w:p>
            <w:pPr>
              <w:spacing w:after="0"/>
              <w:rPr>
                <w:sz w:val="10"/>
                <w:szCs w:val="10"/>
                <w:color w:val="auto"/>
              </w:rPr>
            </w:pPr>
          </w:p>
        </w:tc>
        <w:tc>
          <w:tcPr>
            <w:tcW w:w="1280" w:type="dxa"/>
            <w:vAlign w:val="bottom"/>
            <w:gridSpan w:val="2"/>
          </w:tcPr>
          <w:p>
            <w:pPr>
              <w:ind w:left="100"/>
              <w:spacing w:after="0"/>
              <w:rPr>
                <w:sz w:val="20"/>
                <w:szCs w:val="20"/>
                <w:color w:val="auto"/>
              </w:rPr>
            </w:pPr>
            <w:r>
              <w:rPr>
                <w:rFonts w:ascii="Arial" w:cs="Arial" w:eastAsia="Arial" w:hAnsi="Arial"/>
                <w:sz w:val="10"/>
                <w:szCs w:val="10"/>
                <w:b w:val="1"/>
                <w:bCs w:val="1"/>
                <w:color w:val="auto"/>
              </w:rPr>
              <w:t>December 31, 2025</w:t>
            </w:r>
          </w:p>
        </w:tc>
        <w:tc>
          <w:tcPr>
            <w:tcW w:w="140" w:type="dxa"/>
            <w:vAlign w:val="bottom"/>
          </w:tcPr>
          <w:p>
            <w:pPr>
              <w:spacing w:after="0"/>
              <w:rPr>
                <w:sz w:val="10"/>
                <w:szCs w:val="10"/>
                <w:color w:val="auto"/>
              </w:rPr>
            </w:pPr>
          </w:p>
        </w:tc>
        <w:tc>
          <w:tcPr>
            <w:tcW w:w="1200" w:type="dxa"/>
            <w:vAlign w:val="bottom"/>
          </w:tcPr>
          <w:p>
            <w:pPr>
              <w:jc w:val="right"/>
              <w:ind w:right="172"/>
              <w:spacing w:after="0"/>
              <w:rPr>
                <w:sz w:val="20"/>
                <w:szCs w:val="20"/>
                <w:color w:val="auto"/>
              </w:rPr>
            </w:pPr>
            <w:r>
              <w:rPr>
                <w:rFonts w:ascii="Arial" w:cs="Arial" w:eastAsia="Arial" w:hAnsi="Arial"/>
                <w:sz w:val="10"/>
                <w:szCs w:val="10"/>
                <w:b w:val="1"/>
                <w:bCs w:val="1"/>
                <w:color w:val="auto"/>
              </w:rPr>
              <w:t>September 30, 2025</w:t>
            </w:r>
          </w:p>
        </w:tc>
      </w:tr>
      <w:tr>
        <w:trPr>
          <w:trHeight w:val="44"/>
        </w:trPr>
        <w:tc>
          <w:tcPr>
            <w:tcW w:w="426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r>
      <w:tr>
        <w:trPr>
          <w:trHeight w:val="135"/>
        </w:trPr>
        <w:tc>
          <w:tcPr>
            <w:tcW w:w="42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Income</w:t>
            </w: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13,122</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14,250</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12,018</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15,037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15,065</w:t>
            </w:r>
          </w:p>
        </w:tc>
      </w:tr>
      <w:tr>
        <w:trPr>
          <w:trHeight w:val="132"/>
        </w:trPr>
        <w:tc>
          <w:tcPr>
            <w:tcW w:w="4260" w:type="dxa"/>
            <w:vAlign w:val="bottom"/>
          </w:tcPr>
          <w:p>
            <w:pPr>
              <w:spacing w:after="0"/>
              <w:rPr>
                <w:sz w:val="20"/>
                <w:szCs w:val="20"/>
                <w:color w:val="auto"/>
              </w:rPr>
            </w:pPr>
            <w:r>
              <w:rPr>
                <w:rFonts w:ascii="Arial" w:cs="Arial" w:eastAsia="Arial" w:hAnsi="Arial"/>
                <w:sz w:val="10"/>
                <w:szCs w:val="10"/>
                <w:color w:val="auto"/>
              </w:rPr>
              <w:t>Deduct: Income from the Call of Brokered Time Deposits, Net of Tax</w:t>
            </w:r>
          </w:p>
        </w:tc>
        <w:tc>
          <w:tcPr>
            <w:tcW w:w="160" w:type="dxa"/>
            <w:vAlign w:val="bottom"/>
          </w:tcPr>
          <w:p>
            <w:pPr>
              <w:spacing w:after="0"/>
              <w:rPr>
                <w:sz w:val="11"/>
                <w:szCs w:val="1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200" w:type="dxa"/>
            <w:vAlign w:val="bottom"/>
          </w:tcPr>
          <w:p>
            <w:pPr>
              <w:jc w:val="right"/>
              <w:ind w:right="52"/>
              <w:spacing w:after="0"/>
              <w:rPr>
                <w:sz w:val="20"/>
                <w:szCs w:val="20"/>
                <w:color w:val="auto"/>
              </w:rPr>
            </w:pPr>
            <w:r>
              <w:rPr>
                <w:rFonts w:ascii="Arial" w:cs="Arial" w:eastAsia="Arial" w:hAnsi="Arial"/>
                <w:sz w:val="10"/>
                <w:szCs w:val="10"/>
                <w:color w:val="auto"/>
              </w:rPr>
              <w:t>(3,489)</w:t>
            </w:r>
          </w:p>
        </w:tc>
      </w:tr>
      <w:tr>
        <w:trPr>
          <w:trHeight w:val="135"/>
        </w:trPr>
        <w:tc>
          <w:tcPr>
            <w:tcW w:w="4260" w:type="dxa"/>
            <w:vAlign w:val="bottom"/>
            <w:shd w:val="clear" w:color="auto" w:fill="CCEEFF"/>
          </w:tcPr>
          <w:p>
            <w:pPr>
              <w:spacing w:after="0"/>
              <w:rPr>
                <w:sz w:val="20"/>
                <w:szCs w:val="20"/>
                <w:color w:val="auto"/>
              </w:rPr>
            </w:pPr>
            <w:r>
              <w:rPr>
                <w:rFonts w:ascii="Arial" w:cs="Arial" w:eastAsia="Arial" w:hAnsi="Arial"/>
                <w:sz w:val="10"/>
                <w:szCs w:val="10"/>
                <w:color w:val="auto"/>
              </w:rPr>
              <w:t>Add: Merger-Related Expenses, Net of Tax</w:t>
            </w: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1,577</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575</w:t>
            </w:r>
          </w:p>
        </w:tc>
      </w:tr>
      <w:tr>
        <w:trPr>
          <w:trHeight w:val="143"/>
        </w:trPr>
        <w:tc>
          <w:tcPr>
            <w:tcW w:w="42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Core Net Income</w:t>
            </w:r>
          </w:p>
        </w:tc>
        <w:tc>
          <w:tcPr>
            <w:tcW w:w="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14,699</w:t>
            </w:r>
          </w:p>
        </w:tc>
        <w:tc>
          <w:tcPr>
            <w:tcW w:w="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14,250</w:t>
            </w:r>
          </w:p>
        </w:tc>
        <w:tc>
          <w:tcPr>
            <w:tcW w:w="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1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12,018</w:t>
            </w:r>
          </w:p>
        </w:tc>
        <w:tc>
          <w:tcPr>
            <w:tcW w:w="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15,037</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12,151</w:t>
            </w:r>
          </w:p>
        </w:tc>
      </w:tr>
      <w:tr>
        <w:trPr>
          <w:trHeight w:val="126"/>
        </w:trPr>
        <w:tc>
          <w:tcPr>
            <w:tcW w:w="4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134"/>
        </w:trPr>
        <w:tc>
          <w:tcPr>
            <w:tcW w:w="4260" w:type="dxa"/>
            <w:vAlign w:val="bottom"/>
          </w:tcPr>
          <w:p>
            <w:pPr>
              <w:spacing w:after="0"/>
              <w:rPr>
                <w:sz w:val="20"/>
                <w:szCs w:val="20"/>
                <w:color w:val="auto"/>
              </w:rPr>
            </w:pPr>
            <w:r>
              <w:rPr>
                <w:rFonts w:ascii="Arial" w:cs="Arial" w:eastAsia="Arial" w:hAnsi="Arial"/>
                <w:sz w:val="10"/>
                <w:szCs w:val="10"/>
                <w:b w:val="1"/>
                <w:bCs w:val="1"/>
                <w:color w:val="auto"/>
              </w:rPr>
              <w:t>Weighted Average Common Shares - Diluted</w:t>
            </w:r>
          </w:p>
        </w:tc>
        <w:tc>
          <w:tcPr>
            <w:tcW w:w="160" w:type="dxa"/>
            <w:vAlign w:val="bottom"/>
          </w:tcPr>
          <w:p>
            <w:pPr>
              <w:spacing w:after="0"/>
              <w:rPr>
                <w:sz w:val="11"/>
                <w:szCs w:val="11"/>
                <w:color w:val="auto"/>
              </w:rPr>
            </w:pP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16,482</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16,373</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16,441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16,493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16,844</w:t>
            </w:r>
          </w:p>
        </w:tc>
      </w:tr>
      <w:tr>
        <w:trPr>
          <w:trHeight w:val="136"/>
        </w:trPr>
        <w:tc>
          <w:tcPr>
            <w:tcW w:w="42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Earnings per Share - Diluted</w:t>
            </w: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0.80</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0.87</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0.73</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0.91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0.89</w:t>
            </w:r>
          </w:p>
        </w:tc>
      </w:tr>
      <w:tr>
        <w:trPr>
          <w:trHeight w:val="134"/>
        </w:trPr>
        <w:tc>
          <w:tcPr>
            <w:tcW w:w="4260" w:type="dxa"/>
            <w:vAlign w:val="bottom"/>
          </w:tcPr>
          <w:p>
            <w:pPr>
              <w:spacing w:after="0"/>
              <w:rPr>
                <w:sz w:val="20"/>
                <w:szCs w:val="20"/>
                <w:color w:val="auto"/>
              </w:rPr>
            </w:pPr>
            <w:r>
              <w:rPr>
                <w:rFonts w:ascii="Arial" w:cs="Arial" w:eastAsia="Arial" w:hAnsi="Arial"/>
                <w:sz w:val="10"/>
                <w:szCs w:val="10"/>
                <w:b w:val="1"/>
                <w:bCs w:val="1"/>
                <w:color w:val="auto"/>
              </w:rPr>
              <w:t>Core Earnings per Share - Diluted</w:t>
            </w: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0.89</w:t>
            </w:r>
          </w:p>
        </w:tc>
        <w:tc>
          <w:tcPr>
            <w:tcW w:w="60" w:type="dxa"/>
            <w:vAlign w:val="bottom"/>
          </w:tcPr>
          <w:p>
            <w:pPr>
              <w:spacing w:after="0"/>
              <w:rPr>
                <w:sz w:val="11"/>
                <w:szCs w:val="11"/>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0.87</w:t>
            </w:r>
          </w:p>
        </w:tc>
        <w:tc>
          <w:tcPr>
            <w:tcW w:w="60" w:type="dxa"/>
            <w:vAlign w:val="bottom"/>
          </w:tcPr>
          <w:p>
            <w:pPr>
              <w:spacing w:after="0"/>
              <w:rPr>
                <w:sz w:val="11"/>
                <w:szCs w:val="11"/>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0.73</w:t>
            </w:r>
          </w:p>
        </w:tc>
        <w:tc>
          <w:tcPr>
            <w:tcW w:w="60" w:type="dxa"/>
            <w:vAlign w:val="bottom"/>
          </w:tcPr>
          <w:p>
            <w:pPr>
              <w:spacing w:after="0"/>
              <w:rPr>
                <w:sz w:val="11"/>
                <w:szCs w:val="11"/>
                <w:color w:val="auto"/>
              </w:rPr>
            </w:pP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0.91</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0.72</w:t>
            </w:r>
          </w:p>
        </w:tc>
      </w:tr>
      <w:tr>
        <w:trPr>
          <w:trHeight w:val="145"/>
        </w:trPr>
        <w:tc>
          <w:tcPr>
            <w:tcW w:w="4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34"/>
        </w:trPr>
        <w:tc>
          <w:tcPr>
            <w:tcW w:w="4260" w:type="dxa"/>
            <w:vAlign w:val="bottom"/>
          </w:tcPr>
          <w:p>
            <w:pPr>
              <w:spacing w:after="0"/>
              <w:rPr>
                <w:sz w:val="20"/>
                <w:szCs w:val="20"/>
                <w:color w:val="auto"/>
              </w:rPr>
            </w:pPr>
            <w:r>
              <w:rPr>
                <w:rFonts w:ascii="Arial" w:cs="Arial" w:eastAsia="Arial" w:hAnsi="Arial"/>
                <w:sz w:val="10"/>
                <w:szCs w:val="10"/>
                <w:b w:val="1"/>
                <w:bCs w:val="1"/>
                <w:color w:val="auto"/>
              </w:rPr>
              <w:t>Average Assets</w:t>
            </w: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3,765,041</w:t>
            </w:r>
          </w:p>
        </w:tc>
        <w:tc>
          <w:tcPr>
            <w:tcW w:w="60" w:type="dxa"/>
            <w:vAlign w:val="bottom"/>
          </w:tcPr>
          <w:p>
            <w:pPr>
              <w:spacing w:after="0"/>
              <w:rPr>
                <w:sz w:val="11"/>
                <w:szCs w:val="11"/>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3,761,511</w:t>
            </w:r>
          </w:p>
        </w:tc>
        <w:tc>
          <w:tcPr>
            <w:tcW w:w="60" w:type="dxa"/>
            <w:vAlign w:val="bottom"/>
          </w:tcPr>
          <w:p>
            <w:pPr>
              <w:spacing w:after="0"/>
              <w:rPr>
                <w:sz w:val="11"/>
                <w:szCs w:val="11"/>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3,651,812</w:t>
            </w:r>
          </w:p>
        </w:tc>
        <w:tc>
          <w:tcPr>
            <w:tcW w:w="60" w:type="dxa"/>
            <w:vAlign w:val="bottom"/>
          </w:tcPr>
          <w:p>
            <w:pPr>
              <w:spacing w:after="0"/>
              <w:rPr>
                <w:sz w:val="11"/>
                <w:szCs w:val="11"/>
                <w:color w:val="auto"/>
              </w:rPr>
            </w:pP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3,498,540</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3,378,296</w:t>
            </w:r>
          </w:p>
        </w:tc>
      </w:tr>
      <w:tr>
        <w:trPr>
          <w:trHeight w:val="136"/>
        </w:trPr>
        <w:tc>
          <w:tcPr>
            <w:tcW w:w="4260" w:type="dxa"/>
            <w:vAlign w:val="bottom"/>
            <w:shd w:val="clear" w:color="auto" w:fill="CCEEFF"/>
          </w:tcPr>
          <w:p>
            <w:pPr>
              <w:spacing w:after="0" w:line="136" w:lineRule="exact"/>
              <w:rPr>
                <w:sz w:val="20"/>
                <w:szCs w:val="20"/>
                <w:color w:val="auto"/>
              </w:rPr>
            </w:pPr>
            <w:r>
              <w:rPr>
                <w:rFonts w:ascii="Arial" w:cs="Arial" w:eastAsia="Arial" w:hAnsi="Arial"/>
                <w:sz w:val="10"/>
                <w:szCs w:val="10"/>
                <w:b w:val="1"/>
                <w:bCs w:val="1"/>
                <w:color w:val="auto"/>
              </w:rPr>
              <w:t>Return on Average Assets</w:t>
            </w:r>
            <w:r>
              <w:rPr>
                <w:rFonts w:ascii="Arial" w:cs="Arial" w:eastAsia="Arial" w:hAnsi="Arial"/>
                <w:sz w:val="12"/>
                <w:szCs w:val="12"/>
                <w:b w:val="1"/>
                <w:bCs w:val="1"/>
                <w:color w:val="auto"/>
                <w:vertAlign w:val="superscript"/>
              </w:rPr>
              <w:t>(1)</w:t>
            </w: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1.38 %</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1.52 %</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1.33 %</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1.71 %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1.77 %</w:t>
            </w:r>
          </w:p>
        </w:tc>
      </w:tr>
      <w:tr>
        <w:trPr>
          <w:trHeight w:val="135"/>
        </w:trPr>
        <w:tc>
          <w:tcPr>
            <w:tcW w:w="4260" w:type="dxa"/>
            <w:vAlign w:val="bottom"/>
          </w:tcPr>
          <w:p>
            <w:pPr>
              <w:spacing w:after="0" w:line="135" w:lineRule="exact"/>
              <w:rPr>
                <w:sz w:val="20"/>
                <w:szCs w:val="20"/>
                <w:color w:val="auto"/>
              </w:rPr>
            </w:pPr>
            <w:r>
              <w:rPr>
                <w:rFonts w:ascii="Arial" w:cs="Arial" w:eastAsia="Arial" w:hAnsi="Arial"/>
                <w:sz w:val="10"/>
                <w:szCs w:val="10"/>
                <w:b w:val="1"/>
                <w:bCs w:val="1"/>
                <w:color w:val="auto"/>
              </w:rPr>
              <w:t>Core Return on Average Assets</w:t>
            </w:r>
            <w:r>
              <w:rPr>
                <w:rFonts w:ascii="Arial" w:cs="Arial" w:eastAsia="Arial" w:hAnsi="Arial"/>
                <w:sz w:val="12"/>
                <w:szCs w:val="12"/>
                <w:b w:val="1"/>
                <w:bCs w:val="1"/>
                <w:color w:val="auto"/>
                <w:vertAlign w:val="superscript"/>
              </w:rPr>
              <w:t>(1)</w:t>
            </w:r>
          </w:p>
        </w:tc>
        <w:tc>
          <w:tcPr>
            <w:tcW w:w="1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1.55 %</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1.52 %</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1.33 %</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1.71 %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1.43 %</w:t>
            </w:r>
          </w:p>
        </w:tc>
      </w:tr>
      <w:tr>
        <w:trPr>
          <w:trHeight w:val="144"/>
        </w:trPr>
        <w:tc>
          <w:tcPr>
            <w:tcW w:w="4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34"/>
        </w:trPr>
        <w:tc>
          <w:tcPr>
            <w:tcW w:w="4260" w:type="dxa"/>
            <w:vAlign w:val="bottom"/>
          </w:tcPr>
          <w:p>
            <w:pPr>
              <w:spacing w:after="0"/>
              <w:rPr>
                <w:sz w:val="20"/>
                <w:szCs w:val="20"/>
                <w:color w:val="auto"/>
              </w:rPr>
            </w:pPr>
            <w:r>
              <w:rPr>
                <w:rFonts w:ascii="Arial" w:cs="Arial" w:eastAsia="Arial" w:hAnsi="Arial"/>
                <w:sz w:val="10"/>
                <w:szCs w:val="10"/>
                <w:b w:val="1"/>
                <w:bCs w:val="1"/>
                <w:color w:val="auto"/>
              </w:rPr>
              <w:t>Average Equity</w:t>
            </w: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427,950</w:t>
            </w:r>
          </w:p>
        </w:tc>
        <w:tc>
          <w:tcPr>
            <w:tcW w:w="60" w:type="dxa"/>
            <w:vAlign w:val="bottom"/>
          </w:tcPr>
          <w:p>
            <w:pPr>
              <w:spacing w:after="0"/>
              <w:rPr>
                <w:sz w:val="11"/>
                <w:szCs w:val="11"/>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414,044</w:t>
            </w:r>
          </w:p>
        </w:tc>
        <w:tc>
          <w:tcPr>
            <w:tcW w:w="60" w:type="dxa"/>
            <w:vAlign w:val="bottom"/>
          </w:tcPr>
          <w:p>
            <w:pPr>
              <w:spacing w:after="0"/>
              <w:rPr>
                <w:sz w:val="11"/>
                <w:szCs w:val="11"/>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405,302</w:t>
            </w:r>
          </w:p>
        </w:tc>
        <w:tc>
          <w:tcPr>
            <w:tcW w:w="60" w:type="dxa"/>
            <w:vAlign w:val="bottom"/>
          </w:tcPr>
          <w:p>
            <w:pPr>
              <w:spacing w:after="0"/>
              <w:rPr>
                <w:sz w:val="11"/>
                <w:szCs w:val="11"/>
                <w:color w:val="auto"/>
              </w:rPr>
            </w:pP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391,750</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383,922</w:t>
            </w:r>
          </w:p>
        </w:tc>
      </w:tr>
      <w:tr>
        <w:trPr>
          <w:trHeight w:val="136"/>
        </w:trPr>
        <w:tc>
          <w:tcPr>
            <w:tcW w:w="4260" w:type="dxa"/>
            <w:vAlign w:val="bottom"/>
            <w:shd w:val="clear" w:color="auto" w:fill="CCEEFF"/>
          </w:tcPr>
          <w:p>
            <w:pPr>
              <w:spacing w:after="0" w:line="136" w:lineRule="exact"/>
              <w:rPr>
                <w:sz w:val="20"/>
                <w:szCs w:val="20"/>
                <w:color w:val="auto"/>
              </w:rPr>
            </w:pPr>
            <w:r>
              <w:rPr>
                <w:rFonts w:ascii="Arial" w:cs="Arial" w:eastAsia="Arial" w:hAnsi="Arial"/>
                <w:sz w:val="10"/>
                <w:szCs w:val="10"/>
                <w:b w:val="1"/>
                <w:bCs w:val="1"/>
                <w:color w:val="auto"/>
              </w:rPr>
              <w:t>Return on Average Equity</w:t>
            </w:r>
            <w:r>
              <w:rPr>
                <w:rFonts w:ascii="Arial" w:cs="Arial" w:eastAsia="Arial" w:hAnsi="Arial"/>
                <w:sz w:val="12"/>
                <w:szCs w:val="12"/>
                <w:b w:val="1"/>
                <w:bCs w:val="1"/>
                <w:color w:val="auto"/>
                <w:vertAlign w:val="superscript"/>
              </w:rPr>
              <w:t>(1)</w:t>
            </w: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12.16 %</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13.80 %</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12.03 %</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15.23 %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15.57 %</w:t>
            </w:r>
          </w:p>
        </w:tc>
      </w:tr>
      <w:tr>
        <w:trPr>
          <w:trHeight w:val="135"/>
        </w:trPr>
        <w:tc>
          <w:tcPr>
            <w:tcW w:w="4260" w:type="dxa"/>
            <w:vAlign w:val="bottom"/>
          </w:tcPr>
          <w:p>
            <w:pPr>
              <w:spacing w:after="0" w:line="135" w:lineRule="exact"/>
              <w:rPr>
                <w:sz w:val="20"/>
                <w:szCs w:val="20"/>
                <w:color w:val="auto"/>
              </w:rPr>
            </w:pPr>
            <w:r>
              <w:rPr>
                <w:rFonts w:ascii="Arial" w:cs="Arial" w:eastAsia="Arial" w:hAnsi="Arial"/>
                <w:sz w:val="10"/>
                <w:szCs w:val="10"/>
                <w:b w:val="1"/>
                <w:bCs w:val="1"/>
                <w:color w:val="auto"/>
              </w:rPr>
              <w:t>Core Return on Average Equity</w:t>
            </w:r>
            <w:r>
              <w:rPr>
                <w:rFonts w:ascii="Arial" w:cs="Arial" w:eastAsia="Arial" w:hAnsi="Arial"/>
                <w:sz w:val="12"/>
                <w:szCs w:val="12"/>
                <w:b w:val="1"/>
                <w:bCs w:val="1"/>
                <w:color w:val="auto"/>
                <w:vertAlign w:val="superscript"/>
              </w:rPr>
              <w:t>(1)</w:t>
            </w:r>
          </w:p>
        </w:tc>
        <w:tc>
          <w:tcPr>
            <w:tcW w:w="1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13.63 %</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13.80 %</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12.03 %</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15.23 %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12.56 %</w:t>
            </w:r>
          </w:p>
        </w:tc>
      </w:tr>
      <w:tr>
        <w:trPr>
          <w:trHeight w:val="144"/>
        </w:trPr>
        <w:tc>
          <w:tcPr>
            <w:tcW w:w="4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34"/>
        </w:trPr>
        <w:tc>
          <w:tcPr>
            <w:tcW w:w="4260" w:type="dxa"/>
            <w:vAlign w:val="bottom"/>
          </w:tcPr>
          <w:p>
            <w:pPr>
              <w:spacing w:after="0"/>
              <w:rPr>
                <w:sz w:val="20"/>
                <w:szCs w:val="20"/>
                <w:color w:val="auto"/>
              </w:rPr>
            </w:pPr>
            <w:r>
              <w:rPr>
                <w:rFonts w:ascii="Arial" w:cs="Arial" w:eastAsia="Arial" w:hAnsi="Arial"/>
                <w:sz w:val="10"/>
                <w:szCs w:val="10"/>
                <w:b w:val="1"/>
                <w:bCs w:val="1"/>
                <w:color w:val="auto"/>
              </w:rPr>
              <w:t>Net Interest Income</w:t>
            </w: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53,078</w:t>
            </w:r>
          </w:p>
        </w:tc>
        <w:tc>
          <w:tcPr>
            <w:tcW w:w="60" w:type="dxa"/>
            <w:vAlign w:val="bottom"/>
          </w:tcPr>
          <w:p>
            <w:pPr>
              <w:spacing w:after="0"/>
              <w:rPr>
                <w:sz w:val="11"/>
                <w:szCs w:val="11"/>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50,929</w:t>
            </w:r>
          </w:p>
        </w:tc>
        <w:tc>
          <w:tcPr>
            <w:tcW w:w="60" w:type="dxa"/>
            <w:vAlign w:val="bottom"/>
          </w:tcPr>
          <w:p>
            <w:pPr>
              <w:spacing w:after="0"/>
              <w:rPr>
                <w:sz w:val="11"/>
                <w:szCs w:val="11"/>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49,398</w:t>
            </w:r>
          </w:p>
        </w:tc>
        <w:tc>
          <w:tcPr>
            <w:tcW w:w="60" w:type="dxa"/>
            <w:vAlign w:val="bottom"/>
          </w:tcPr>
          <w:p>
            <w:pPr>
              <w:spacing w:after="0"/>
              <w:rPr>
                <w:sz w:val="11"/>
                <w:szCs w:val="11"/>
                <w:color w:val="auto"/>
              </w:rPr>
            </w:pP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50,279</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52,020</w:t>
            </w:r>
          </w:p>
        </w:tc>
      </w:tr>
      <w:tr>
        <w:trPr>
          <w:trHeight w:val="136"/>
        </w:trPr>
        <w:tc>
          <w:tcPr>
            <w:tcW w:w="42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Noninterest Income</w:t>
            </w:r>
          </w:p>
        </w:tc>
        <w:tc>
          <w:tcPr>
            <w:tcW w:w="1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15,039</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14,361</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13,373</w:t>
            </w: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12,464</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11,068</w:t>
            </w:r>
          </w:p>
        </w:tc>
      </w:tr>
      <w:tr>
        <w:trPr>
          <w:trHeight w:val="123"/>
        </w:trPr>
        <w:tc>
          <w:tcPr>
            <w:tcW w:w="4260" w:type="dxa"/>
            <w:vAlign w:val="bottom"/>
          </w:tcPr>
          <w:p>
            <w:pPr>
              <w:spacing w:after="0"/>
              <w:rPr>
                <w:sz w:val="20"/>
                <w:szCs w:val="20"/>
                <w:color w:val="auto"/>
              </w:rPr>
            </w:pPr>
            <w:r>
              <w:rPr>
                <w:rFonts w:ascii="Arial" w:cs="Arial" w:eastAsia="Arial" w:hAnsi="Arial"/>
                <w:sz w:val="10"/>
                <w:szCs w:val="10"/>
                <w:b w:val="1"/>
                <w:bCs w:val="1"/>
                <w:color w:val="auto"/>
              </w:rPr>
              <w:t>Total Revenue</w:t>
            </w: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68,117</w:t>
            </w:r>
          </w:p>
        </w:tc>
        <w:tc>
          <w:tcPr>
            <w:tcW w:w="60" w:type="dxa"/>
            <w:vAlign w:val="bottom"/>
          </w:tcPr>
          <w:p>
            <w:pPr>
              <w:spacing w:after="0"/>
              <w:rPr>
                <w:sz w:val="10"/>
                <w:szCs w:val="10"/>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65,290</w:t>
            </w:r>
          </w:p>
        </w:tc>
        <w:tc>
          <w:tcPr>
            <w:tcW w:w="60" w:type="dxa"/>
            <w:vAlign w:val="bottom"/>
          </w:tcPr>
          <w:p>
            <w:pPr>
              <w:spacing w:after="0"/>
              <w:rPr>
                <w:sz w:val="10"/>
                <w:szCs w:val="10"/>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62,771</w:t>
            </w:r>
          </w:p>
        </w:tc>
        <w:tc>
          <w:tcPr>
            <w:tcW w:w="60" w:type="dxa"/>
            <w:vAlign w:val="bottom"/>
          </w:tcPr>
          <w:p>
            <w:pPr>
              <w:spacing w:after="0"/>
              <w:rPr>
                <w:sz w:val="10"/>
                <w:szCs w:val="10"/>
                <w:color w:val="auto"/>
              </w:rPr>
            </w:pP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62,743</w:t>
            </w:r>
          </w:p>
        </w:tc>
        <w:tc>
          <w:tcPr>
            <w:tcW w:w="8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63,088</w:t>
            </w:r>
          </w:p>
        </w:tc>
      </w:tr>
      <w:tr>
        <w:trPr>
          <w:trHeight w:val="135"/>
        </w:trPr>
        <w:tc>
          <w:tcPr>
            <w:tcW w:w="42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Noninterest Expense</w:t>
            </w:r>
          </w:p>
        </w:tc>
        <w:tc>
          <w:tcPr>
            <w:tcW w:w="1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45,722</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43,186</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43,681</w:t>
            </w: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39,103</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38,354</w:t>
            </w:r>
          </w:p>
        </w:tc>
      </w:tr>
      <w:tr>
        <w:trPr>
          <w:trHeight w:val="141"/>
        </w:trPr>
        <w:tc>
          <w:tcPr>
            <w:tcW w:w="4260" w:type="dxa"/>
            <w:vAlign w:val="bottom"/>
            <w:tcBorders>
              <w:bottom w:val="single" w:sz="8" w:color="CCEEFF"/>
            </w:tcBorders>
          </w:tcPr>
          <w:p>
            <w:pPr>
              <w:spacing w:after="0" w:line="125" w:lineRule="exact"/>
              <w:rPr>
                <w:sz w:val="20"/>
                <w:szCs w:val="20"/>
                <w:color w:val="auto"/>
              </w:rPr>
            </w:pPr>
            <w:r>
              <w:rPr>
                <w:rFonts w:ascii="Arial" w:cs="Arial" w:eastAsia="Arial" w:hAnsi="Arial"/>
                <w:sz w:val="10"/>
                <w:szCs w:val="10"/>
                <w:b w:val="1"/>
                <w:bCs w:val="1"/>
                <w:color w:val="auto"/>
              </w:rPr>
              <w:t>Efficiency Ratio</w:t>
            </w:r>
            <w:r>
              <w:rPr>
                <w:rFonts w:ascii="Arial" w:cs="Arial" w:eastAsia="Arial" w:hAnsi="Arial"/>
                <w:sz w:val="12"/>
                <w:szCs w:val="12"/>
                <w:b w:val="1"/>
                <w:bCs w:val="1"/>
                <w:color w:val="auto"/>
                <w:vertAlign w:val="superscript"/>
              </w:rPr>
              <w:t>(2)</w:t>
            </w: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67.1 %</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66.1 %</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69.6 %</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62.3 %</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60.8 %</w:t>
            </w:r>
          </w:p>
        </w:tc>
      </w:tr>
      <w:tr>
        <w:trPr>
          <w:trHeight w:val="126"/>
        </w:trPr>
        <w:tc>
          <w:tcPr>
            <w:tcW w:w="4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134"/>
        </w:trPr>
        <w:tc>
          <w:tcPr>
            <w:tcW w:w="4260" w:type="dxa"/>
            <w:vAlign w:val="bottom"/>
          </w:tcPr>
          <w:p>
            <w:pPr>
              <w:spacing w:after="0"/>
              <w:rPr>
                <w:sz w:val="20"/>
                <w:szCs w:val="20"/>
                <w:color w:val="auto"/>
              </w:rPr>
            </w:pPr>
            <w:r>
              <w:rPr>
                <w:rFonts w:ascii="Arial" w:cs="Arial" w:eastAsia="Arial" w:hAnsi="Arial"/>
                <w:sz w:val="10"/>
                <w:szCs w:val="10"/>
                <w:b w:val="1"/>
                <w:bCs w:val="1"/>
                <w:color w:val="auto"/>
              </w:rPr>
              <w:t>Net Interest Income</w:t>
            </w: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53,078</w:t>
            </w:r>
          </w:p>
        </w:tc>
        <w:tc>
          <w:tcPr>
            <w:tcW w:w="60" w:type="dxa"/>
            <w:vAlign w:val="bottom"/>
          </w:tcPr>
          <w:p>
            <w:pPr>
              <w:spacing w:after="0"/>
              <w:rPr>
                <w:sz w:val="11"/>
                <w:szCs w:val="11"/>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50,929</w:t>
            </w:r>
          </w:p>
        </w:tc>
        <w:tc>
          <w:tcPr>
            <w:tcW w:w="60" w:type="dxa"/>
            <w:vAlign w:val="bottom"/>
          </w:tcPr>
          <w:p>
            <w:pPr>
              <w:spacing w:after="0"/>
              <w:rPr>
                <w:sz w:val="11"/>
                <w:szCs w:val="11"/>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49,398</w:t>
            </w:r>
          </w:p>
        </w:tc>
        <w:tc>
          <w:tcPr>
            <w:tcW w:w="60" w:type="dxa"/>
            <w:vAlign w:val="bottom"/>
          </w:tcPr>
          <w:p>
            <w:pPr>
              <w:spacing w:after="0"/>
              <w:rPr>
                <w:sz w:val="11"/>
                <w:szCs w:val="11"/>
                <w:color w:val="auto"/>
              </w:rPr>
            </w:pP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50,279</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52,020</w:t>
            </w:r>
          </w:p>
        </w:tc>
      </w:tr>
      <w:tr>
        <w:trPr>
          <w:trHeight w:val="136"/>
        </w:trPr>
        <w:tc>
          <w:tcPr>
            <w:tcW w:w="4260" w:type="dxa"/>
            <w:vAlign w:val="bottom"/>
            <w:shd w:val="clear" w:color="auto" w:fill="CCEEFF"/>
          </w:tcPr>
          <w:p>
            <w:pPr>
              <w:spacing w:after="0"/>
              <w:rPr>
                <w:sz w:val="20"/>
                <w:szCs w:val="20"/>
                <w:color w:val="auto"/>
              </w:rPr>
            </w:pPr>
            <w:r>
              <w:rPr>
                <w:rFonts w:ascii="Arial" w:cs="Arial" w:eastAsia="Arial" w:hAnsi="Arial"/>
                <w:sz w:val="10"/>
                <w:szCs w:val="10"/>
                <w:color w:val="auto"/>
              </w:rPr>
              <w:t>Deduct: Income from the Call of Brokered Time Deposits</w:t>
            </w:r>
          </w:p>
        </w:tc>
        <w:tc>
          <w:tcPr>
            <w:tcW w:w="16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4,618</w:t>
            </w:r>
          </w:p>
        </w:tc>
      </w:tr>
      <w:tr>
        <w:trPr>
          <w:trHeight w:val="123"/>
        </w:trPr>
        <w:tc>
          <w:tcPr>
            <w:tcW w:w="4260" w:type="dxa"/>
            <w:vAlign w:val="bottom"/>
          </w:tcPr>
          <w:p>
            <w:pPr>
              <w:spacing w:after="0"/>
              <w:rPr>
                <w:sz w:val="20"/>
                <w:szCs w:val="20"/>
                <w:color w:val="auto"/>
              </w:rPr>
            </w:pPr>
            <w:r>
              <w:rPr>
                <w:rFonts w:ascii="Arial" w:cs="Arial" w:eastAsia="Arial" w:hAnsi="Arial"/>
                <w:sz w:val="10"/>
                <w:szCs w:val="10"/>
                <w:b w:val="1"/>
                <w:bCs w:val="1"/>
                <w:color w:val="auto"/>
              </w:rPr>
              <w:t>Core Net Interest Income (a)</w:t>
            </w:r>
          </w:p>
        </w:tc>
        <w:tc>
          <w:tcPr>
            <w:tcW w:w="16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53,078</w:t>
            </w:r>
          </w:p>
        </w:tc>
        <w:tc>
          <w:tcPr>
            <w:tcW w:w="60" w:type="dxa"/>
            <w:vAlign w:val="bottom"/>
          </w:tcPr>
          <w:p>
            <w:pPr>
              <w:spacing w:after="0"/>
              <w:rPr>
                <w:sz w:val="10"/>
                <w:szCs w:val="10"/>
                <w:color w:val="auto"/>
              </w:rPr>
            </w:pPr>
          </w:p>
        </w:tc>
        <w:tc>
          <w:tcPr>
            <w:tcW w:w="20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50,929</w:t>
            </w:r>
          </w:p>
        </w:tc>
        <w:tc>
          <w:tcPr>
            <w:tcW w:w="60" w:type="dxa"/>
            <w:vAlign w:val="bottom"/>
          </w:tcPr>
          <w:p>
            <w:pPr>
              <w:spacing w:after="0"/>
              <w:rPr>
                <w:sz w:val="10"/>
                <w:szCs w:val="10"/>
                <w:color w:val="auto"/>
              </w:rPr>
            </w:pPr>
          </w:p>
        </w:tc>
        <w:tc>
          <w:tcPr>
            <w:tcW w:w="20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49,398</w:t>
            </w:r>
          </w:p>
        </w:tc>
        <w:tc>
          <w:tcPr>
            <w:tcW w:w="60" w:type="dxa"/>
            <w:vAlign w:val="bottom"/>
          </w:tcPr>
          <w:p>
            <w:pPr>
              <w:spacing w:after="0"/>
              <w:rPr>
                <w:sz w:val="10"/>
                <w:szCs w:val="10"/>
                <w:color w:val="auto"/>
              </w:rPr>
            </w:pPr>
          </w:p>
        </w:tc>
        <w:tc>
          <w:tcPr>
            <w:tcW w:w="16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50,279</w:t>
            </w:r>
          </w:p>
        </w:tc>
        <w:tc>
          <w:tcPr>
            <w:tcW w:w="80" w:type="dxa"/>
            <w:vAlign w:val="bottom"/>
          </w:tcPr>
          <w:p>
            <w:pPr>
              <w:spacing w:after="0"/>
              <w:rPr>
                <w:sz w:val="10"/>
                <w:szCs w:val="10"/>
                <w:color w:val="auto"/>
              </w:rPr>
            </w:pPr>
          </w:p>
        </w:tc>
        <w:tc>
          <w:tcPr>
            <w:tcW w:w="14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47,402</w:t>
            </w:r>
          </w:p>
        </w:tc>
      </w:tr>
      <w:tr>
        <w:trPr>
          <w:trHeight w:val="136"/>
        </w:trPr>
        <w:tc>
          <w:tcPr>
            <w:tcW w:w="42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Noninterest Income (b)</w:t>
            </w:r>
          </w:p>
        </w:tc>
        <w:tc>
          <w:tcPr>
            <w:tcW w:w="1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15,039</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14,361</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13,373</w:t>
            </w: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12,464</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11,068</w:t>
            </w:r>
          </w:p>
        </w:tc>
      </w:tr>
      <w:tr>
        <w:trPr>
          <w:trHeight w:val="123"/>
        </w:trPr>
        <w:tc>
          <w:tcPr>
            <w:tcW w:w="4260" w:type="dxa"/>
            <w:vAlign w:val="bottom"/>
          </w:tcPr>
          <w:p>
            <w:pPr>
              <w:spacing w:after="0"/>
              <w:rPr>
                <w:sz w:val="20"/>
                <w:szCs w:val="20"/>
                <w:color w:val="auto"/>
              </w:rPr>
            </w:pPr>
            <w:r>
              <w:rPr>
                <w:rFonts w:ascii="Arial" w:cs="Arial" w:eastAsia="Arial" w:hAnsi="Arial"/>
                <w:sz w:val="10"/>
                <w:szCs w:val="10"/>
                <w:b w:val="1"/>
                <w:bCs w:val="1"/>
                <w:color w:val="auto"/>
              </w:rPr>
              <w:t>Core Revenue (a) + (b)</w:t>
            </w: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68,117</w:t>
            </w:r>
          </w:p>
        </w:tc>
        <w:tc>
          <w:tcPr>
            <w:tcW w:w="60" w:type="dxa"/>
            <w:vAlign w:val="bottom"/>
          </w:tcPr>
          <w:p>
            <w:pPr>
              <w:spacing w:after="0"/>
              <w:rPr>
                <w:sz w:val="10"/>
                <w:szCs w:val="10"/>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65,290</w:t>
            </w:r>
          </w:p>
        </w:tc>
        <w:tc>
          <w:tcPr>
            <w:tcW w:w="60" w:type="dxa"/>
            <w:vAlign w:val="bottom"/>
          </w:tcPr>
          <w:p>
            <w:pPr>
              <w:spacing w:after="0"/>
              <w:rPr>
                <w:sz w:val="10"/>
                <w:szCs w:val="10"/>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62,771</w:t>
            </w:r>
          </w:p>
        </w:tc>
        <w:tc>
          <w:tcPr>
            <w:tcW w:w="60" w:type="dxa"/>
            <w:vAlign w:val="bottom"/>
          </w:tcPr>
          <w:p>
            <w:pPr>
              <w:spacing w:after="0"/>
              <w:rPr>
                <w:sz w:val="10"/>
                <w:szCs w:val="10"/>
                <w:color w:val="auto"/>
              </w:rPr>
            </w:pP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62,743</w:t>
            </w:r>
          </w:p>
        </w:tc>
        <w:tc>
          <w:tcPr>
            <w:tcW w:w="8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58,470</w:t>
            </w:r>
          </w:p>
        </w:tc>
      </w:tr>
      <w:tr>
        <w:trPr>
          <w:trHeight w:val="145"/>
        </w:trPr>
        <w:tc>
          <w:tcPr>
            <w:tcW w:w="4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34"/>
        </w:trPr>
        <w:tc>
          <w:tcPr>
            <w:tcW w:w="4260" w:type="dxa"/>
            <w:vAlign w:val="bottom"/>
          </w:tcPr>
          <w:p>
            <w:pPr>
              <w:spacing w:after="0"/>
              <w:rPr>
                <w:sz w:val="20"/>
                <w:szCs w:val="20"/>
                <w:color w:val="auto"/>
              </w:rPr>
            </w:pPr>
            <w:r>
              <w:rPr>
                <w:rFonts w:ascii="Arial" w:cs="Arial" w:eastAsia="Arial" w:hAnsi="Arial"/>
                <w:sz w:val="10"/>
                <w:szCs w:val="10"/>
                <w:b w:val="1"/>
                <w:bCs w:val="1"/>
                <w:color w:val="auto"/>
              </w:rPr>
              <w:t>Noninterest Expense</w:t>
            </w: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45,722</w:t>
            </w:r>
          </w:p>
        </w:tc>
        <w:tc>
          <w:tcPr>
            <w:tcW w:w="60" w:type="dxa"/>
            <w:vAlign w:val="bottom"/>
          </w:tcPr>
          <w:p>
            <w:pPr>
              <w:spacing w:after="0"/>
              <w:rPr>
                <w:sz w:val="11"/>
                <w:szCs w:val="11"/>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43,186</w:t>
            </w:r>
          </w:p>
        </w:tc>
        <w:tc>
          <w:tcPr>
            <w:tcW w:w="60" w:type="dxa"/>
            <w:vAlign w:val="bottom"/>
          </w:tcPr>
          <w:p>
            <w:pPr>
              <w:spacing w:after="0"/>
              <w:rPr>
                <w:sz w:val="11"/>
                <w:szCs w:val="11"/>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43,681</w:t>
            </w:r>
          </w:p>
        </w:tc>
        <w:tc>
          <w:tcPr>
            <w:tcW w:w="60" w:type="dxa"/>
            <w:vAlign w:val="bottom"/>
          </w:tcPr>
          <w:p>
            <w:pPr>
              <w:spacing w:after="0"/>
              <w:rPr>
                <w:sz w:val="11"/>
                <w:szCs w:val="11"/>
                <w:color w:val="auto"/>
              </w:rPr>
            </w:pP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39,103</w:t>
            </w:r>
          </w:p>
        </w:tc>
        <w:tc>
          <w:tcPr>
            <w:tcW w:w="8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38,354</w:t>
            </w:r>
          </w:p>
        </w:tc>
      </w:tr>
      <w:tr>
        <w:trPr>
          <w:trHeight w:val="136"/>
        </w:trPr>
        <w:tc>
          <w:tcPr>
            <w:tcW w:w="4260" w:type="dxa"/>
            <w:vAlign w:val="bottom"/>
            <w:shd w:val="clear" w:color="auto" w:fill="CCEEFF"/>
          </w:tcPr>
          <w:p>
            <w:pPr>
              <w:spacing w:after="0"/>
              <w:rPr>
                <w:sz w:val="20"/>
                <w:szCs w:val="20"/>
                <w:color w:val="auto"/>
              </w:rPr>
            </w:pPr>
            <w:r>
              <w:rPr>
                <w:rFonts w:ascii="Arial" w:cs="Arial" w:eastAsia="Arial" w:hAnsi="Arial"/>
                <w:sz w:val="10"/>
                <w:szCs w:val="10"/>
                <w:color w:val="auto"/>
              </w:rPr>
              <w:t>Less: Merger-Related Expenses</w:t>
            </w: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1,577</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697</w:t>
            </w:r>
          </w:p>
        </w:tc>
      </w:tr>
      <w:tr>
        <w:trPr>
          <w:trHeight w:val="123"/>
        </w:trPr>
        <w:tc>
          <w:tcPr>
            <w:tcW w:w="42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Core Noninterest Expense</w:t>
            </w:r>
          </w:p>
        </w:tc>
        <w:tc>
          <w:tcPr>
            <w:tcW w:w="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44,145</w:t>
            </w:r>
          </w:p>
        </w:tc>
        <w:tc>
          <w:tcPr>
            <w:tcW w:w="6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43,186</w:t>
            </w:r>
          </w:p>
        </w:tc>
        <w:tc>
          <w:tcPr>
            <w:tcW w:w="6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1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43,681</w:t>
            </w:r>
          </w:p>
        </w:tc>
        <w:tc>
          <w:tcPr>
            <w:tcW w:w="6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39,103</w:t>
            </w:r>
          </w:p>
        </w:tc>
        <w:tc>
          <w:tcPr>
            <w:tcW w:w="8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37,657</w:t>
            </w:r>
          </w:p>
        </w:tc>
      </w:tr>
      <w:tr>
        <w:trPr>
          <w:trHeight w:val="141"/>
        </w:trPr>
        <w:tc>
          <w:tcPr>
            <w:tcW w:w="4260" w:type="dxa"/>
            <w:vAlign w:val="bottom"/>
            <w:tcBorders>
              <w:bottom w:val="single" w:sz="8" w:color="CCEEFF"/>
            </w:tcBorders>
            <w:shd w:val="clear" w:color="auto" w:fill="CCEEFF"/>
          </w:tcPr>
          <w:p>
            <w:pPr>
              <w:spacing w:after="0" w:line="125" w:lineRule="exact"/>
              <w:rPr>
                <w:sz w:val="20"/>
                <w:szCs w:val="20"/>
                <w:color w:val="auto"/>
              </w:rPr>
            </w:pPr>
            <w:r>
              <w:rPr>
                <w:rFonts w:ascii="Arial" w:cs="Arial" w:eastAsia="Arial" w:hAnsi="Arial"/>
                <w:sz w:val="10"/>
                <w:szCs w:val="10"/>
                <w:b w:val="1"/>
                <w:bCs w:val="1"/>
                <w:color w:val="auto"/>
              </w:rPr>
              <w:t>Core Efficiency Ratio</w:t>
            </w:r>
            <w:r>
              <w:rPr>
                <w:rFonts w:ascii="Arial" w:cs="Arial" w:eastAsia="Arial" w:hAnsi="Arial"/>
                <w:sz w:val="12"/>
                <w:szCs w:val="12"/>
                <w:b w:val="1"/>
                <w:bCs w:val="1"/>
                <w:color w:val="auto"/>
                <w:vertAlign w:val="superscript"/>
              </w:rPr>
              <w:t>(2)</w:t>
            </w: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64.8 %</w:t>
            </w:r>
          </w:p>
        </w:tc>
        <w:tc>
          <w:tcPr>
            <w:tcW w:w="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66.1 %</w:t>
            </w:r>
          </w:p>
        </w:tc>
        <w:tc>
          <w:tcPr>
            <w:tcW w:w="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69.6 %</w:t>
            </w: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62.3 %</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64.4 %</w:t>
            </w:r>
          </w:p>
        </w:tc>
      </w:tr>
    </w:tbl>
    <w:p>
      <w:pPr>
        <w:spacing w:after="0" w:line="41"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w:t>
      </w:r>
    </w:p>
    <w:p>
      <w:pPr>
        <w:spacing w:after="0" w:line="5" w:lineRule="exact"/>
        <w:rPr>
          <w:sz w:val="20"/>
          <w:szCs w:val="20"/>
          <w:color w:val="auto"/>
        </w:rPr>
      </w:pPr>
    </w:p>
    <w:p>
      <w:pPr>
        <w:ind w:left="208" w:hanging="208"/>
        <w:spacing w:after="0"/>
        <w:tabs>
          <w:tab w:leader="none" w:pos="208" w:val="left"/>
        </w:tabs>
        <w:numPr>
          <w:ilvl w:val="0"/>
          <w:numId w:val="37"/>
        </w:numPr>
        <w:rPr>
          <w:rFonts w:ascii="Arial" w:cs="Arial" w:eastAsia="Arial" w:hAnsi="Arial"/>
          <w:sz w:val="11"/>
          <w:szCs w:val="11"/>
          <w:color w:val="auto"/>
          <w:vertAlign w:val="superscript"/>
        </w:rPr>
      </w:pPr>
      <w:r>
        <w:rPr>
          <w:rFonts w:ascii="Arial" w:cs="Arial" w:eastAsia="Arial" w:hAnsi="Arial"/>
          <w:sz w:val="8"/>
          <w:szCs w:val="8"/>
          <w:color w:val="auto"/>
        </w:rPr>
        <w:t>Annualized.</w:t>
      </w:r>
    </w:p>
    <w:p>
      <w:pPr>
        <w:ind w:left="208" w:hanging="208"/>
        <w:spacing w:after="0" w:line="193" w:lineRule="auto"/>
        <w:tabs>
          <w:tab w:leader="none" w:pos="208" w:val="left"/>
        </w:tabs>
        <w:numPr>
          <w:ilvl w:val="0"/>
          <w:numId w:val="37"/>
        </w:numPr>
        <w:rPr>
          <w:rFonts w:ascii="Arial" w:cs="Arial" w:eastAsia="Arial" w:hAnsi="Arial"/>
          <w:sz w:val="11"/>
          <w:szCs w:val="11"/>
          <w:color w:val="auto"/>
          <w:vertAlign w:val="superscript"/>
        </w:rPr>
      </w:pPr>
      <w:r>
        <w:rPr>
          <w:rFonts w:ascii="Arial" w:cs="Arial" w:eastAsia="Arial" w:hAnsi="Arial"/>
          <w:sz w:val="8"/>
          <w:szCs w:val="8"/>
          <w:color w:val="auto"/>
        </w:rPr>
        <w:t>The efficiency ratio is calculated by dividing noninterest expense by total revenue (net interest income plus noninterest income).</w:t>
      </w:r>
    </w:p>
    <w:p>
      <w:pPr>
        <w:spacing w:after="0" w:line="200" w:lineRule="exact"/>
        <w:rPr>
          <w:sz w:val="20"/>
          <w:szCs w:val="20"/>
          <w:color w:val="auto"/>
        </w:rPr>
      </w:pPr>
    </w:p>
    <w:p>
      <w:pPr>
        <w:spacing w:after="0" w:line="329"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248"/>
          </w:cols>
          <w:pgMar w:left="292" w:top="289" w:right="359" w:bottom="1440" w:gutter="0" w:footer="0" w:header="0"/>
        </w:sectPr>
      </w:pPr>
    </w:p>
    <w:bookmarkStart w:id="29" w:name="page30"/>
    <w:bookmarkEnd w:id="29"/>
    <w:tbl>
      <w:tblPr>
        <w:tblLayout w:type="fixed"/>
        <w:tblInd w:w="8" w:type="dxa"/>
        <w:tblCellMar>
          <w:top w:w="0" w:type="dxa"/>
          <w:left w:w="0" w:type="dxa"/>
          <w:bottom w:w="0" w:type="dxa"/>
          <w:right w:w="0" w:type="dxa"/>
        </w:tblCellMar>
      </w:tblPr>
      <w:tr>
        <w:trPr>
          <w:trHeight w:val="159"/>
        </w:trPr>
        <w:tc>
          <w:tcPr>
            <w:tcW w:w="3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3"/>
          </w:tcPr>
          <w:p>
            <w:pPr>
              <w:jc w:val="right"/>
              <w:ind w:right="32"/>
              <w:spacing w:after="0"/>
              <w:rPr>
                <w:sz w:val="20"/>
                <w:szCs w:val="20"/>
                <w:color w:val="auto"/>
              </w:rPr>
            </w:pPr>
            <w:r>
              <w:rPr>
                <w:rFonts w:ascii="Arial" w:cs="Arial" w:eastAsia="Arial" w:hAnsi="Arial"/>
                <w:sz w:val="12"/>
                <w:szCs w:val="12"/>
                <w:color w:val="auto"/>
              </w:rPr>
              <w:t>Appendix</w:t>
            </w:r>
          </w:p>
        </w:tc>
        <w:tc>
          <w:tcPr>
            <w:tcW w:w="1200" w:type="dxa"/>
            <w:vAlign w:val="bottom"/>
          </w:tcPr>
          <w:p>
            <w:pPr>
              <w:spacing w:after="0"/>
              <w:rPr>
                <w:sz w:val="13"/>
                <w:szCs w:val="13"/>
                <w:color w:val="auto"/>
              </w:rPr>
            </w:pPr>
          </w:p>
        </w:tc>
      </w:tr>
      <w:tr>
        <w:trPr>
          <w:trHeight w:val="347"/>
        </w:trPr>
        <w:tc>
          <w:tcPr>
            <w:tcW w:w="3600" w:type="dxa"/>
            <w:vAlign w:val="bottom"/>
          </w:tcPr>
          <w:p>
            <w:pPr>
              <w:spacing w:after="0"/>
              <w:rPr>
                <w:sz w:val="24"/>
                <w:szCs w:val="24"/>
                <w:color w:val="auto"/>
              </w:rPr>
            </w:pPr>
          </w:p>
        </w:tc>
        <w:tc>
          <w:tcPr>
            <w:tcW w:w="3580" w:type="dxa"/>
            <w:vAlign w:val="bottom"/>
            <w:gridSpan w:val="6"/>
          </w:tcPr>
          <w:p>
            <w:pPr>
              <w:jc w:val="right"/>
              <w:ind w:right="172"/>
              <w:spacing w:after="0"/>
              <w:rPr>
                <w:sz w:val="20"/>
                <w:szCs w:val="20"/>
                <w:color w:val="auto"/>
              </w:rPr>
            </w:pPr>
            <w:r>
              <w:rPr>
                <w:rFonts w:ascii="Arial" w:cs="Arial" w:eastAsia="Arial" w:hAnsi="Arial"/>
                <w:sz w:val="14"/>
                <w:szCs w:val="14"/>
                <w:b w:val="1"/>
                <w:bCs w:val="1"/>
                <w:color w:val="auto"/>
              </w:rPr>
              <w:t>Reconciliation of Non-GAAP Measures</w:t>
            </w:r>
          </w:p>
        </w:tc>
      </w:tr>
      <w:tr>
        <w:trPr>
          <w:trHeight w:val="632"/>
        </w:trPr>
        <w:tc>
          <w:tcPr>
            <w:tcW w:w="3600" w:type="dxa"/>
            <w:vAlign w:val="bottom"/>
          </w:tcPr>
          <w:p>
            <w:pPr>
              <w:spacing w:after="0"/>
              <w:rPr>
                <w:sz w:val="20"/>
                <w:szCs w:val="20"/>
                <w:color w:val="auto"/>
              </w:rPr>
            </w:pPr>
            <w:r>
              <w:rPr>
                <w:rFonts w:ascii="Arial" w:cs="Arial" w:eastAsia="Arial" w:hAnsi="Arial"/>
                <w:sz w:val="11"/>
                <w:szCs w:val="11"/>
                <w:b w:val="1"/>
                <w:bCs w:val="1"/>
                <w:color w:val="auto"/>
              </w:rPr>
              <w:t>Core Earnings Metrics</w:t>
            </w:r>
          </w:p>
        </w:tc>
        <w:tc>
          <w:tcPr>
            <w:tcW w:w="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1"/>
                <w:szCs w:val="11"/>
                <w:b w:val="1"/>
                <w:bCs w:val="1"/>
                <w:color w:val="auto"/>
              </w:rPr>
              <w:t>Nine Months Ended</w:t>
            </w:r>
          </w:p>
        </w:tc>
      </w:tr>
      <w:tr>
        <w:trPr>
          <w:trHeight w:val="123"/>
        </w:trPr>
        <w:tc>
          <w:tcPr>
            <w:tcW w:w="3600" w:type="dxa"/>
            <w:vAlign w:val="bottom"/>
          </w:tcPr>
          <w:p>
            <w:pPr>
              <w:spacing w:after="0"/>
              <w:rPr>
                <w:sz w:val="20"/>
                <w:szCs w:val="20"/>
                <w:color w:val="auto"/>
              </w:rPr>
            </w:pPr>
            <w:r>
              <w:rPr>
                <w:rFonts w:ascii="Arial" w:cs="Arial" w:eastAsia="Arial" w:hAnsi="Arial"/>
                <w:sz w:val="7"/>
                <w:szCs w:val="7"/>
                <w:color w:val="auto"/>
              </w:rPr>
              <w:t>(in thousands, except per share data)</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2026</w:t>
            </w:r>
          </w:p>
        </w:tc>
        <w:tc>
          <w:tcPr>
            <w:tcW w:w="180" w:type="dxa"/>
            <w:vAlign w:val="bottom"/>
          </w:tcPr>
          <w:p>
            <w:pPr>
              <w:spacing w:after="0"/>
              <w:rPr>
                <w:sz w:val="10"/>
                <w:szCs w:val="10"/>
                <w:color w:val="auto"/>
              </w:rPr>
            </w:pPr>
          </w:p>
        </w:tc>
        <w:tc>
          <w:tcPr>
            <w:tcW w:w="1200" w:type="dxa"/>
            <w:vAlign w:val="bottom"/>
          </w:tcPr>
          <w:p>
            <w:pPr>
              <w:jc w:val="right"/>
              <w:ind w:right="192"/>
              <w:spacing w:after="0"/>
              <w:rPr>
                <w:sz w:val="20"/>
                <w:szCs w:val="20"/>
                <w:color w:val="auto"/>
              </w:rPr>
            </w:pPr>
            <w:r>
              <w:rPr>
                <w:rFonts w:ascii="Arial" w:cs="Arial" w:eastAsia="Arial" w:hAnsi="Arial"/>
                <w:sz w:val="10"/>
                <w:szCs w:val="10"/>
                <w:b w:val="1"/>
                <w:bCs w:val="1"/>
                <w:color w:val="auto"/>
              </w:rPr>
              <w:t>September 30, 2025</w:t>
            </w:r>
          </w:p>
        </w:tc>
      </w:tr>
      <w:tr>
        <w:trPr>
          <w:trHeight w:val="44"/>
        </w:trPr>
        <w:tc>
          <w:tcPr>
            <w:tcW w:w="3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r>
      <w:tr>
        <w:trPr>
          <w:trHeight w:val="135"/>
        </w:trPr>
        <w:tc>
          <w:tcPr>
            <w:tcW w:w="36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Income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39,390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42,133</w:t>
            </w:r>
          </w:p>
        </w:tc>
      </w:tr>
      <w:tr>
        <w:trPr>
          <w:trHeight w:val="132"/>
        </w:trPr>
        <w:tc>
          <w:tcPr>
            <w:tcW w:w="3600" w:type="dxa"/>
            <w:vAlign w:val="bottom"/>
          </w:tcPr>
          <w:p>
            <w:pPr>
              <w:spacing w:after="0"/>
              <w:rPr>
                <w:sz w:val="20"/>
                <w:szCs w:val="20"/>
                <w:color w:val="auto"/>
              </w:rPr>
            </w:pPr>
            <w:r>
              <w:rPr>
                <w:rFonts w:ascii="Arial" w:cs="Arial" w:eastAsia="Arial" w:hAnsi="Arial"/>
                <w:sz w:val="10"/>
                <w:szCs w:val="10"/>
                <w:color w:val="auto"/>
              </w:rPr>
              <w:t>Deduct: Income from the Call of Brokered Time Deposits, Net of Tax</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200" w:type="dxa"/>
            <w:vAlign w:val="bottom"/>
          </w:tcPr>
          <w:p>
            <w:pPr>
              <w:jc w:val="right"/>
              <w:ind w:right="52"/>
              <w:spacing w:after="0"/>
              <w:rPr>
                <w:sz w:val="20"/>
                <w:szCs w:val="20"/>
                <w:color w:val="auto"/>
              </w:rPr>
            </w:pPr>
            <w:r>
              <w:rPr>
                <w:rFonts w:ascii="Arial" w:cs="Arial" w:eastAsia="Arial" w:hAnsi="Arial"/>
                <w:sz w:val="10"/>
                <w:szCs w:val="10"/>
                <w:color w:val="auto"/>
              </w:rPr>
              <w:t>(3,489)</w:t>
            </w:r>
          </w:p>
        </w:tc>
      </w:tr>
      <w:tr>
        <w:trPr>
          <w:trHeight w:val="135"/>
        </w:trPr>
        <w:tc>
          <w:tcPr>
            <w:tcW w:w="3600" w:type="dxa"/>
            <w:vAlign w:val="bottom"/>
            <w:shd w:val="clear" w:color="auto" w:fill="CCEEFF"/>
          </w:tcPr>
          <w:p>
            <w:pPr>
              <w:spacing w:after="0"/>
              <w:rPr>
                <w:sz w:val="20"/>
                <w:szCs w:val="20"/>
                <w:color w:val="auto"/>
              </w:rPr>
            </w:pPr>
            <w:r>
              <w:rPr>
                <w:rFonts w:ascii="Arial" w:cs="Arial" w:eastAsia="Arial" w:hAnsi="Arial"/>
                <w:sz w:val="10"/>
                <w:szCs w:val="10"/>
                <w:color w:val="auto"/>
              </w:rPr>
              <w:t>Add: Merger-Related Expenses, Net of Tax</w:t>
            </w:r>
          </w:p>
        </w:tc>
        <w:tc>
          <w:tcPr>
            <w:tcW w:w="7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1,577</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2,609</w:t>
            </w:r>
          </w:p>
        </w:tc>
      </w:tr>
      <w:tr>
        <w:trPr>
          <w:trHeight w:val="143"/>
        </w:trPr>
        <w:tc>
          <w:tcPr>
            <w:tcW w:w="3600" w:type="dxa"/>
            <w:vAlign w:val="bottom"/>
          </w:tcPr>
          <w:p>
            <w:pPr>
              <w:spacing w:after="0"/>
              <w:rPr>
                <w:sz w:val="20"/>
                <w:szCs w:val="20"/>
                <w:color w:val="auto"/>
              </w:rPr>
            </w:pPr>
            <w:r>
              <w:rPr>
                <w:rFonts w:ascii="Arial" w:cs="Arial" w:eastAsia="Arial" w:hAnsi="Arial"/>
                <w:sz w:val="10"/>
                <w:szCs w:val="10"/>
                <w:b w:val="1"/>
                <w:bCs w:val="1"/>
                <w:color w:val="auto"/>
              </w:rPr>
              <w:t>Core Net Income</w:t>
            </w:r>
          </w:p>
        </w:tc>
        <w:tc>
          <w:tcPr>
            <w:tcW w:w="9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1"/>
              <w:spacing w:after="0"/>
              <w:rPr>
                <w:sz w:val="20"/>
                <w:szCs w:val="20"/>
                <w:color w:val="auto"/>
              </w:rPr>
            </w:pPr>
            <w:r>
              <w:rPr>
                <w:rFonts w:ascii="Arial" w:cs="Arial" w:eastAsia="Arial" w:hAnsi="Arial"/>
                <w:sz w:val="10"/>
                <w:szCs w:val="10"/>
                <w:color w:val="auto"/>
              </w:rPr>
              <w:t>40,967</w:t>
            </w:r>
          </w:p>
        </w:tc>
        <w:tc>
          <w:tcPr>
            <w:tcW w:w="80" w:type="dxa"/>
            <w:vAlign w:val="bottom"/>
          </w:tcPr>
          <w:p>
            <w:pPr>
              <w:spacing w:after="0"/>
              <w:rPr>
                <w:sz w:val="12"/>
                <w:szCs w:val="12"/>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41,253</w:t>
            </w:r>
          </w:p>
        </w:tc>
      </w:tr>
      <w:tr>
        <w:trPr>
          <w:trHeight w:val="126"/>
        </w:trPr>
        <w:tc>
          <w:tcPr>
            <w:tcW w:w="36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r>
      <w:tr>
        <w:trPr>
          <w:trHeight w:val="134"/>
        </w:trPr>
        <w:tc>
          <w:tcPr>
            <w:tcW w:w="3600" w:type="dxa"/>
            <w:vAlign w:val="bottom"/>
          </w:tcPr>
          <w:p>
            <w:pPr>
              <w:spacing w:after="0"/>
              <w:rPr>
                <w:sz w:val="20"/>
                <w:szCs w:val="20"/>
                <w:color w:val="auto"/>
              </w:rPr>
            </w:pPr>
            <w:r>
              <w:rPr>
                <w:rFonts w:ascii="Arial" w:cs="Arial" w:eastAsia="Arial" w:hAnsi="Arial"/>
                <w:sz w:val="10"/>
                <w:szCs w:val="10"/>
                <w:b w:val="1"/>
                <w:bCs w:val="1"/>
                <w:color w:val="auto"/>
              </w:rPr>
              <w:t>Weighted Average Common Shares - Diluted</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right"/>
              <w:ind w:right="71"/>
              <w:spacing w:after="0"/>
              <w:rPr>
                <w:sz w:val="20"/>
                <w:szCs w:val="20"/>
                <w:color w:val="auto"/>
              </w:rPr>
            </w:pPr>
            <w:r>
              <w:rPr>
                <w:rFonts w:ascii="Arial" w:cs="Arial" w:eastAsia="Arial" w:hAnsi="Arial"/>
                <w:sz w:val="10"/>
                <w:szCs w:val="10"/>
                <w:color w:val="auto"/>
              </w:rPr>
              <w:t>16,437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16,850</w:t>
            </w:r>
          </w:p>
        </w:tc>
      </w:tr>
      <w:tr>
        <w:trPr>
          <w:trHeight w:val="136"/>
        </w:trPr>
        <w:tc>
          <w:tcPr>
            <w:tcW w:w="36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Earnings per Share - Diluted</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2.40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2.50</w:t>
            </w:r>
          </w:p>
        </w:tc>
      </w:tr>
      <w:tr>
        <w:trPr>
          <w:trHeight w:val="134"/>
        </w:trPr>
        <w:tc>
          <w:tcPr>
            <w:tcW w:w="3600" w:type="dxa"/>
            <w:vAlign w:val="bottom"/>
          </w:tcPr>
          <w:p>
            <w:pPr>
              <w:spacing w:after="0"/>
              <w:rPr>
                <w:sz w:val="20"/>
                <w:szCs w:val="20"/>
                <w:color w:val="auto"/>
              </w:rPr>
            </w:pPr>
            <w:r>
              <w:rPr>
                <w:rFonts w:ascii="Arial" w:cs="Arial" w:eastAsia="Arial" w:hAnsi="Arial"/>
                <w:sz w:val="10"/>
                <w:szCs w:val="10"/>
                <w:b w:val="1"/>
                <w:bCs w:val="1"/>
                <w:color w:val="auto"/>
              </w:rPr>
              <w:t>Core Earnings per Share - Diluted</w:t>
            </w:r>
          </w:p>
        </w:tc>
        <w:tc>
          <w:tcPr>
            <w:tcW w:w="9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1"/>
              <w:spacing w:after="0"/>
              <w:rPr>
                <w:sz w:val="20"/>
                <w:szCs w:val="20"/>
                <w:color w:val="auto"/>
              </w:rPr>
            </w:pPr>
            <w:r>
              <w:rPr>
                <w:rFonts w:ascii="Arial" w:cs="Arial" w:eastAsia="Arial" w:hAnsi="Arial"/>
                <w:sz w:val="10"/>
                <w:szCs w:val="10"/>
                <w:color w:val="auto"/>
              </w:rPr>
              <w:t>2.49</w:t>
            </w:r>
          </w:p>
        </w:tc>
        <w:tc>
          <w:tcPr>
            <w:tcW w:w="80" w:type="dxa"/>
            <w:vAlign w:val="bottom"/>
          </w:tcPr>
          <w:p>
            <w:pPr>
              <w:spacing w:after="0"/>
              <w:rPr>
                <w:sz w:val="11"/>
                <w:szCs w:val="11"/>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2.45</w:t>
            </w:r>
          </w:p>
        </w:tc>
      </w:tr>
      <w:tr>
        <w:trPr>
          <w:trHeight w:val="145"/>
        </w:trPr>
        <w:tc>
          <w:tcPr>
            <w:tcW w:w="36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34"/>
        </w:trPr>
        <w:tc>
          <w:tcPr>
            <w:tcW w:w="3600" w:type="dxa"/>
            <w:vAlign w:val="bottom"/>
          </w:tcPr>
          <w:p>
            <w:pPr>
              <w:spacing w:after="0"/>
              <w:rPr>
                <w:sz w:val="20"/>
                <w:szCs w:val="20"/>
                <w:color w:val="auto"/>
              </w:rPr>
            </w:pPr>
            <w:r>
              <w:rPr>
                <w:rFonts w:ascii="Arial" w:cs="Arial" w:eastAsia="Arial" w:hAnsi="Arial"/>
                <w:sz w:val="10"/>
                <w:szCs w:val="10"/>
                <w:b w:val="1"/>
                <w:bCs w:val="1"/>
                <w:color w:val="auto"/>
              </w:rPr>
              <w:t>Average Assets</w:t>
            </w:r>
          </w:p>
        </w:tc>
        <w:tc>
          <w:tcPr>
            <w:tcW w:w="9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1"/>
              <w:spacing w:after="0"/>
              <w:rPr>
                <w:sz w:val="20"/>
                <w:szCs w:val="20"/>
                <w:color w:val="auto"/>
              </w:rPr>
            </w:pPr>
            <w:r>
              <w:rPr>
                <w:rFonts w:ascii="Arial" w:cs="Arial" w:eastAsia="Arial" w:hAnsi="Arial"/>
                <w:sz w:val="10"/>
                <w:szCs w:val="10"/>
                <w:color w:val="auto"/>
              </w:rPr>
              <w:t>3,726,551</w:t>
            </w:r>
          </w:p>
        </w:tc>
        <w:tc>
          <w:tcPr>
            <w:tcW w:w="80" w:type="dxa"/>
            <w:vAlign w:val="bottom"/>
          </w:tcPr>
          <w:p>
            <w:pPr>
              <w:spacing w:after="0"/>
              <w:rPr>
                <w:sz w:val="11"/>
                <w:szCs w:val="11"/>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3,298,170</w:t>
            </w:r>
          </w:p>
        </w:tc>
      </w:tr>
      <w:tr>
        <w:trPr>
          <w:trHeight w:val="136"/>
        </w:trPr>
        <w:tc>
          <w:tcPr>
            <w:tcW w:w="3600" w:type="dxa"/>
            <w:vAlign w:val="bottom"/>
            <w:shd w:val="clear" w:color="auto" w:fill="CCEEFF"/>
          </w:tcPr>
          <w:p>
            <w:pPr>
              <w:spacing w:after="0" w:line="136" w:lineRule="exact"/>
              <w:rPr>
                <w:sz w:val="20"/>
                <w:szCs w:val="20"/>
                <w:color w:val="auto"/>
              </w:rPr>
            </w:pPr>
            <w:r>
              <w:rPr>
                <w:rFonts w:ascii="Arial" w:cs="Arial" w:eastAsia="Arial" w:hAnsi="Arial"/>
                <w:sz w:val="10"/>
                <w:szCs w:val="10"/>
                <w:b w:val="1"/>
                <w:bCs w:val="1"/>
                <w:color w:val="auto"/>
              </w:rPr>
              <w:t>Return on Average Assets</w:t>
            </w:r>
            <w:r>
              <w:rPr>
                <w:rFonts w:ascii="Arial" w:cs="Arial" w:eastAsia="Arial" w:hAnsi="Arial"/>
                <w:sz w:val="12"/>
                <w:szCs w:val="12"/>
                <w:b w:val="1"/>
                <w:bCs w:val="1"/>
                <w:color w:val="auto"/>
                <w:vertAlign w:val="superscript"/>
              </w:rPr>
              <w:t>(1)</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1.41 %</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1.71 %</w:t>
            </w:r>
          </w:p>
        </w:tc>
      </w:tr>
      <w:tr>
        <w:trPr>
          <w:trHeight w:val="135"/>
        </w:trPr>
        <w:tc>
          <w:tcPr>
            <w:tcW w:w="3600" w:type="dxa"/>
            <w:vAlign w:val="bottom"/>
          </w:tcPr>
          <w:p>
            <w:pPr>
              <w:spacing w:after="0" w:line="135" w:lineRule="exact"/>
              <w:rPr>
                <w:sz w:val="20"/>
                <w:szCs w:val="20"/>
                <w:color w:val="auto"/>
              </w:rPr>
            </w:pPr>
            <w:r>
              <w:rPr>
                <w:rFonts w:ascii="Arial" w:cs="Arial" w:eastAsia="Arial" w:hAnsi="Arial"/>
                <w:sz w:val="10"/>
                <w:szCs w:val="10"/>
                <w:b w:val="1"/>
                <w:bCs w:val="1"/>
                <w:color w:val="auto"/>
              </w:rPr>
              <w:t>Core Return on Average Assets</w:t>
            </w:r>
            <w:r>
              <w:rPr>
                <w:rFonts w:ascii="Arial" w:cs="Arial" w:eastAsia="Arial" w:hAnsi="Arial"/>
                <w:sz w:val="12"/>
                <w:szCs w:val="12"/>
                <w:b w:val="1"/>
                <w:bCs w:val="1"/>
                <w:color w:val="auto"/>
                <w:vertAlign w:val="superscript"/>
              </w:rPr>
              <w:t>(1)</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1.47 %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1.67 %</w:t>
            </w:r>
          </w:p>
        </w:tc>
      </w:tr>
      <w:tr>
        <w:trPr>
          <w:trHeight w:val="144"/>
        </w:trPr>
        <w:tc>
          <w:tcPr>
            <w:tcW w:w="36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34"/>
        </w:trPr>
        <w:tc>
          <w:tcPr>
            <w:tcW w:w="3600" w:type="dxa"/>
            <w:vAlign w:val="bottom"/>
          </w:tcPr>
          <w:p>
            <w:pPr>
              <w:spacing w:after="0"/>
              <w:rPr>
                <w:sz w:val="20"/>
                <w:szCs w:val="20"/>
                <w:color w:val="auto"/>
              </w:rPr>
            </w:pPr>
            <w:r>
              <w:rPr>
                <w:rFonts w:ascii="Arial" w:cs="Arial" w:eastAsia="Arial" w:hAnsi="Arial"/>
                <w:sz w:val="10"/>
                <w:szCs w:val="10"/>
                <w:b w:val="1"/>
                <w:bCs w:val="1"/>
                <w:color w:val="auto"/>
              </w:rPr>
              <w:t>Average Equity</w:t>
            </w:r>
          </w:p>
        </w:tc>
        <w:tc>
          <w:tcPr>
            <w:tcW w:w="9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1"/>
              <w:spacing w:after="0"/>
              <w:rPr>
                <w:sz w:val="20"/>
                <w:szCs w:val="20"/>
                <w:color w:val="auto"/>
              </w:rPr>
            </w:pPr>
            <w:r>
              <w:rPr>
                <w:rFonts w:ascii="Arial" w:cs="Arial" w:eastAsia="Arial" w:hAnsi="Arial"/>
                <w:sz w:val="10"/>
                <w:szCs w:val="10"/>
                <w:color w:val="auto"/>
              </w:rPr>
              <w:t>415,848</w:t>
            </w:r>
          </w:p>
        </w:tc>
        <w:tc>
          <w:tcPr>
            <w:tcW w:w="80" w:type="dxa"/>
            <w:vAlign w:val="bottom"/>
          </w:tcPr>
          <w:p>
            <w:pPr>
              <w:spacing w:after="0"/>
              <w:rPr>
                <w:sz w:val="11"/>
                <w:szCs w:val="11"/>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373,020</w:t>
            </w:r>
          </w:p>
        </w:tc>
      </w:tr>
      <w:tr>
        <w:trPr>
          <w:trHeight w:val="136"/>
        </w:trPr>
        <w:tc>
          <w:tcPr>
            <w:tcW w:w="3600" w:type="dxa"/>
            <w:vAlign w:val="bottom"/>
            <w:shd w:val="clear" w:color="auto" w:fill="CCEEFF"/>
          </w:tcPr>
          <w:p>
            <w:pPr>
              <w:spacing w:after="0" w:line="136" w:lineRule="exact"/>
              <w:rPr>
                <w:sz w:val="20"/>
                <w:szCs w:val="20"/>
                <w:color w:val="auto"/>
              </w:rPr>
            </w:pPr>
            <w:r>
              <w:rPr>
                <w:rFonts w:ascii="Arial" w:cs="Arial" w:eastAsia="Arial" w:hAnsi="Arial"/>
                <w:sz w:val="10"/>
                <w:szCs w:val="10"/>
                <w:b w:val="1"/>
                <w:bCs w:val="1"/>
                <w:color w:val="auto"/>
              </w:rPr>
              <w:t>Return on Average Equity</w:t>
            </w:r>
            <w:r>
              <w:rPr>
                <w:rFonts w:ascii="Arial" w:cs="Arial" w:eastAsia="Arial" w:hAnsi="Arial"/>
                <w:sz w:val="12"/>
                <w:szCs w:val="12"/>
                <w:b w:val="1"/>
                <w:bCs w:val="1"/>
                <w:color w:val="auto"/>
                <w:vertAlign w:val="superscript"/>
              </w:rPr>
              <w:t>(1)</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12.66 %</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15.10 %</w:t>
            </w:r>
          </w:p>
        </w:tc>
      </w:tr>
      <w:tr>
        <w:trPr>
          <w:trHeight w:val="135"/>
        </w:trPr>
        <w:tc>
          <w:tcPr>
            <w:tcW w:w="3600" w:type="dxa"/>
            <w:vAlign w:val="bottom"/>
          </w:tcPr>
          <w:p>
            <w:pPr>
              <w:spacing w:after="0" w:line="135" w:lineRule="exact"/>
              <w:rPr>
                <w:sz w:val="20"/>
                <w:szCs w:val="20"/>
                <w:color w:val="auto"/>
              </w:rPr>
            </w:pPr>
            <w:r>
              <w:rPr>
                <w:rFonts w:ascii="Arial" w:cs="Arial" w:eastAsia="Arial" w:hAnsi="Arial"/>
                <w:sz w:val="10"/>
                <w:szCs w:val="10"/>
                <w:b w:val="1"/>
                <w:bCs w:val="1"/>
                <w:color w:val="auto"/>
              </w:rPr>
              <w:t>Core Return on Average Equity</w:t>
            </w:r>
            <w:r>
              <w:rPr>
                <w:rFonts w:ascii="Arial" w:cs="Arial" w:eastAsia="Arial" w:hAnsi="Arial"/>
                <w:sz w:val="12"/>
                <w:szCs w:val="12"/>
                <w:b w:val="1"/>
                <w:bCs w:val="1"/>
                <w:color w:val="auto"/>
                <w:vertAlign w:val="superscript"/>
              </w:rPr>
              <w:t>(1)</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13.17 %</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14.79 %</w:t>
            </w:r>
          </w:p>
        </w:tc>
      </w:tr>
      <w:tr>
        <w:trPr>
          <w:trHeight w:val="144"/>
        </w:trPr>
        <w:tc>
          <w:tcPr>
            <w:tcW w:w="36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34"/>
        </w:trPr>
        <w:tc>
          <w:tcPr>
            <w:tcW w:w="3600" w:type="dxa"/>
            <w:vAlign w:val="bottom"/>
          </w:tcPr>
          <w:p>
            <w:pPr>
              <w:spacing w:after="0"/>
              <w:rPr>
                <w:sz w:val="20"/>
                <w:szCs w:val="20"/>
                <w:color w:val="auto"/>
              </w:rPr>
            </w:pPr>
            <w:r>
              <w:rPr>
                <w:rFonts w:ascii="Arial" w:cs="Arial" w:eastAsia="Arial" w:hAnsi="Arial"/>
                <w:sz w:val="10"/>
                <w:szCs w:val="10"/>
                <w:b w:val="1"/>
                <w:bCs w:val="1"/>
                <w:color w:val="auto"/>
              </w:rPr>
              <w:t>Net Interest Income</w:t>
            </w:r>
          </w:p>
        </w:tc>
        <w:tc>
          <w:tcPr>
            <w:tcW w:w="9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1"/>
              <w:spacing w:after="0"/>
              <w:rPr>
                <w:sz w:val="20"/>
                <w:szCs w:val="20"/>
                <w:color w:val="auto"/>
              </w:rPr>
            </w:pPr>
            <w:r>
              <w:rPr>
                <w:rFonts w:ascii="Arial" w:cs="Arial" w:eastAsia="Arial" w:hAnsi="Arial"/>
                <w:sz w:val="10"/>
                <w:szCs w:val="10"/>
                <w:color w:val="auto"/>
              </w:rPr>
              <w:t>153,405</w:t>
            </w:r>
          </w:p>
        </w:tc>
        <w:tc>
          <w:tcPr>
            <w:tcW w:w="80" w:type="dxa"/>
            <w:vAlign w:val="bottom"/>
          </w:tcPr>
          <w:p>
            <w:pPr>
              <w:spacing w:after="0"/>
              <w:rPr>
                <w:sz w:val="11"/>
                <w:szCs w:val="11"/>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145,713</w:t>
            </w:r>
          </w:p>
        </w:tc>
      </w:tr>
      <w:tr>
        <w:trPr>
          <w:trHeight w:val="136"/>
        </w:trPr>
        <w:tc>
          <w:tcPr>
            <w:tcW w:w="36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Noninterest Income</w:t>
            </w:r>
          </w:p>
        </w:tc>
        <w:tc>
          <w:tcPr>
            <w:tcW w:w="7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42,773</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36,723</w:t>
            </w:r>
          </w:p>
        </w:tc>
      </w:tr>
      <w:tr>
        <w:trPr>
          <w:trHeight w:val="123"/>
        </w:trPr>
        <w:tc>
          <w:tcPr>
            <w:tcW w:w="3600" w:type="dxa"/>
            <w:vAlign w:val="bottom"/>
          </w:tcPr>
          <w:p>
            <w:pPr>
              <w:spacing w:after="0"/>
              <w:rPr>
                <w:sz w:val="20"/>
                <w:szCs w:val="20"/>
                <w:color w:val="auto"/>
              </w:rPr>
            </w:pPr>
            <w:r>
              <w:rPr>
                <w:rFonts w:ascii="Arial" w:cs="Arial" w:eastAsia="Arial" w:hAnsi="Arial"/>
                <w:sz w:val="10"/>
                <w:szCs w:val="10"/>
                <w:b w:val="1"/>
                <w:bCs w:val="1"/>
                <w:color w:val="auto"/>
              </w:rPr>
              <w:t>Total Revenue</w:t>
            </w:r>
          </w:p>
        </w:tc>
        <w:tc>
          <w:tcPr>
            <w:tcW w:w="9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1"/>
              <w:spacing w:after="0"/>
              <w:rPr>
                <w:sz w:val="20"/>
                <w:szCs w:val="20"/>
                <w:color w:val="auto"/>
              </w:rPr>
            </w:pPr>
            <w:r>
              <w:rPr>
                <w:rFonts w:ascii="Arial" w:cs="Arial" w:eastAsia="Arial" w:hAnsi="Arial"/>
                <w:sz w:val="10"/>
                <w:szCs w:val="10"/>
                <w:color w:val="auto"/>
              </w:rPr>
              <w:t>196,178</w:t>
            </w:r>
          </w:p>
        </w:tc>
        <w:tc>
          <w:tcPr>
            <w:tcW w:w="80" w:type="dxa"/>
            <w:vAlign w:val="bottom"/>
          </w:tcPr>
          <w:p>
            <w:pPr>
              <w:spacing w:after="0"/>
              <w:rPr>
                <w:sz w:val="10"/>
                <w:szCs w:val="10"/>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182,436</w:t>
            </w:r>
          </w:p>
        </w:tc>
      </w:tr>
      <w:tr>
        <w:trPr>
          <w:trHeight w:val="135"/>
        </w:trPr>
        <w:tc>
          <w:tcPr>
            <w:tcW w:w="36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Noninterest Expense</w:t>
            </w:r>
          </w:p>
        </w:tc>
        <w:tc>
          <w:tcPr>
            <w:tcW w:w="7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132,589</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115,979</w:t>
            </w:r>
          </w:p>
        </w:tc>
      </w:tr>
      <w:tr>
        <w:trPr>
          <w:trHeight w:val="141"/>
        </w:trPr>
        <w:tc>
          <w:tcPr>
            <w:tcW w:w="3600" w:type="dxa"/>
            <w:vAlign w:val="bottom"/>
            <w:tcBorders>
              <w:bottom w:val="single" w:sz="8" w:color="CCEEFF"/>
            </w:tcBorders>
          </w:tcPr>
          <w:p>
            <w:pPr>
              <w:spacing w:after="0" w:line="125" w:lineRule="exact"/>
              <w:rPr>
                <w:sz w:val="20"/>
                <w:szCs w:val="20"/>
                <w:color w:val="auto"/>
              </w:rPr>
            </w:pPr>
            <w:r>
              <w:rPr>
                <w:rFonts w:ascii="Arial" w:cs="Arial" w:eastAsia="Arial" w:hAnsi="Arial"/>
                <w:sz w:val="10"/>
                <w:szCs w:val="10"/>
                <w:b w:val="1"/>
                <w:bCs w:val="1"/>
                <w:color w:val="auto"/>
              </w:rPr>
              <w:t>Efficiency Ratio</w:t>
            </w:r>
            <w:r>
              <w:rPr>
                <w:rFonts w:ascii="Arial" w:cs="Arial" w:eastAsia="Arial" w:hAnsi="Arial"/>
                <w:sz w:val="12"/>
                <w:szCs w:val="12"/>
                <w:b w:val="1"/>
                <w:bCs w:val="1"/>
                <w:color w:val="auto"/>
                <w:vertAlign w:val="superscript"/>
              </w:rPr>
              <w:t>(2)</w:t>
            </w:r>
          </w:p>
        </w:tc>
        <w:tc>
          <w:tcPr>
            <w:tcW w:w="7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67.6 %</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63.6 %</w:t>
            </w:r>
          </w:p>
        </w:tc>
      </w:tr>
      <w:tr>
        <w:trPr>
          <w:trHeight w:val="126"/>
        </w:trPr>
        <w:tc>
          <w:tcPr>
            <w:tcW w:w="36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134"/>
        </w:trPr>
        <w:tc>
          <w:tcPr>
            <w:tcW w:w="3600" w:type="dxa"/>
            <w:vAlign w:val="bottom"/>
          </w:tcPr>
          <w:p>
            <w:pPr>
              <w:spacing w:after="0"/>
              <w:rPr>
                <w:sz w:val="20"/>
                <w:szCs w:val="20"/>
                <w:color w:val="auto"/>
              </w:rPr>
            </w:pPr>
            <w:r>
              <w:rPr>
                <w:rFonts w:ascii="Arial" w:cs="Arial" w:eastAsia="Arial" w:hAnsi="Arial"/>
                <w:sz w:val="10"/>
                <w:szCs w:val="10"/>
                <w:b w:val="1"/>
                <w:bCs w:val="1"/>
                <w:color w:val="auto"/>
              </w:rPr>
              <w:t>Net Interest Income</w:t>
            </w:r>
          </w:p>
        </w:tc>
        <w:tc>
          <w:tcPr>
            <w:tcW w:w="9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1"/>
              <w:spacing w:after="0"/>
              <w:rPr>
                <w:sz w:val="20"/>
                <w:szCs w:val="20"/>
                <w:color w:val="auto"/>
              </w:rPr>
            </w:pPr>
            <w:r>
              <w:rPr>
                <w:rFonts w:ascii="Arial" w:cs="Arial" w:eastAsia="Arial" w:hAnsi="Arial"/>
                <w:sz w:val="10"/>
                <w:szCs w:val="10"/>
                <w:color w:val="auto"/>
              </w:rPr>
              <w:t>153,405</w:t>
            </w:r>
          </w:p>
        </w:tc>
        <w:tc>
          <w:tcPr>
            <w:tcW w:w="80" w:type="dxa"/>
            <w:vAlign w:val="bottom"/>
          </w:tcPr>
          <w:p>
            <w:pPr>
              <w:spacing w:after="0"/>
              <w:rPr>
                <w:sz w:val="11"/>
                <w:szCs w:val="11"/>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145,713</w:t>
            </w:r>
          </w:p>
        </w:tc>
      </w:tr>
      <w:tr>
        <w:trPr>
          <w:trHeight w:val="136"/>
        </w:trPr>
        <w:tc>
          <w:tcPr>
            <w:tcW w:w="3600" w:type="dxa"/>
            <w:vAlign w:val="bottom"/>
            <w:shd w:val="clear" w:color="auto" w:fill="CCEEFF"/>
          </w:tcPr>
          <w:p>
            <w:pPr>
              <w:spacing w:after="0"/>
              <w:rPr>
                <w:sz w:val="20"/>
                <w:szCs w:val="20"/>
                <w:color w:val="auto"/>
              </w:rPr>
            </w:pPr>
            <w:r>
              <w:rPr>
                <w:rFonts w:ascii="Arial" w:cs="Arial" w:eastAsia="Arial" w:hAnsi="Arial"/>
                <w:sz w:val="10"/>
                <w:szCs w:val="10"/>
                <w:color w:val="auto"/>
              </w:rPr>
              <w:t>Deduct: Income from the Call of Brokered Time Deposits</w:t>
            </w:r>
          </w:p>
        </w:tc>
        <w:tc>
          <w:tcPr>
            <w:tcW w:w="7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4,618</w:t>
            </w:r>
          </w:p>
        </w:tc>
      </w:tr>
      <w:tr>
        <w:trPr>
          <w:trHeight w:val="123"/>
        </w:trPr>
        <w:tc>
          <w:tcPr>
            <w:tcW w:w="3600" w:type="dxa"/>
            <w:vAlign w:val="bottom"/>
          </w:tcPr>
          <w:p>
            <w:pPr>
              <w:spacing w:after="0"/>
              <w:rPr>
                <w:sz w:val="20"/>
                <w:szCs w:val="20"/>
                <w:color w:val="auto"/>
              </w:rPr>
            </w:pPr>
            <w:r>
              <w:rPr>
                <w:rFonts w:ascii="Arial" w:cs="Arial" w:eastAsia="Arial" w:hAnsi="Arial"/>
                <w:sz w:val="10"/>
                <w:szCs w:val="10"/>
                <w:b w:val="1"/>
                <w:bCs w:val="1"/>
                <w:color w:val="auto"/>
              </w:rPr>
              <w:t>Core Net Interest Income (a)</w:t>
            </w:r>
          </w:p>
        </w:tc>
        <w:tc>
          <w:tcPr>
            <w:tcW w:w="9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1"/>
              <w:spacing w:after="0"/>
              <w:rPr>
                <w:sz w:val="20"/>
                <w:szCs w:val="20"/>
                <w:color w:val="auto"/>
              </w:rPr>
            </w:pPr>
            <w:r>
              <w:rPr>
                <w:rFonts w:ascii="Arial" w:cs="Arial" w:eastAsia="Arial" w:hAnsi="Arial"/>
                <w:sz w:val="10"/>
                <w:szCs w:val="10"/>
                <w:color w:val="auto"/>
              </w:rPr>
              <w:t>153,405</w:t>
            </w:r>
          </w:p>
        </w:tc>
        <w:tc>
          <w:tcPr>
            <w:tcW w:w="80" w:type="dxa"/>
            <w:vAlign w:val="bottom"/>
          </w:tcPr>
          <w:p>
            <w:pPr>
              <w:spacing w:after="0"/>
              <w:rPr>
                <w:sz w:val="10"/>
                <w:szCs w:val="10"/>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141,095</w:t>
            </w:r>
          </w:p>
        </w:tc>
      </w:tr>
      <w:tr>
        <w:trPr>
          <w:trHeight w:val="136"/>
        </w:trPr>
        <w:tc>
          <w:tcPr>
            <w:tcW w:w="36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Noninterest Income (b)</w:t>
            </w:r>
          </w:p>
        </w:tc>
        <w:tc>
          <w:tcPr>
            <w:tcW w:w="7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42,773</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36,723</w:t>
            </w:r>
          </w:p>
        </w:tc>
      </w:tr>
      <w:tr>
        <w:trPr>
          <w:trHeight w:val="123"/>
        </w:trPr>
        <w:tc>
          <w:tcPr>
            <w:tcW w:w="3600" w:type="dxa"/>
            <w:vAlign w:val="bottom"/>
          </w:tcPr>
          <w:p>
            <w:pPr>
              <w:spacing w:after="0"/>
              <w:rPr>
                <w:sz w:val="20"/>
                <w:szCs w:val="20"/>
                <w:color w:val="auto"/>
              </w:rPr>
            </w:pPr>
            <w:r>
              <w:rPr>
                <w:rFonts w:ascii="Arial" w:cs="Arial" w:eastAsia="Arial" w:hAnsi="Arial"/>
                <w:sz w:val="10"/>
                <w:szCs w:val="10"/>
                <w:b w:val="1"/>
                <w:bCs w:val="1"/>
                <w:color w:val="auto"/>
              </w:rPr>
              <w:t>Core Revenue (a) + (b)</w:t>
            </w:r>
          </w:p>
        </w:tc>
        <w:tc>
          <w:tcPr>
            <w:tcW w:w="9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1"/>
              <w:spacing w:after="0"/>
              <w:rPr>
                <w:sz w:val="20"/>
                <w:szCs w:val="20"/>
                <w:color w:val="auto"/>
              </w:rPr>
            </w:pPr>
            <w:r>
              <w:rPr>
                <w:rFonts w:ascii="Arial" w:cs="Arial" w:eastAsia="Arial" w:hAnsi="Arial"/>
                <w:sz w:val="10"/>
                <w:szCs w:val="10"/>
                <w:color w:val="auto"/>
              </w:rPr>
              <w:t>196,178</w:t>
            </w:r>
          </w:p>
        </w:tc>
        <w:tc>
          <w:tcPr>
            <w:tcW w:w="80" w:type="dxa"/>
            <w:vAlign w:val="bottom"/>
          </w:tcPr>
          <w:p>
            <w:pPr>
              <w:spacing w:after="0"/>
              <w:rPr>
                <w:sz w:val="10"/>
                <w:szCs w:val="10"/>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177,818</w:t>
            </w:r>
          </w:p>
        </w:tc>
      </w:tr>
      <w:tr>
        <w:trPr>
          <w:trHeight w:val="145"/>
        </w:trPr>
        <w:tc>
          <w:tcPr>
            <w:tcW w:w="36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34"/>
        </w:trPr>
        <w:tc>
          <w:tcPr>
            <w:tcW w:w="3600" w:type="dxa"/>
            <w:vAlign w:val="bottom"/>
          </w:tcPr>
          <w:p>
            <w:pPr>
              <w:spacing w:after="0"/>
              <w:rPr>
                <w:sz w:val="20"/>
                <w:szCs w:val="20"/>
                <w:color w:val="auto"/>
              </w:rPr>
            </w:pPr>
            <w:r>
              <w:rPr>
                <w:rFonts w:ascii="Arial" w:cs="Arial" w:eastAsia="Arial" w:hAnsi="Arial"/>
                <w:sz w:val="10"/>
                <w:szCs w:val="10"/>
                <w:b w:val="1"/>
                <w:bCs w:val="1"/>
                <w:color w:val="auto"/>
              </w:rPr>
              <w:t>Noninterest Expense</w:t>
            </w:r>
          </w:p>
        </w:tc>
        <w:tc>
          <w:tcPr>
            <w:tcW w:w="9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1"/>
              <w:spacing w:after="0"/>
              <w:rPr>
                <w:sz w:val="20"/>
                <w:szCs w:val="20"/>
                <w:color w:val="auto"/>
              </w:rPr>
            </w:pPr>
            <w:r>
              <w:rPr>
                <w:rFonts w:ascii="Arial" w:cs="Arial" w:eastAsia="Arial" w:hAnsi="Arial"/>
                <w:sz w:val="10"/>
                <w:szCs w:val="10"/>
                <w:color w:val="auto"/>
              </w:rPr>
              <w:t>132,589</w:t>
            </w:r>
          </w:p>
        </w:tc>
        <w:tc>
          <w:tcPr>
            <w:tcW w:w="80" w:type="dxa"/>
            <w:vAlign w:val="bottom"/>
          </w:tcPr>
          <w:p>
            <w:pPr>
              <w:spacing w:after="0"/>
              <w:rPr>
                <w:sz w:val="11"/>
                <w:szCs w:val="11"/>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115,979</w:t>
            </w:r>
          </w:p>
        </w:tc>
      </w:tr>
      <w:tr>
        <w:trPr>
          <w:trHeight w:val="136"/>
        </w:trPr>
        <w:tc>
          <w:tcPr>
            <w:tcW w:w="3600" w:type="dxa"/>
            <w:vAlign w:val="bottom"/>
            <w:shd w:val="clear" w:color="auto" w:fill="CCEEFF"/>
          </w:tcPr>
          <w:p>
            <w:pPr>
              <w:spacing w:after="0"/>
              <w:rPr>
                <w:sz w:val="20"/>
                <w:szCs w:val="20"/>
                <w:color w:val="auto"/>
              </w:rPr>
            </w:pPr>
            <w:r>
              <w:rPr>
                <w:rFonts w:ascii="Arial" w:cs="Arial" w:eastAsia="Arial" w:hAnsi="Arial"/>
                <w:sz w:val="10"/>
                <w:szCs w:val="10"/>
                <w:color w:val="auto"/>
              </w:rPr>
              <w:t>Less: Merger-Related Expenses</w:t>
            </w:r>
          </w:p>
        </w:tc>
        <w:tc>
          <w:tcPr>
            <w:tcW w:w="7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1,577</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3,361</w:t>
            </w:r>
          </w:p>
        </w:tc>
      </w:tr>
      <w:tr>
        <w:trPr>
          <w:trHeight w:val="123"/>
        </w:trPr>
        <w:tc>
          <w:tcPr>
            <w:tcW w:w="3600" w:type="dxa"/>
            <w:vAlign w:val="bottom"/>
          </w:tcPr>
          <w:p>
            <w:pPr>
              <w:spacing w:after="0"/>
              <w:rPr>
                <w:sz w:val="20"/>
                <w:szCs w:val="20"/>
                <w:color w:val="auto"/>
              </w:rPr>
            </w:pPr>
            <w:r>
              <w:rPr>
                <w:rFonts w:ascii="Arial" w:cs="Arial" w:eastAsia="Arial" w:hAnsi="Arial"/>
                <w:sz w:val="10"/>
                <w:szCs w:val="10"/>
                <w:b w:val="1"/>
                <w:bCs w:val="1"/>
                <w:color w:val="auto"/>
              </w:rPr>
              <w:t>Core Noninterest Expense</w:t>
            </w:r>
          </w:p>
        </w:tc>
        <w:tc>
          <w:tcPr>
            <w:tcW w:w="9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1"/>
              <w:spacing w:after="0"/>
              <w:rPr>
                <w:sz w:val="20"/>
                <w:szCs w:val="20"/>
                <w:color w:val="auto"/>
              </w:rPr>
            </w:pPr>
            <w:r>
              <w:rPr>
                <w:rFonts w:ascii="Arial" w:cs="Arial" w:eastAsia="Arial" w:hAnsi="Arial"/>
                <w:sz w:val="10"/>
                <w:szCs w:val="10"/>
                <w:color w:val="auto"/>
              </w:rPr>
              <w:t>131,012</w:t>
            </w:r>
          </w:p>
        </w:tc>
        <w:tc>
          <w:tcPr>
            <w:tcW w:w="80" w:type="dxa"/>
            <w:vAlign w:val="bottom"/>
          </w:tcPr>
          <w:p>
            <w:pPr>
              <w:spacing w:after="0"/>
              <w:rPr>
                <w:sz w:val="10"/>
                <w:szCs w:val="10"/>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112,618</w:t>
            </w:r>
          </w:p>
        </w:tc>
      </w:tr>
      <w:tr>
        <w:trPr>
          <w:trHeight w:val="141"/>
        </w:trPr>
        <w:tc>
          <w:tcPr>
            <w:tcW w:w="3600" w:type="dxa"/>
            <w:vAlign w:val="bottom"/>
            <w:tcBorders>
              <w:top w:val="single" w:sz="8" w:color="CCEEFF"/>
              <w:bottom w:val="single" w:sz="8" w:color="CCEEFF"/>
            </w:tcBorders>
            <w:shd w:val="clear" w:color="auto" w:fill="CCEEFF"/>
          </w:tcPr>
          <w:p>
            <w:pPr>
              <w:spacing w:after="0" w:line="125" w:lineRule="exact"/>
              <w:rPr>
                <w:sz w:val="20"/>
                <w:szCs w:val="20"/>
                <w:color w:val="auto"/>
              </w:rPr>
            </w:pPr>
            <w:r>
              <w:rPr>
                <w:rFonts w:ascii="Arial" w:cs="Arial" w:eastAsia="Arial" w:hAnsi="Arial"/>
                <w:sz w:val="10"/>
                <w:szCs w:val="10"/>
                <w:b w:val="1"/>
                <w:bCs w:val="1"/>
                <w:color w:val="auto"/>
              </w:rPr>
              <w:t>Core Efficiency Ratio</w:t>
            </w:r>
            <w:r>
              <w:rPr>
                <w:rFonts w:ascii="Arial" w:cs="Arial" w:eastAsia="Arial" w:hAnsi="Arial"/>
                <w:sz w:val="12"/>
                <w:szCs w:val="12"/>
                <w:b w:val="1"/>
                <w:bCs w:val="1"/>
                <w:color w:val="auto"/>
                <w:vertAlign w:val="superscript"/>
              </w:rPr>
              <w:t>(2)</w:t>
            </w:r>
          </w:p>
        </w:tc>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66.8 %</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63.3 %</w:t>
            </w:r>
          </w:p>
        </w:tc>
      </w:tr>
    </w:tbl>
    <w:p>
      <w:pPr>
        <w:spacing w:after="0" w:line="41"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w:t>
      </w:r>
    </w:p>
    <w:p>
      <w:pPr>
        <w:spacing w:after="0" w:line="5" w:lineRule="exact"/>
        <w:rPr>
          <w:sz w:val="20"/>
          <w:szCs w:val="20"/>
          <w:color w:val="auto"/>
        </w:rPr>
      </w:pPr>
    </w:p>
    <w:p>
      <w:pPr>
        <w:ind w:left="208" w:hanging="208"/>
        <w:spacing w:after="0"/>
        <w:tabs>
          <w:tab w:leader="none" w:pos="208" w:val="left"/>
        </w:tabs>
        <w:numPr>
          <w:ilvl w:val="0"/>
          <w:numId w:val="38"/>
        </w:numPr>
        <w:rPr>
          <w:rFonts w:ascii="Arial" w:cs="Arial" w:eastAsia="Arial" w:hAnsi="Arial"/>
          <w:sz w:val="11"/>
          <w:szCs w:val="11"/>
          <w:color w:val="auto"/>
          <w:vertAlign w:val="superscript"/>
        </w:rPr>
      </w:pPr>
      <w:r>
        <w:rPr>
          <w:rFonts w:ascii="Arial" w:cs="Arial" w:eastAsia="Arial" w:hAnsi="Arial"/>
          <w:sz w:val="8"/>
          <w:szCs w:val="8"/>
          <w:color w:val="auto"/>
        </w:rPr>
        <w:t>Annualized.</w:t>
      </w:r>
    </w:p>
    <w:p>
      <w:pPr>
        <w:ind w:left="208" w:hanging="208"/>
        <w:spacing w:after="0" w:line="193" w:lineRule="auto"/>
        <w:tabs>
          <w:tab w:leader="none" w:pos="208" w:val="left"/>
        </w:tabs>
        <w:numPr>
          <w:ilvl w:val="0"/>
          <w:numId w:val="38"/>
        </w:numPr>
        <w:rPr>
          <w:rFonts w:ascii="Arial" w:cs="Arial" w:eastAsia="Arial" w:hAnsi="Arial"/>
          <w:sz w:val="11"/>
          <w:szCs w:val="11"/>
          <w:color w:val="auto"/>
          <w:vertAlign w:val="superscript"/>
        </w:rPr>
      </w:pPr>
      <w:r>
        <w:rPr>
          <w:rFonts w:ascii="Arial" w:cs="Arial" w:eastAsia="Arial" w:hAnsi="Arial"/>
          <w:sz w:val="8"/>
          <w:szCs w:val="8"/>
          <w:color w:val="auto"/>
        </w:rPr>
        <w:t>The efficiency ratio is calculated by dividing noninterest expense by total revenue (net interest income plus noninterest income).</w:t>
      </w:r>
    </w:p>
    <w:p>
      <w:pPr>
        <w:spacing w:after="0" w:line="200" w:lineRule="exact"/>
        <w:rPr>
          <w:sz w:val="20"/>
          <w:szCs w:val="20"/>
          <w:color w:val="auto"/>
        </w:rPr>
      </w:pPr>
    </w:p>
    <w:p>
      <w:pPr>
        <w:spacing w:after="0" w:line="329" w:lineRule="exact"/>
        <w:rPr>
          <w:sz w:val="20"/>
          <w:szCs w:val="20"/>
          <w:color w:val="auto"/>
        </w:rPr>
      </w:pPr>
    </w:p>
    <w:p>
      <w:pPr>
        <w:ind w:left="5588"/>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0167"/>
          </w:cols>
          <w:pgMar w:left="292" w:top="289" w:right="1440"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2"/>
          <w:szCs w:val="12"/>
          <w:color w:val="auto"/>
        </w:rPr>
        <w:t>Appendix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Reconciliation of Non-GAAP Measures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500" w:type="dxa"/>
            <w:vAlign w:val="bottom"/>
          </w:tcPr>
          <w:p>
            <w:pPr>
              <w:spacing w:after="0"/>
              <w:rPr>
                <w:sz w:val="20"/>
                <w:szCs w:val="20"/>
                <w:color w:val="auto"/>
              </w:rPr>
            </w:pPr>
            <w:r>
              <w:rPr>
                <w:rFonts w:ascii="Arial" w:cs="Arial" w:eastAsia="Arial" w:hAnsi="Arial"/>
                <w:sz w:val="11"/>
                <w:szCs w:val="11"/>
                <w:b w:val="1"/>
                <w:bCs w:val="1"/>
                <w:color w:val="auto"/>
              </w:rPr>
              <w:t>Core Net Interest Margin</w:t>
            </w: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Quarter Ended</w:t>
            </w: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r>
        <w:trPr>
          <w:trHeight w:val="132"/>
        </w:trPr>
        <w:tc>
          <w:tcPr>
            <w:tcW w:w="4500" w:type="dxa"/>
            <w:vAlign w:val="bottom"/>
          </w:tcPr>
          <w:p>
            <w:pPr>
              <w:spacing w:after="0"/>
              <w:rPr>
                <w:sz w:val="20"/>
                <w:szCs w:val="20"/>
                <w:color w:val="auto"/>
              </w:rPr>
            </w:pPr>
            <w:r>
              <w:rPr>
                <w:rFonts w:ascii="Arial" w:cs="Arial" w:eastAsia="Arial" w:hAnsi="Arial"/>
                <w:sz w:val="7"/>
                <w:szCs w:val="7"/>
                <w:color w:val="auto"/>
              </w:rPr>
              <w:t>(in thousands)</w:t>
            </w:r>
          </w:p>
        </w:tc>
        <w:tc>
          <w:tcPr>
            <w:tcW w:w="12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2026</w:t>
            </w:r>
          </w:p>
        </w:tc>
        <w:tc>
          <w:tcPr>
            <w:tcW w:w="20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0"/>
                <w:szCs w:val="10"/>
                <w:b w:val="1"/>
                <w:bCs w:val="1"/>
                <w:color w:val="auto"/>
              </w:rPr>
              <w:t>June 30, 2026</w:t>
            </w:r>
          </w:p>
        </w:tc>
        <w:tc>
          <w:tcPr>
            <w:tcW w:w="200" w:type="dxa"/>
            <w:vAlign w:val="bottom"/>
          </w:tcPr>
          <w:p>
            <w:pPr>
              <w:spacing w:after="0"/>
              <w:rPr>
                <w:sz w:val="11"/>
                <w:szCs w:val="11"/>
                <w:color w:val="auto"/>
              </w:rPr>
            </w:pPr>
          </w:p>
        </w:tc>
        <w:tc>
          <w:tcPr>
            <w:tcW w:w="118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March 31, 2026</w:t>
            </w:r>
          </w:p>
        </w:tc>
        <w:tc>
          <w:tcPr>
            <w:tcW w:w="14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2025</w:t>
            </w:r>
          </w:p>
        </w:tc>
        <w:tc>
          <w:tcPr>
            <w:tcW w:w="140" w:type="dxa"/>
            <w:vAlign w:val="bottom"/>
          </w:tcPr>
          <w:p>
            <w:pPr>
              <w:spacing w:after="0"/>
              <w:rPr>
                <w:sz w:val="11"/>
                <w:szCs w:val="11"/>
                <w:color w:val="auto"/>
              </w:rPr>
            </w:pPr>
          </w:p>
        </w:tc>
        <w:tc>
          <w:tcPr>
            <w:tcW w:w="1160" w:type="dxa"/>
            <w:vAlign w:val="bottom"/>
          </w:tcPr>
          <w:p>
            <w:pPr>
              <w:jc w:val="right"/>
              <w:ind w:right="152"/>
              <w:spacing w:after="0"/>
              <w:rPr>
                <w:sz w:val="20"/>
                <w:szCs w:val="20"/>
                <w:color w:val="auto"/>
              </w:rPr>
            </w:pPr>
            <w:r>
              <w:rPr>
                <w:rFonts w:ascii="Arial" w:cs="Arial" w:eastAsia="Arial" w:hAnsi="Arial"/>
                <w:sz w:val="10"/>
                <w:szCs w:val="10"/>
                <w:b w:val="1"/>
                <w:bCs w:val="1"/>
                <w:color w:val="auto"/>
              </w:rPr>
              <w:t>September 30, 2025</w:t>
            </w:r>
          </w:p>
        </w:tc>
      </w:tr>
      <w:tr>
        <w:trPr>
          <w:trHeight w:val="143"/>
        </w:trPr>
        <w:tc>
          <w:tcPr>
            <w:tcW w:w="4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Interest Income</w:t>
            </w: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53,078</w:t>
            </w:r>
          </w:p>
        </w:tc>
        <w:tc>
          <w:tcPr>
            <w:tcW w:w="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50,929</w:t>
            </w:r>
          </w:p>
        </w:tc>
        <w:tc>
          <w:tcPr>
            <w:tcW w:w="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49,398</w:t>
            </w: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50,279</w:t>
            </w: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52,020</w:t>
            </w:r>
          </w:p>
        </w:tc>
      </w:tr>
      <w:tr>
        <w:trPr>
          <w:trHeight w:val="132"/>
        </w:trPr>
        <w:tc>
          <w:tcPr>
            <w:tcW w:w="450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Less: Credit Card Loan Income</w:t>
            </w: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16,405</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15,808</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14,882</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16,196</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15,386</w:t>
            </w:r>
          </w:p>
        </w:tc>
      </w:tr>
      <w:tr>
        <w:trPr>
          <w:trHeight w:val="127"/>
        </w:trPr>
        <w:tc>
          <w:tcPr>
            <w:tcW w:w="4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Interest Income Excluding Credit Card</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36,673</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35,121</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34,516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34,083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36,634</w:t>
            </w:r>
          </w:p>
        </w:tc>
      </w:tr>
      <w:tr>
        <w:trPr>
          <w:trHeight w:val="132"/>
        </w:trPr>
        <w:tc>
          <w:tcPr>
            <w:tcW w:w="4500" w:type="dxa"/>
            <w:vAlign w:val="bottom"/>
          </w:tcPr>
          <w:p>
            <w:pPr>
              <w:spacing w:after="0"/>
              <w:rPr>
                <w:sz w:val="20"/>
                <w:szCs w:val="20"/>
                <w:color w:val="auto"/>
              </w:rPr>
            </w:pPr>
            <w:r>
              <w:rPr>
                <w:rFonts w:ascii="Arial" w:cs="Arial" w:eastAsia="Arial" w:hAnsi="Arial"/>
                <w:sz w:val="10"/>
                <w:szCs w:val="10"/>
                <w:color w:val="auto"/>
              </w:rPr>
              <w:t>Average Interest Earning Assets</w:t>
            </w:r>
          </w:p>
        </w:tc>
        <w:tc>
          <w:tcPr>
            <w:tcW w:w="1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3,625,039</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color w:val="auto"/>
              </w:rPr>
              <w:t>3,619,887</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3,509,115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3,360,576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3,246,653</w:t>
            </w:r>
          </w:p>
        </w:tc>
      </w:tr>
      <w:tr>
        <w:trPr>
          <w:trHeight w:val="138"/>
        </w:trPr>
        <w:tc>
          <w:tcPr>
            <w:tcW w:w="4500" w:type="dxa"/>
            <w:vAlign w:val="bottom"/>
            <w:shd w:val="clear" w:color="auto" w:fill="CCEEFF"/>
          </w:tcPr>
          <w:p>
            <w:pPr>
              <w:ind w:left="60"/>
              <w:spacing w:after="0"/>
              <w:rPr>
                <w:sz w:val="20"/>
                <w:szCs w:val="20"/>
                <w:color w:val="auto"/>
              </w:rPr>
            </w:pPr>
            <w:r>
              <w:rPr>
                <w:rFonts w:ascii="Arial" w:cs="Arial" w:eastAsia="Arial" w:hAnsi="Arial"/>
                <w:sz w:val="10"/>
                <w:szCs w:val="10"/>
                <w:color w:val="auto"/>
              </w:rPr>
              <w:t>Less: Average Credit Card Loans</w:t>
            </w:r>
          </w:p>
        </w:tc>
        <w:tc>
          <w:tcPr>
            <w:tcW w:w="1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143,858</w:t>
            </w: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137,052</w:t>
            </w: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133,712</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133,858</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129,100</w:t>
            </w:r>
          </w:p>
        </w:tc>
      </w:tr>
      <w:tr>
        <w:trPr>
          <w:trHeight w:val="123"/>
        </w:trPr>
        <w:tc>
          <w:tcPr>
            <w:tcW w:w="4500" w:type="dxa"/>
            <w:vAlign w:val="bottom"/>
          </w:tcPr>
          <w:p>
            <w:pPr>
              <w:spacing w:after="0"/>
              <w:rPr>
                <w:sz w:val="20"/>
                <w:szCs w:val="20"/>
                <w:color w:val="auto"/>
              </w:rPr>
            </w:pPr>
            <w:r>
              <w:rPr>
                <w:rFonts w:ascii="Arial" w:cs="Arial" w:eastAsia="Arial" w:hAnsi="Arial"/>
                <w:sz w:val="10"/>
                <w:szCs w:val="10"/>
                <w:b w:val="1"/>
                <w:bCs w:val="1"/>
                <w:color w:val="auto"/>
              </w:rPr>
              <w:t>Average Core Interest Earning Assets</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0"/>
                <w:szCs w:val="10"/>
                <w:color w:val="auto"/>
              </w:rPr>
              <w:t>3,481,181</w:t>
            </w:r>
          </w:p>
        </w:tc>
        <w:tc>
          <w:tcPr>
            <w:tcW w:w="60" w:type="dxa"/>
            <w:vAlign w:val="bottom"/>
          </w:tcPr>
          <w:p>
            <w:pPr>
              <w:spacing w:after="0"/>
              <w:rPr>
                <w:sz w:val="10"/>
                <w:szCs w:val="10"/>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12"/>
              <w:spacing w:after="0"/>
              <w:rPr>
                <w:sz w:val="20"/>
                <w:szCs w:val="20"/>
                <w:color w:val="auto"/>
              </w:rPr>
            </w:pPr>
            <w:r>
              <w:rPr>
                <w:rFonts w:ascii="Arial" w:cs="Arial" w:eastAsia="Arial" w:hAnsi="Arial"/>
                <w:sz w:val="10"/>
                <w:szCs w:val="10"/>
                <w:color w:val="auto"/>
              </w:rPr>
              <w:t>3,482,835</w:t>
            </w:r>
          </w:p>
        </w:tc>
        <w:tc>
          <w:tcPr>
            <w:tcW w:w="60" w:type="dxa"/>
            <w:vAlign w:val="bottom"/>
          </w:tcPr>
          <w:p>
            <w:pPr>
              <w:spacing w:after="0"/>
              <w:rPr>
                <w:sz w:val="10"/>
                <w:szCs w:val="10"/>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0"/>
                <w:szCs w:val="10"/>
                <w:color w:val="auto"/>
              </w:rPr>
              <w:t>3,375,403</w:t>
            </w:r>
          </w:p>
        </w:tc>
        <w:tc>
          <w:tcPr>
            <w:tcW w:w="8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3,226,718</w:t>
            </w:r>
          </w:p>
        </w:tc>
        <w:tc>
          <w:tcPr>
            <w:tcW w:w="8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3,117,553</w:t>
            </w:r>
          </w:p>
        </w:tc>
      </w:tr>
      <w:tr>
        <w:trPr>
          <w:trHeight w:val="136"/>
        </w:trPr>
        <w:tc>
          <w:tcPr>
            <w:tcW w:w="4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Core Net Interest Margin</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4.18%</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4.04%</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4.15%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4.19%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4.66%</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80" w:type="dxa"/>
            <w:vAlign w:val="bottom"/>
          </w:tcPr>
          <w:p>
            <w:pPr>
              <w:spacing w:after="0"/>
              <w:rPr>
                <w:sz w:val="20"/>
                <w:szCs w:val="20"/>
                <w:color w:val="auto"/>
              </w:rPr>
            </w:pPr>
            <w:r>
              <w:rPr>
                <w:rFonts w:ascii="Arial" w:cs="Arial" w:eastAsia="Arial" w:hAnsi="Arial"/>
                <w:sz w:val="11"/>
                <w:szCs w:val="11"/>
                <w:b w:val="1"/>
                <w:bCs w:val="1"/>
                <w:color w:val="auto"/>
              </w:rPr>
              <w:t>Core Net Interest Margin</w:t>
            </w:r>
          </w:p>
        </w:tc>
        <w:tc>
          <w:tcPr>
            <w:tcW w:w="14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1"/>
                <w:szCs w:val="11"/>
                <w:b w:val="1"/>
                <w:bCs w:val="1"/>
                <w:color w:val="auto"/>
              </w:rPr>
              <w:t>Nine Months Ended</w:t>
            </w:r>
          </w:p>
        </w:tc>
      </w:tr>
      <w:tr>
        <w:trPr>
          <w:trHeight w:val="132"/>
        </w:trPr>
        <w:tc>
          <w:tcPr>
            <w:tcW w:w="4480" w:type="dxa"/>
            <w:vAlign w:val="bottom"/>
          </w:tcPr>
          <w:p>
            <w:pPr>
              <w:spacing w:after="0"/>
              <w:rPr>
                <w:sz w:val="20"/>
                <w:szCs w:val="20"/>
                <w:color w:val="auto"/>
              </w:rPr>
            </w:pPr>
            <w:r>
              <w:rPr>
                <w:rFonts w:ascii="Arial" w:cs="Arial" w:eastAsia="Arial" w:hAnsi="Arial"/>
                <w:sz w:val="7"/>
                <w:szCs w:val="7"/>
                <w:color w:val="auto"/>
              </w:rPr>
              <w:t>(in thousands)</w:t>
            </w:r>
          </w:p>
        </w:tc>
        <w:tc>
          <w:tcPr>
            <w:tcW w:w="14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0"/>
                <w:szCs w:val="10"/>
                <w:b w:val="1"/>
                <w:bCs w:val="1"/>
                <w:color w:val="auto"/>
              </w:rPr>
              <w:t>September 30, 2026</w:t>
            </w:r>
          </w:p>
        </w:tc>
        <w:tc>
          <w:tcPr>
            <w:tcW w:w="140" w:type="dxa"/>
            <w:vAlign w:val="bottom"/>
          </w:tcPr>
          <w:p>
            <w:pPr>
              <w:spacing w:after="0"/>
              <w:rPr>
                <w:sz w:val="11"/>
                <w:szCs w:val="11"/>
                <w:color w:val="auto"/>
              </w:rPr>
            </w:pPr>
          </w:p>
        </w:tc>
        <w:tc>
          <w:tcPr>
            <w:tcW w:w="1180" w:type="dxa"/>
            <w:vAlign w:val="bottom"/>
          </w:tcPr>
          <w:p>
            <w:pPr>
              <w:jc w:val="right"/>
              <w:ind w:right="152"/>
              <w:spacing w:after="0"/>
              <w:rPr>
                <w:sz w:val="20"/>
                <w:szCs w:val="20"/>
                <w:color w:val="auto"/>
              </w:rPr>
            </w:pPr>
            <w:r>
              <w:rPr>
                <w:rFonts w:ascii="Arial" w:cs="Arial" w:eastAsia="Arial" w:hAnsi="Arial"/>
                <w:sz w:val="10"/>
                <w:szCs w:val="10"/>
                <w:b w:val="1"/>
                <w:bCs w:val="1"/>
                <w:color w:val="auto"/>
              </w:rPr>
              <w:t>September 30, 2025</w:t>
            </w:r>
          </w:p>
        </w:tc>
      </w:tr>
      <w:tr>
        <w:trPr>
          <w:trHeight w:val="143"/>
        </w:trPr>
        <w:tc>
          <w:tcPr>
            <w:tcW w:w="44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Interest Income</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153,405</w:t>
            </w: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145,713</w:t>
            </w:r>
          </w:p>
        </w:tc>
      </w:tr>
      <w:tr>
        <w:trPr>
          <w:trHeight w:val="132"/>
        </w:trPr>
        <w:tc>
          <w:tcPr>
            <w:tcW w:w="448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Less: Credit Card Loan Income</w:t>
            </w: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47,095</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43,651</w:t>
            </w:r>
          </w:p>
        </w:tc>
      </w:tr>
      <w:tr>
        <w:trPr>
          <w:trHeight w:val="127"/>
        </w:trPr>
        <w:tc>
          <w:tcPr>
            <w:tcW w:w="44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Core Net Interest Income</w:t>
            </w: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106,310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102,062</w:t>
            </w:r>
          </w:p>
        </w:tc>
      </w:tr>
      <w:tr>
        <w:trPr>
          <w:trHeight w:val="132"/>
        </w:trPr>
        <w:tc>
          <w:tcPr>
            <w:tcW w:w="4480" w:type="dxa"/>
            <w:vAlign w:val="bottom"/>
          </w:tcPr>
          <w:p>
            <w:pPr>
              <w:spacing w:after="0"/>
              <w:rPr>
                <w:sz w:val="20"/>
                <w:szCs w:val="20"/>
                <w:color w:val="auto"/>
              </w:rPr>
            </w:pPr>
            <w:r>
              <w:rPr>
                <w:rFonts w:ascii="Arial" w:cs="Arial" w:eastAsia="Arial" w:hAnsi="Arial"/>
                <w:sz w:val="10"/>
                <w:szCs w:val="10"/>
                <w:color w:val="auto"/>
              </w:rPr>
              <w:t>Average Interest Earning Assets</w:t>
            </w: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3,585,117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3,166,588</w:t>
            </w:r>
          </w:p>
        </w:tc>
      </w:tr>
      <w:tr>
        <w:trPr>
          <w:trHeight w:val="138"/>
        </w:trPr>
        <w:tc>
          <w:tcPr>
            <w:tcW w:w="4480" w:type="dxa"/>
            <w:vAlign w:val="bottom"/>
            <w:shd w:val="clear" w:color="auto" w:fill="CCEEFF"/>
          </w:tcPr>
          <w:p>
            <w:pPr>
              <w:ind w:left="60"/>
              <w:spacing w:after="0"/>
              <w:rPr>
                <w:sz w:val="20"/>
                <w:szCs w:val="20"/>
                <w:color w:val="auto"/>
              </w:rPr>
            </w:pPr>
            <w:r>
              <w:rPr>
                <w:rFonts w:ascii="Arial" w:cs="Arial" w:eastAsia="Arial" w:hAnsi="Arial"/>
                <w:sz w:val="10"/>
                <w:szCs w:val="10"/>
                <w:color w:val="auto"/>
              </w:rPr>
              <w:t>Less: Average Credit Card Loans</w:t>
            </w:r>
          </w:p>
        </w:tc>
        <w:tc>
          <w:tcPr>
            <w:tcW w:w="1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138,244</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123,117</w:t>
            </w:r>
          </w:p>
        </w:tc>
      </w:tr>
      <w:tr>
        <w:trPr>
          <w:trHeight w:val="123"/>
        </w:trPr>
        <w:tc>
          <w:tcPr>
            <w:tcW w:w="4480" w:type="dxa"/>
            <w:vAlign w:val="bottom"/>
          </w:tcPr>
          <w:p>
            <w:pPr>
              <w:spacing w:after="0"/>
              <w:rPr>
                <w:sz w:val="20"/>
                <w:szCs w:val="20"/>
                <w:color w:val="auto"/>
              </w:rPr>
            </w:pPr>
            <w:r>
              <w:rPr>
                <w:rFonts w:ascii="Arial" w:cs="Arial" w:eastAsia="Arial" w:hAnsi="Arial"/>
                <w:sz w:val="10"/>
                <w:szCs w:val="10"/>
                <w:b w:val="1"/>
                <w:bCs w:val="1"/>
                <w:color w:val="auto"/>
              </w:rPr>
              <w:t>Average Core Interest Earning Assets</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3,446,873</w:t>
            </w:r>
          </w:p>
        </w:tc>
        <w:tc>
          <w:tcPr>
            <w:tcW w:w="80" w:type="dxa"/>
            <w:vAlign w:val="bottom"/>
          </w:tcPr>
          <w:p>
            <w:pPr>
              <w:spacing w:after="0"/>
              <w:rPr>
                <w:sz w:val="10"/>
                <w:szCs w:val="10"/>
                <w:color w:val="auto"/>
              </w:rPr>
            </w:pPr>
          </w:p>
        </w:tc>
        <w:tc>
          <w:tcPr>
            <w:tcW w:w="1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tcPr>
          <w:p>
            <w:pPr>
              <w:jc w:val="right"/>
              <w:spacing w:after="0"/>
              <w:rPr>
                <w:sz w:val="20"/>
                <w:szCs w:val="20"/>
                <w:color w:val="auto"/>
              </w:rPr>
            </w:pPr>
            <w:r>
              <w:rPr>
                <w:rFonts w:ascii="Arial" w:cs="Arial" w:eastAsia="Arial" w:hAnsi="Arial"/>
                <w:sz w:val="10"/>
                <w:szCs w:val="10"/>
                <w:color w:val="auto"/>
              </w:rPr>
              <w:t>3,043,471</w:t>
            </w:r>
          </w:p>
        </w:tc>
      </w:tr>
      <w:tr>
        <w:trPr>
          <w:trHeight w:val="145"/>
        </w:trPr>
        <w:tc>
          <w:tcPr>
            <w:tcW w:w="44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Core Net Interest Margin</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1"/>
                <w:szCs w:val="11"/>
                <w:color w:val="auto"/>
              </w:rPr>
              <w:t>4.12%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4.48%</w:t>
            </w:r>
          </w:p>
        </w:tc>
      </w:tr>
    </w:tbl>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4500" w:type="dxa"/>
            <w:vAlign w:val="bottom"/>
          </w:tcPr>
          <w:p>
            <w:pPr>
              <w:ind w:left="20"/>
              <w:spacing w:after="0"/>
              <w:rPr>
                <w:sz w:val="20"/>
                <w:szCs w:val="20"/>
                <w:color w:val="auto"/>
              </w:rPr>
            </w:pPr>
            <w:r>
              <w:rPr>
                <w:rFonts w:ascii="Arial" w:cs="Arial" w:eastAsia="Arial" w:hAnsi="Arial"/>
                <w:sz w:val="11"/>
                <w:szCs w:val="11"/>
                <w:b w:val="1"/>
                <w:bCs w:val="1"/>
                <w:color w:val="auto"/>
              </w:rPr>
              <w:t>Core Loan Yield</w:t>
            </w: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Quarter Ended</w:t>
            </w: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r>
        <w:trPr>
          <w:trHeight w:val="132"/>
        </w:trPr>
        <w:tc>
          <w:tcPr>
            <w:tcW w:w="4500" w:type="dxa"/>
            <w:vAlign w:val="bottom"/>
          </w:tcPr>
          <w:p>
            <w:pPr>
              <w:ind w:left="20"/>
              <w:spacing w:after="0"/>
              <w:rPr>
                <w:sz w:val="20"/>
                <w:szCs w:val="20"/>
                <w:color w:val="auto"/>
              </w:rPr>
            </w:pPr>
            <w:r>
              <w:rPr>
                <w:rFonts w:ascii="Arial" w:cs="Arial" w:eastAsia="Arial" w:hAnsi="Arial"/>
                <w:sz w:val="7"/>
                <w:szCs w:val="7"/>
                <w:color w:val="auto"/>
              </w:rPr>
              <w:t>(in thousands)</w:t>
            </w:r>
          </w:p>
        </w:tc>
        <w:tc>
          <w:tcPr>
            <w:tcW w:w="14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0"/>
                <w:szCs w:val="10"/>
                <w:b w:val="1"/>
                <w:bCs w:val="1"/>
                <w:color w:val="auto"/>
              </w:rPr>
              <w:t>September 30, 2026</w:t>
            </w:r>
          </w:p>
        </w:tc>
        <w:tc>
          <w:tcPr>
            <w:tcW w:w="18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0"/>
                <w:szCs w:val="10"/>
                <w:b w:val="1"/>
                <w:bCs w:val="1"/>
                <w:color w:val="auto"/>
              </w:rPr>
              <w:t>June 30, 2026</w:t>
            </w:r>
          </w:p>
        </w:tc>
        <w:tc>
          <w:tcPr>
            <w:tcW w:w="200" w:type="dxa"/>
            <w:vAlign w:val="bottom"/>
          </w:tcPr>
          <w:p>
            <w:pPr>
              <w:spacing w:after="0"/>
              <w:rPr>
                <w:sz w:val="11"/>
                <w:szCs w:val="11"/>
                <w:color w:val="auto"/>
              </w:rPr>
            </w:pPr>
          </w:p>
        </w:tc>
        <w:tc>
          <w:tcPr>
            <w:tcW w:w="118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March 31, 2026</w:t>
            </w:r>
          </w:p>
        </w:tc>
        <w:tc>
          <w:tcPr>
            <w:tcW w:w="14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2025</w:t>
            </w:r>
          </w:p>
        </w:tc>
        <w:tc>
          <w:tcPr>
            <w:tcW w:w="140" w:type="dxa"/>
            <w:vAlign w:val="bottom"/>
          </w:tcPr>
          <w:p>
            <w:pPr>
              <w:spacing w:after="0"/>
              <w:rPr>
                <w:sz w:val="11"/>
                <w:szCs w:val="11"/>
                <w:color w:val="auto"/>
              </w:rPr>
            </w:pPr>
          </w:p>
        </w:tc>
        <w:tc>
          <w:tcPr>
            <w:tcW w:w="1160" w:type="dxa"/>
            <w:vAlign w:val="bottom"/>
          </w:tcPr>
          <w:p>
            <w:pPr>
              <w:jc w:val="right"/>
              <w:ind w:right="152"/>
              <w:spacing w:after="0"/>
              <w:rPr>
                <w:sz w:val="20"/>
                <w:szCs w:val="20"/>
                <w:color w:val="auto"/>
              </w:rPr>
            </w:pPr>
            <w:r>
              <w:rPr>
                <w:rFonts w:ascii="Arial" w:cs="Arial" w:eastAsia="Arial" w:hAnsi="Arial"/>
                <w:sz w:val="10"/>
                <w:szCs w:val="10"/>
                <w:b w:val="1"/>
                <w:bCs w:val="1"/>
                <w:color w:val="auto"/>
              </w:rPr>
              <w:t>September 30, 2025</w:t>
            </w:r>
          </w:p>
        </w:tc>
      </w:tr>
      <w:tr>
        <w:trPr>
          <w:trHeight w:val="143"/>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Portfolio Loans Receivable Interest Income</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67,942</w:t>
            </w:r>
          </w:p>
        </w:tc>
        <w:tc>
          <w:tcPr>
            <w:tcW w:w="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65,110</w:t>
            </w:r>
          </w:p>
        </w:tc>
        <w:tc>
          <w:tcPr>
            <w:tcW w:w="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64,009</w:t>
            </w:r>
          </w:p>
        </w:tc>
        <w:tc>
          <w:tcPr>
            <w:tcW w:w="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64,670</w:t>
            </w:r>
          </w:p>
        </w:tc>
        <w:tc>
          <w:tcPr>
            <w:tcW w:w="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60,610</w:t>
            </w:r>
          </w:p>
        </w:tc>
      </w:tr>
      <w:tr>
        <w:trPr>
          <w:trHeight w:val="132"/>
        </w:trPr>
        <w:tc>
          <w:tcPr>
            <w:tcW w:w="450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Less: Credit Card Loan Income</w:t>
            </w: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16,405</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15,808</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14,882</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16,196</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15,386</w:t>
            </w:r>
          </w:p>
        </w:tc>
      </w:tr>
      <w:tr>
        <w:trPr>
          <w:trHeight w:val="127"/>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Core Portfolio Loans Receivable Interest Income</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51,537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49,302</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49,127</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48,474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45,224</w:t>
            </w:r>
          </w:p>
        </w:tc>
      </w:tr>
      <w:tr>
        <w:trPr>
          <w:trHeight w:val="132"/>
        </w:trPr>
        <w:tc>
          <w:tcPr>
            <w:tcW w:w="4500" w:type="dxa"/>
            <w:vAlign w:val="bottom"/>
          </w:tcPr>
          <w:p>
            <w:pPr>
              <w:ind w:left="20"/>
              <w:spacing w:after="0"/>
              <w:rPr>
                <w:sz w:val="20"/>
                <w:szCs w:val="20"/>
                <w:color w:val="auto"/>
              </w:rPr>
            </w:pPr>
            <w:r>
              <w:rPr>
                <w:rFonts w:ascii="Arial" w:cs="Arial" w:eastAsia="Arial" w:hAnsi="Arial"/>
                <w:sz w:val="10"/>
                <w:szCs w:val="10"/>
                <w:color w:val="auto"/>
              </w:rPr>
              <w:t>Average Portfolio Loans Receivable</w:t>
            </w: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3,135,648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3,058,476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3,008,187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12"/>
              <w:spacing w:after="0"/>
              <w:rPr>
                <w:sz w:val="20"/>
                <w:szCs w:val="20"/>
                <w:color w:val="auto"/>
              </w:rPr>
            </w:pPr>
            <w:r>
              <w:rPr>
                <w:rFonts w:ascii="Arial" w:cs="Arial" w:eastAsia="Arial" w:hAnsi="Arial"/>
                <w:sz w:val="10"/>
                <w:szCs w:val="10"/>
                <w:color w:val="auto"/>
              </w:rPr>
              <w:t>2,902,033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2,789,815</w:t>
            </w:r>
          </w:p>
        </w:tc>
      </w:tr>
      <w:tr>
        <w:trPr>
          <w:trHeight w:val="138"/>
        </w:trPr>
        <w:tc>
          <w:tcPr>
            <w:tcW w:w="4500" w:type="dxa"/>
            <w:vAlign w:val="bottom"/>
            <w:shd w:val="clear" w:color="auto" w:fill="CCEEFF"/>
          </w:tcPr>
          <w:p>
            <w:pPr>
              <w:ind w:left="60"/>
              <w:spacing w:after="0"/>
              <w:rPr>
                <w:sz w:val="20"/>
                <w:szCs w:val="20"/>
                <w:color w:val="auto"/>
              </w:rPr>
            </w:pPr>
            <w:r>
              <w:rPr>
                <w:rFonts w:ascii="Arial" w:cs="Arial" w:eastAsia="Arial" w:hAnsi="Arial"/>
                <w:sz w:val="10"/>
                <w:szCs w:val="10"/>
                <w:color w:val="auto"/>
              </w:rPr>
              <w:t>Less: Average Credit Card Loans</w:t>
            </w:r>
          </w:p>
        </w:tc>
        <w:tc>
          <w:tcPr>
            <w:tcW w:w="1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143,858</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137,052</w:t>
            </w: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133,712</w:t>
            </w: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133,858</w:t>
            </w: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129,100</w:t>
            </w:r>
          </w:p>
        </w:tc>
      </w:tr>
      <w:tr>
        <w:trPr>
          <w:trHeight w:val="123"/>
        </w:trPr>
        <w:tc>
          <w:tcPr>
            <w:tcW w:w="4500" w:type="dxa"/>
            <w:vAlign w:val="bottom"/>
          </w:tcPr>
          <w:p>
            <w:pPr>
              <w:ind w:left="20"/>
              <w:spacing w:after="0"/>
              <w:rPr>
                <w:sz w:val="20"/>
                <w:szCs w:val="20"/>
                <w:color w:val="auto"/>
              </w:rPr>
            </w:pPr>
            <w:r>
              <w:rPr>
                <w:rFonts w:ascii="Arial" w:cs="Arial" w:eastAsia="Arial" w:hAnsi="Arial"/>
                <w:sz w:val="10"/>
                <w:szCs w:val="10"/>
                <w:b w:val="1"/>
                <w:bCs w:val="1"/>
                <w:color w:val="auto"/>
              </w:rPr>
              <w:t>Total Core Average Portfolio Loans Receivable</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2,991,790</w:t>
            </w:r>
          </w:p>
        </w:tc>
        <w:tc>
          <w:tcPr>
            <w:tcW w:w="8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0"/>
                <w:szCs w:val="10"/>
                <w:color w:val="auto"/>
              </w:rPr>
              <w:t>2,921,424</w:t>
            </w:r>
          </w:p>
        </w:tc>
        <w:tc>
          <w:tcPr>
            <w:tcW w:w="60" w:type="dxa"/>
            <w:vAlign w:val="bottom"/>
          </w:tcPr>
          <w:p>
            <w:pPr>
              <w:spacing w:after="0"/>
              <w:rPr>
                <w:sz w:val="10"/>
                <w:szCs w:val="10"/>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2,874,475</w:t>
            </w:r>
          </w:p>
        </w:tc>
        <w:tc>
          <w:tcPr>
            <w:tcW w:w="60" w:type="dxa"/>
            <w:vAlign w:val="bottom"/>
          </w:tcPr>
          <w:p>
            <w:pPr>
              <w:spacing w:after="0"/>
              <w:rPr>
                <w:sz w:val="10"/>
                <w:szCs w:val="10"/>
                <w:color w:val="auto"/>
              </w:rPr>
            </w:pPr>
          </w:p>
        </w:tc>
        <w:tc>
          <w:tcPr>
            <w:tcW w:w="1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tcPr>
          <w:p>
            <w:pPr>
              <w:jc w:val="right"/>
              <w:ind w:right="12"/>
              <w:spacing w:after="0"/>
              <w:rPr>
                <w:sz w:val="20"/>
                <w:szCs w:val="20"/>
                <w:color w:val="auto"/>
              </w:rPr>
            </w:pPr>
            <w:r>
              <w:rPr>
                <w:rFonts w:ascii="Arial" w:cs="Arial" w:eastAsia="Arial" w:hAnsi="Arial"/>
                <w:sz w:val="10"/>
                <w:szCs w:val="10"/>
                <w:color w:val="auto"/>
              </w:rPr>
              <w:t>2,768,175</w:t>
            </w:r>
          </w:p>
        </w:tc>
        <w:tc>
          <w:tcPr>
            <w:tcW w:w="6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2,660,715</w:t>
            </w:r>
          </w:p>
        </w:tc>
      </w:tr>
      <w:tr>
        <w:trPr>
          <w:trHeight w:val="136"/>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Core Portfolio Loans Receivable Yield</w:t>
            </w: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6.83%</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6.77%</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6.93%</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6.95%</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6.74%</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80" w:type="dxa"/>
            <w:vAlign w:val="bottom"/>
          </w:tcPr>
          <w:p>
            <w:pPr>
              <w:spacing w:after="0"/>
              <w:rPr>
                <w:sz w:val="20"/>
                <w:szCs w:val="20"/>
                <w:color w:val="auto"/>
              </w:rPr>
            </w:pPr>
            <w:r>
              <w:rPr>
                <w:rFonts w:ascii="Arial" w:cs="Arial" w:eastAsia="Arial" w:hAnsi="Arial"/>
                <w:sz w:val="11"/>
                <w:szCs w:val="11"/>
                <w:b w:val="1"/>
                <w:bCs w:val="1"/>
                <w:color w:val="auto"/>
              </w:rPr>
              <w:t>Core Loan Yield</w:t>
            </w:r>
          </w:p>
        </w:tc>
        <w:tc>
          <w:tcPr>
            <w:tcW w:w="14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1"/>
                <w:szCs w:val="11"/>
                <w:b w:val="1"/>
                <w:bCs w:val="1"/>
                <w:color w:val="auto"/>
              </w:rPr>
              <w:t>Nine Months Ended</w:t>
            </w:r>
          </w:p>
        </w:tc>
      </w:tr>
      <w:tr>
        <w:trPr>
          <w:trHeight w:val="132"/>
        </w:trPr>
        <w:tc>
          <w:tcPr>
            <w:tcW w:w="4480" w:type="dxa"/>
            <w:vAlign w:val="bottom"/>
          </w:tcPr>
          <w:p>
            <w:pPr>
              <w:spacing w:after="0"/>
              <w:rPr>
                <w:sz w:val="20"/>
                <w:szCs w:val="20"/>
                <w:color w:val="auto"/>
              </w:rPr>
            </w:pPr>
            <w:r>
              <w:rPr>
                <w:rFonts w:ascii="Arial" w:cs="Arial" w:eastAsia="Arial" w:hAnsi="Arial"/>
                <w:sz w:val="7"/>
                <w:szCs w:val="7"/>
                <w:color w:val="auto"/>
              </w:rPr>
              <w:t>(in thousands)</w:t>
            </w:r>
          </w:p>
        </w:tc>
        <w:tc>
          <w:tcPr>
            <w:tcW w:w="14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0"/>
                <w:szCs w:val="10"/>
                <w:b w:val="1"/>
                <w:bCs w:val="1"/>
                <w:color w:val="auto"/>
              </w:rPr>
              <w:t>September 30, 2026</w:t>
            </w:r>
          </w:p>
        </w:tc>
        <w:tc>
          <w:tcPr>
            <w:tcW w:w="140" w:type="dxa"/>
            <w:vAlign w:val="bottom"/>
          </w:tcPr>
          <w:p>
            <w:pPr>
              <w:spacing w:after="0"/>
              <w:rPr>
                <w:sz w:val="11"/>
                <w:szCs w:val="11"/>
                <w:color w:val="auto"/>
              </w:rPr>
            </w:pPr>
          </w:p>
        </w:tc>
        <w:tc>
          <w:tcPr>
            <w:tcW w:w="1180" w:type="dxa"/>
            <w:vAlign w:val="bottom"/>
          </w:tcPr>
          <w:p>
            <w:pPr>
              <w:jc w:val="right"/>
              <w:ind w:right="152"/>
              <w:spacing w:after="0"/>
              <w:rPr>
                <w:sz w:val="20"/>
                <w:szCs w:val="20"/>
                <w:color w:val="auto"/>
              </w:rPr>
            </w:pPr>
            <w:r>
              <w:rPr>
                <w:rFonts w:ascii="Arial" w:cs="Arial" w:eastAsia="Arial" w:hAnsi="Arial"/>
                <w:sz w:val="10"/>
                <w:szCs w:val="10"/>
                <w:b w:val="1"/>
                <w:bCs w:val="1"/>
                <w:color w:val="auto"/>
              </w:rPr>
              <w:t>September 30, 2025</w:t>
            </w:r>
          </w:p>
        </w:tc>
      </w:tr>
      <w:tr>
        <w:trPr>
          <w:trHeight w:val="143"/>
        </w:trPr>
        <w:tc>
          <w:tcPr>
            <w:tcW w:w="44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Portfolio Loans Receivable Interest Income</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197,062</w:t>
            </w: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179,710</w:t>
            </w:r>
          </w:p>
        </w:tc>
      </w:tr>
      <w:tr>
        <w:trPr>
          <w:trHeight w:val="132"/>
        </w:trPr>
        <w:tc>
          <w:tcPr>
            <w:tcW w:w="448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Less: Credit Card Loan Income</w:t>
            </w: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47,095</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43,651</w:t>
            </w:r>
          </w:p>
        </w:tc>
      </w:tr>
      <w:tr>
        <w:trPr>
          <w:trHeight w:val="127"/>
        </w:trPr>
        <w:tc>
          <w:tcPr>
            <w:tcW w:w="44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Core Portfolio Loans Receivable Interest Income</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149,967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136,059</w:t>
            </w:r>
          </w:p>
        </w:tc>
      </w:tr>
      <w:tr>
        <w:trPr>
          <w:trHeight w:val="132"/>
        </w:trPr>
        <w:tc>
          <w:tcPr>
            <w:tcW w:w="4480" w:type="dxa"/>
            <w:vAlign w:val="bottom"/>
          </w:tcPr>
          <w:p>
            <w:pPr>
              <w:spacing w:after="0"/>
              <w:rPr>
                <w:sz w:val="20"/>
                <w:szCs w:val="20"/>
                <w:color w:val="auto"/>
              </w:rPr>
            </w:pPr>
            <w:r>
              <w:rPr>
                <w:rFonts w:ascii="Arial" w:cs="Arial" w:eastAsia="Arial" w:hAnsi="Arial"/>
                <w:sz w:val="10"/>
                <w:szCs w:val="10"/>
                <w:color w:val="auto"/>
              </w:rPr>
              <w:t>Average Portfolio Loans Receivable</w:t>
            </w: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3,067,904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2,719,834</w:t>
            </w:r>
          </w:p>
        </w:tc>
      </w:tr>
      <w:tr>
        <w:trPr>
          <w:trHeight w:val="138"/>
        </w:trPr>
        <w:tc>
          <w:tcPr>
            <w:tcW w:w="4480" w:type="dxa"/>
            <w:vAlign w:val="bottom"/>
            <w:shd w:val="clear" w:color="auto" w:fill="CCEEFF"/>
          </w:tcPr>
          <w:p>
            <w:pPr>
              <w:ind w:left="60"/>
              <w:spacing w:after="0"/>
              <w:rPr>
                <w:sz w:val="20"/>
                <w:szCs w:val="20"/>
                <w:color w:val="auto"/>
              </w:rPr>
            </w:pPr>
            <w:r>
              <w:rPr>
                <w:rFonts w:ascii="Arial" w:cs="Arial" w:eastAsia="Arial" w:hAnsi="Arial"/>
                <w:sz w:val="10"/>
                <w:szCs w:val="10"/>
                <w:color w:val="auto"/>
              </w:rPr>
              <w:t>Less: Average Credit Card Loans</w:t>
            </w:r>
          </w:p>
        </w:tc>
        <w:tc>
          <w:tcPr>
            <w:tcW w:w="1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138,244</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123,117</w:t>
            </w:r>
          </w:p>
        </w:tc>
      </w:tr>
      <w:tr>
        <w:trPr>
          <w:trHeight w:val="123"/>
        </w:trPr>
        <w:tc>
          <w:tcPr>
            <w:tcW w:w="4480" w:type="dxa"/>
            <w:vAlign w:val="bottom"/>
          </w:tcPr>
          <w:p>
            <w:pPr>
              <w:spacing w:after="0"/>
              <w:rPr>
                <w:sz w:val="20"/>
                <w:szCs w:val="20"/>
                <w:color w:val="auto"/>
              </w:rPr>
            </w:pPr>
            <w:r>
              <w:rPr>
                <w:rFonts w:ascii="Arial" w:cs="Arial" w:eastAsia="Arial" w:hAnsi="Arial"/>
                <w:sz w:val="10"/>
                <w:szCs w:val="10"/>
                <w:b w:val="1"/>
                <w:bCs w:val="1"/>
                <w:color w:val="auto"/>
              </w:rPr>
              <w:t>Total Core Average Portfolio Loans Receivable</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2,929,660</w:t>
            </w:r>
          </w:p>
        </w:tc>
        <w:tc>
          <w:tcPr>
            <w:tcW w:w="80" w:type="dxa"/>
            <w:vAlign w:val="bottom"/>
          </w:tcPr>
          <w:p>
            <w:pPr>
              <w:spacing w:after="0"/>
              <w:rPr>
                <w:sz w:val="10"/>
                <w:szCs w:val="10"/>
                <w:color w:val="auto"/>
              </w:rPr>
            </w:pPr>
          </w:p>
        </w:tc>
        <w:tc>
          <w:tcPr>
            <w:tcW w:w="1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tcPr>
          <w:p>
            <w:pPr>
              <w:jc w:val="right"/>
              <w:spacing w:after="0"/>
              <w:rPr>
                <w:sz w:val="20"/>
                <w:szCs w:val="20"/>
                <w:color w:val="auto"/>
              </w:rPr>
            </w:pPr>
            <w:r>
              <w:rPr>
                <w:rFonts w:ascii="Arial" w:cs="Arial" w:eastAsia="Arial" w:hAnsi="Arial"/>
                <w:sz w:val="10"/>
                <w:szCs w:val="10"/>
                <w:color w:val="auto"/>
              </w:rPr>
              <w:t>2,596,717</w:t>
            </w:r>
          </w:p>
        </w:tc>
      </w:tr>
      <w:tr>
        <w:trPr>
          <w:trHeight w:val="136"/>
        </w:trPr>
        <w:tc>
          <w:tcPr>
            <w:tcW w:w="44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Core Portfolio Loans Receivable Yield</w:t>
            </w: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6.84%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7.01%</w:t>
            </w:r>
          </w:p>
        </w:tc>
      </w:tr>
    </w:tbl>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260"/>
          </w:cols>
          <w:pgMar w:left="300" w:top="289"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2"/>
          <w:szCs w:val="12"/>
          <w:color w:val="auto"/>
        </w:rPr>
        <w:t>Appendix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Reconciliation of Non-GAAP Measures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4500" w:type="dxa"/>
            <w:vAlign w:val="bottom"/>
          </w:tcPr>
          <w:p>
            <w:pPr>
              <w:ind w:left="20"/>
              <w:spacing w:after="0"/>
              <w:rPr>
                <w:sz w:val="20"/>
                <w:szCs w:val="20"/>
                <w:color w:val="auto"/>
              </w:rPr>
            </w:pPr>
            <w:r>
              <w:rPr>
                <w:rFonts w:ascii="Arial" w:cs="Arial" w:eastAsia="Arial" w:hAnsi="Arial"/>
                <w:sz w:val="11"/>
                <w:szCs w:val="11"/>
                <w:b w:val="1"/>
                <w:bCs w:val="1"/>
                <w:color w:val="auto"/>
              </w:rPr>
              <w:t>Pre-tax, Pre-Provision Net Revenue ("PPNR")</w:t>
            </w: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Quarter Ended</w:t>
            </w: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r>
        <w:trPr>
          <w:trHeight w:val="132"/>
        </w:trPr>
        <w:tc>
          <w:tcPr>
            <w:tcW w:w="4500" w:type="dxa"/>
            <w:vAlign w:val="bottom"/>
          </w:tcPr>
          <w:p>
            <w:pPr>
              <w:ind w:left="20"/>
              <w:spacing w:after="0"/>
              <w:rPr>
                <w:sz w:val="20"/>
                <w:szCs w:val="20"/>
                <w:color w:val="auto"/>
              </w:rPr>
            </w:pPr>
            <w:r>
              <w:rPr>
                <w:rFonts w:ascii="Arial" w:cs="Arial" w:eastAsia="Arial" w:hAnsi="Arial"/>
                <w:sz w:val="7"/>
                <w:szCs w:val="7"/>
                <w:color w:val="auto"/>
              </w:rPr>
              <w:t>(in thousands)</w:t>
            </w:r>
          </w:p>
        </w:tc>
        <w:tc>
          <w:tcPr>
            <w:tcW w:w="14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0"/>
                <w:szCs w:val="10"/>
                <w:b w:val="1"/>
                <w:bCs w:val="1"/>
                <w:color w:val="auto"/>
              </w:rPr>
              <w:t>September 30, 2026</w:t>
            </w:r>
          </w:p>
        </w:tc>
        <w:tc>
          <w:tcPr>
            <w:tcW w:w="18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0"/>
                <w:szCs w:val="10"/>
                <w:b w:val="1"/>
                <w:bCs w:val="1"/>
                <w:color w:val="auto"/>
              </w:rPr>
              <w:t>June 30, 2026</w:t>
            </w:r>
          </w:p>
        </w:tc>
        <w:tc>
          <w:tcPr>
            <w:tcW w:w="200" w:type="dxa"/>
            <w:vAlign w:val="bottom"/>
          </w:tcPr>
          <w:p>
            <w:pPr>
              <w:spacing w:after="0"/>
              <w:rPr>
                <w:sz w:val="11"/>
                <w:szCs w:val="11"/>
                <w:color w:val="auto"/>
              </w:rPr>
            </w:pPr>
          </w:p>
        </w:tc>
        <w:tc>
          <w:tcPr>
            <w:tcW w:w="118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March 31, 2026</w:t>
            </w:r>
          </w:p>
        </w:tc>
        <w:tc>
          <w:tcPr>
            <w:tcW w:w="14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2025</w:t>
            </w:r>
          </w:p>
        </w:tc>
        <w:tc>
          <w:tcPr>
            <w:tcW w:w="140" w:type="dxa"/>
            <w:vAlign w:val="bottom"/>
          </w:tcPr>
          <w:p>
            <w:pPr>
              <w:spacing w:after="0"/>
              <w:rPr>
                <w:sz w:val="11"/>
                <w:szCs w:val="11"/>
                <w:color w:val="auto"/>
              </w:rPr>
            </w:pPr>
          </w:p>
        </w:tc>
        <w:tc>
          <w:tcPr>
            <w:tcW w:w="1160" w:type="dxa"/>
            <w:vAlign w:val="bottom"/>
          </w:tcPr>
          <w:p>
            <w:pPr>
              <w:jc w:val="right"/>
              <w:ind w:right="152"/>
              <w:spacing w:after="0"/>
              <w:rPr>
                <w:sz w:val="20"/>
                <w:szCs w:val="20"/>
                <w:color w:val="auto"/>
              </w:rPr>
            </w:pPr>
            <w:r>
              <w:rPr>
                <w:rFonts w:ascii="Arial" w:cs="Arial" w:eastAsia="Arial" w:hAnsi="Arial"/>
                <w:sz w:val="10"/>
                <w:szCs w:val="10"/>
                <w:b w:val="1"/>
                <w:bCs w:val="1"/>
                <w:color w:val="auto"/>
              </w:rPr>
              <w:t>September 30, 2025</w:t>
            </w:r>
          </w:p>
        </w:tc>
      </w:tr>
      <w:tr>
        <w:trPr>
          <w:trHeight w:val="143"/>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Income</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13,122</w:t>
            </w:r>
          </w:p>
        </w:tc>
        <w:tc>
          <w:tcPr>
            <w:tcW w:w="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14,250</w:t>
            </w:r>
          </w:p>
        </w:tc>
        <w:tc>
          <w:tcPr>
            <w:tcW w:w="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12,018</w:t>
            </w:r>
          </w:p>
        </w:tc>
        <w:tc>
          <w:tcPr>
            <w:tcW w:w="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15,037</w:t>
            </w:r>
          </w:p>
        </w:tc>
        <w:tc>
          <w:tcPr>
            <w:tcW w:w="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15,065</w:t>
            </w:r>
          </w:p>
        </w:tc>
      </w:tr>
      <w:tr>
        <w:trPr>
          <w:trHeight w:val="132"/>
        </w:trPr>
        <w:tc>
          <w:tcPr>
            <w:tcW w:w="4500" w:type="dxa"/>
            <w:vAlign w:val="bottom"/>
          </w:tcPr>
          <w:p>
            <w:pPr>
              <w:ind w:left="60"/>
              <w:spacing w:after="0"/>
              <w:rPr>
                <w:sz w:val="20"/>
                <w:szCs w:val="20"/>
                <w:color w:val="auto"/>
              </w:rPr>
            </w:pPr>
            <w:r>
              <w:rPr>
                <w:rFonts w:ascii="Arial" w:cs="Arial" w:eastAsia="Arial" w:hAnsi="Arial"/>
                <w:sz w:val="10"/>
                <w:szCs w:val="10"/>
                <w:color w:val="auto"/>
              </w:rPr>
              <w:t>Add: Income Tax Expense</w:t>
            </w: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4,424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4,204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3,853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12"/>
              <w:spacing w:after="0"/>
              <w:rPr>
                <w:sz w:val="20"/>
                <w:szCs w:val="20"/>
                <w:color w:val="auto"/>
              </w:rPr>
            </w:pPr>
            <w:r>
              <w:rPr>
                <w:rFonts w:ascii="Arial" w:cs="Arial" w:eastAsia="Arial" w:hAnsi="Arial"/>
                <w:sz w:val="10"/>
                <w:szCs w:val="10"/>
                <w:color w:val="auto"/>
              </w:rPr>
              <w:t>4,644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4,802</w:t>
            </w:r>
          </w:p>
        </w:tc>
      </w:tr>
      <w:tr>
        <w:trPr>
          <w:trHeight w:val="138"/>
        </w:trPr>
        <w:tc>
          <w:tcPr>
            <w:tcW w:w="4500" w:type="dxa"/>
            <w:vAlign w:val="bottom"/>
            <w:shd w:val="clear" w:color="auto" w:fill="CCEEFF"/>
          </w:tcPr>
          <w:p>
            <w:pPr>
              <w:ind w:left="60"/>
              <w:spacing w:after="0"/>
              <w:rPr>
                <w:sz w:val="20"/>
                <w:szCs w:val="20"/>
                <w:color w:val="auto"/>
              </w:rPr>
            </w:pPr>
            <w:r>
              <w:rPr>
                <w:rFonts w:ascii="Arial" w:cs="Arial" w:eastAsia="Arial" w:hAnsi="Arial"/>
                <w:sz w:val="10"/>
                <w:szCs w:val="10"/>
                <w:color w:val="auto"/>
              </w:rPr>
              <w:t>Add: Provision for Credit Losses</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4,903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3,585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3,014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3,988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4,650</w:t>
            </w:r>
          </w:p>
        </w:tc>
      </w:tr>
      <w:tr>
        <w:trPr>
          <w:trHeight w:val="132"/>
        </w:trPr>
        <w:tc>
          <w:tcPr>
            <w:tcW w:w="450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Add: Provision for (Release of) Credit Losses on Unfunded Commitments</w:t>
            </w: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205</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217</w:t>
            </w:r>
          </w:p>
        </w:tc>
      </w:tr>
      <w:tr>
        <w:trPr>
          <w:trHeight w:val="127"/>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Pre-tax, Pre-Provision Net Revenue ("PPNR")</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22,395</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22,104</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19,090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23,640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24,734</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80" w:type="dxa"/>
            <w:vAlign w:val="bottom"/>
          </w:tcPr>
          <w:p>
            <w:pPr>
              <w:spacing w:after="0"/>
              <w:rPr>
                <w:sz w:val="20"/>
                <w:szCs w:val="20"/>
                <w:color w:val="auto"/>
              </w:rPr>
            </w:pPr>
            <w:r>
              <w:rPr>
                <w:rFonts w:ascii="Arial" w:cs="Arial" w:eastAsia="Arial" w:hAnsi="Arial"/>
                <w:sz w:val="11"/>
                <w:szCs w:val="11"/>
                <w:b w:val="1"/>
                <w:bCs w:val="1"/>
                <w:color w:val="auto"/>
              </w:rPr>
              <w:t>Pre-tax, Pre-Provision Net Revenue ("PPNR")</w:t>
            </w:r>
          </w:p>
        </w:tc>
        <w:tc>
          <w:tcPr>
            <w:tcW w:w="14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1"/>
                <w:szCs w:val="11"/>
                <w:b w:val="1"/>
                <w:bCs w:val="1"/>
                <w:color w:val="auto"/>
              </w:rPr>
              <w:t>Nine Months Ended</w:t>
            </w:r>
          </w:p>
        </w:tc>
      </w:tr>
      <w:tr>
        <w:trPr>
          <w:trHeight w:val="132"/>
        </w:trPr>
        <w:tc>
          <w:tcPr>
            <w:tcW w:w="4480" w:type="dxa"/>
            <w:vAlign w:val="bottom"/>
          </w:tcPr>
          <w:p>
            <w:pPr>
              <w:spacing w:after="0"/>
              <w:rPr>
                <w:sz w:val="20"/>
                <w:szCs w:val="20"/>
                <w:color w:val="auto"/>
              </w:rPr>
            </w:pPr>
            <w:r>
              <w:rPr>
                <w:rFonts w:ascii="Arial" w:cs="Arial" w:eastAsia="Arial" w:hAnsi="Arial"/>
                <w:sz w:val="7"/>
                <w:szCs w:val="7"/>
                <w:color w:val="auto"/>
              </w:rPr>
              <w:t>(in thousands)</w:t>
            </w:r>
          </w:p>
        </w:tc>
        <w:tc>
          <w:tcPr>
            <w:tcW w:w="14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0"/>
                <w:szCs w:val="10"/>
                <w:b w:val="1"/>
                <w:bCs w:val="1"/>
                <w:color w:val="auto"/>
              </w:rPr>
              <w:t>September 30, 2026</w:t>
            </w:r>
          </w:p>
        </w:tc>
        <w:tc>
          <w:tcPr>
            <w:tcW w:w="140" w:type="dxa"/>
            <w:vAlign w:val="bottom"/>
          </w:tcPr>
          <w:p>
            <w:pPr>
              <w:spacing w:after="0"/>
              <w:rPr>
                <w:sz w:val="11"/>
                <w:szCs w:val="11"/>
                <w:color w:val="auto"/>
              </w:rPr>
            </w:pPr>
          </w:p>
        </w:tc>
        <w:tc>
          <w:tcPr>
            <w:tcW w:w="1180" w:type="dxa"/>
            <w:vAlign w:val="bottom"/>
          </w:tcPr>
          <w:p>
            <w:pPr>
              <w:jc w:val="right"/>
              <w:ind w:right="152"/>
              <w:spacing w:after="0"/>
              <w:rPr>
                <w:sz w:val="20"/>
                <w:szCs w:val="20"/>
                <w:color w:val="auto"/>
              </w:rPr>
            </w:pPr>
            <w:r>
              <w:rPr>
                <w:rFonts w:ascii="Arial" w:cs="Arial" w:eastAsia="Arial" w:hAnsi="Arial"/>
                <w:sz w:val="10"/>
                <w:szCs w:val="10"/>
                <w:b w:val="1"/>
                <w:bCs w:val="1"/>
                <w:color w:val="auto"/>
              </w:rPr>
              <w:t>September 30, 2025</w:t>
            </w:r>
          </w:p>
        </w:tc>
      </w:tr>
      <w:tr>
        <w:trPr>
          <w:trHeight w:val="143"/>
        </w:trPr>
        <w:tc>
          <w:tcPr>
            <w:tcW w:w="44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Income</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39,390</w:t>
            </w: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42,133</w:t>
            </w:r>
          </w:p>
        </w:tc>
      </w:tr>
      <w:tr>
        <w:trPr>
          <w:trHeight w:val="132"/>
        </w:trPr>
        <w:tc>
          <w:tcPr>
            <w:tcW w:w="4480" w:type="dxa"/>
            <w:vAlign w:val="bottom"/>
          </w:tcPr>
          <w:p>
            <w:pPr>
              <w:ind w:left="60"/>
              <w:spacing w:after="0"/>
              <w:rPr>
                <w:sz w:val="20"/>
                <w:szCs w:val="20"/>
                <w:color w:val="auto"/>
              </w:rPr>
            </w:pPr>
            <w:r>
              <w:rPr>
                <w:rFonts w:ascii="Arial" w:cs="Arial" w:eastAsia="Arial" w:hAnsi="Arial"/>
                <w:sz w:val="10"/>
                <w:szCs w:val="10"/>
                <w:color w:val="auto"/>
              </w:rPr>
              <w:t>Add: Income Tax Expense</w:t>
            </w: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12,481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13,130</w:t>
            </w:r>
          </w:p>
        </w:tc>
      </w:tr>
      <w:tr>
        <w:trPr>
          <w:trHeight w:val="138"/>
        </w:trPr>
        <w:tc>
          <w:tcPr>
            <w:tcW w:w="4480" w:type="dxa"/>
            <w:vAlign w:val="bottom"/>
            <w:shd w:val="clear" w:color="auto" w:fill="CCEEFF"/>
          </w:tcPr>
          <w:p>
            <w:pPr>
              <w:ind w:left="60"/>
              <w:spacing w:after="0"/>
              <w:rPr>
                <w:sz w:val="20"/>
                <w:szCs w:val="20"/>
                <w:color w:val="auto"/>
              </w:rPr>
            </w:pPr>
            <w:r>
              <w:rPr>
                <w:rFonts w:ascii="Arial" w:cs="Arial" w:eastAsia="Arial" w:hAnsi="Arial"/>
                <w:sz w:val="10"/>
                <w:szCs w:val="10"/>
                <w:color w:val="auto"/>
              </w:rPr>
              <w:t>Add: Provision for Credit Losses</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11,502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10,977</w:t>
            </w:r>
          </w:p>
        </w:tc>
      </w:tr>
      <w:tr>
        <w:trPr>
          <w:trHeight w:val="132"/>
        </w:trPr>
        <w:tc>
          <w:tcPr>
            <w:tcW w:w="448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Add: Provision for Credit Losses on Unfunded Commitments</w:t>
            </w: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216</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217</w:t>
            </w:r>
          </w:p>
        </w:tc>
      </w:tr>
      <w:tr>
        <w:trPr>
          <w:trHeight w:val="127"/>
        </w:trPr>
        <w:tc>
          <w:tcPr>
            <w:tcW w:w="44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Pre-tax, Pre-Provision Net Revenue ("PPNR")</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63,589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66,457</w:t>
            </w:r>
          </w:p>
        </w:tc>
      </w:tr>
    </w:tbl>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500" w:type="dxa"/>
            <w:vAlign w:val="bottom"/>
          </w:tcPr>
          <w:p>
            <w:pPr>
              <w:spacing w:after="0"/>
              <w:rPr>
                <w:sz w:val="20"/>
                <w:szCs w:val="20"/>
                <w:color w:val="auto"/>
              </w:rPr>
            </w:pPr>
            <w:r>
              <w:rPr>
                <w:rFonts w:ascii="Arial" w:cs="Arial" w:eastAsia="Arial" w:hAnsi="Arial"/>
                <w:sz w:val="11"/>
                <w:szCs w:val="11"/>
                <w:b w:val="1"/>
                <w:bCs w:val="1"/>
                <w:color w:val="auto"/>
              </w:rPr>
              <w:t>Core PPNR</w:t>
            </w: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Quarter Ended</w:t>
            </w: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r>
        <w:trPr>
          <w:trHeight w:val="132"/>
        </w:trPr>
        <w:tc>
          <w:tcPr>
            <w:tcW w:w="4500" w:type="dxa"/>
            <w:vAlign w:val="bottom"/>
          </w:tcPr>
          <w:p>
            <w:pPr>
              <w:spacing w:after="0"/>
              <w:rPr>
                <w:sz w:val="20"/>
                <w:szCs w:val="20"/>
                <w:color w:val="auto"/>
              </w:rPr>
            </w:pPr>
            <w:r>
              <w:rPr>
                <w:rFonts w:ascii="Arial" w:cs="Arial" w:eastAsia="Arial" w:hAnsi="Arial"/>
                <w:sz w:val="7"/>
                <w:szCs w:val="7"/>
                <w:color w:val="auto"/>
              </w:rPr>
              <w:t>(in thousands)</w:t>
            </w:r>
          </w:p>
        </w:tc>
        <w:tc>
          <w:tcPr>
            <w:tcW w:w="12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2026</w:t>
            </w:r>
          </w:p>
        </w:tc>
        <w:tc>
          <w:tcPr>
            <w:tcW w:w="20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0"/>
                <w:szCs w:val="10"/>
                <w:b w:val="1"/>
                <w:bCs w:val="1"/>
                <w:color w:val="auto"/>
              </w:rPr>
              <w:t>June 30, 2026</w:t>
            </w:r>
          </w:p>
        </w:tc>
        <w:tc>
          <w:tcPr>
            <w:tcW w:w="200" w:type="dxa"/>
            <w:vAlign w:val="bottom"/>
          </w:tcPr>
          <w:p>
            <w:pPr>
              <w:spacing w:after="0"/>
              <w:rPr>
                <w:sz w:val="11"/>
                <w:szCs w:val="11"/>
                <w:color w:val="auto"/>
              </w:rPr>
            </w:pPr>
          </w:p>
        </w:tc>
        <w:tc>
          <w:tcPr>
            <w:tcW w:w="118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March 31, 2026</w:t>
            </w:r>
          </w:p>
        </w:tc>
        <w:tc>
          <w:tcPr>
            <w:tcW w:w="14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2025</w:t>
            </w:r>
          </w:p>
        </w:tc>
        <w:tc>
          <w:tcPr>
            <w:tcW w:w="140" w:type="dxa"/>
            <w:vAlign w:val="bottom"/>
          </w:tcPr>
          <w:p>
            <w:pPr>
              <w:spacing w:after="0"/>
              <w:rPr>
                <w:sz w:val="11"/>
                <w:szCs w:val="11"/>
                <w:color w:val="auto"/>
              </w:rPr>
            </w:pPr>
          </w:p>
        </w:tc>
        <w:tc>
          <w:tcPr>
            <w:tcW w:w="1160" w:type="dxa"/>
            <w:vAlign w:val="bottom"/>
          </w:tcPr>
          <w:p>
            <w:pPr>
              <w:jc w:val="right"/>
              <w:ind w:right="152"/>
              <w:spacing w:after="0"/>
              <w:rPr>
                <w:sz w:val="20"/>
                <w:szCs w:val="20"/>
                <w:color w:val="auto"/>
              </w:rPr>
            </w:pPr>
            <w:r>
              <w:rPr>
                <w:rFonts w:ascii="Arial" w:cs="Arial" w:eastAsia="Arial" w:hAnsi="Arial"/>
                <w:sz w:val="10"/>
                <w:szCs w:val="10"/>
                <w:b w:val="1"/>
                <w:bCs w:val="1"/>
                <w:color w:val="auto"/>
              </w:rPr>
              <w:t>September 30, 2025</w:t>
            </w:r>
          </w:p>
        </w:tc>
      </w:tr>
      <w:tr>
        <w:trPr>
          <w:trHeight w:val="143"/>
        </w:trPr>
        <w:tc>
          <w:tcPr>
            <w:tcW w:w="4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Income</w:t>
            </w: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13,122</w:t>
            </w:r>
          </w:p>
        </w:tc>
        <w:tc>
          <w:tcPr>
            <w:tcW w:w="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14,250</w:t>
            </w:r>
          </w:p>
        </w:tc>
        <w:tc>
          <w:tcPr>
            <w:tcW w:w="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12,018</w:t>
            </w: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15,037</w:t>
            </w: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15,065</w:t>
            </w:r>
          </w:p>
        </w:tc>
      </w:tr>
      <w:tr>
        <w:trPr>
          <w:trHeight w:val="132"/>
        </w:trPr>
        <w:tc>
          <w:tcPr>
            <w:tcW w:w="4500" w:type="dxa"/>
            <w:vAlign w:val="bottom"/>
          </w:tcPr>
          <w:p>
            <w:pPr>
              <w:ind w:left="60"/>
              <w:spacing w:after="0"/>
              <w:rPr>
                <w:sz w:val="20"/>
                <w:szCs w:val="20"/>
                <w:color w:val="auto"/>
              </w:rPr>
            </w:pPr>
            <w:r>
              <w:rPr>
                <w:rFonts w:ascii="Arial" w:cs="Arial" w:eastAsia="Arial" w:hAnsi="Arial"/>
                <w:sz w:val="10"/>
                <w:szCs w:val="10"/>
                <w:color w:val="auto"/>
              </w:rPr>
              <w:t>Add: Income Tax Expense</w:t>
            </w:r>
          </w:p>
        </w:tc>
        <w:tc>
          <w:tcPr>
            <w:tcW w:w="1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4,424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color w:val="auto"/>
              </w:rPr>
              <w:t>4,204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3,853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4,644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4,802</w:t>
            </w:r>
          </w:p>
        </w:tc>
      </w:tr>
      <w:tr>
        <w:trPr>
          <w:trHeight w:val="138"/>
        </w:trPr>
        <w:tc>
          <w:tcPr>
            <w:tcW w:w="4500" w:type="dxa"/>
            <w:vAlign w:val="bottom"/>
            <w:shd w:val="clear" w:color="auto" w:fill="CCEEFF"/>
          </w:tcPr>
          <w:p>
            <w:pPr>
              <w:ind w:left="60"/>
              <w:spacing w:after="0"/>
              <w:rPr>
                <w:sz w:val="20"/>
                <w:szCs w:val="20"/>
                <w:color w:val="auto"/>
              </w:rPr>
            </w:pPr>
            <w:r>
              <w:rPr>
                <w:rFonts w:ascii="Arial" w:cs="Arial" w:eastAsia="Arial" w:hAnsi="Arial"/>
                <w:sz w:val="10"/>
                <w:szCs w:val="10"/>
                <w:color w:val="auto"/>
              </w:rPr>
              <w:t>Add: Provision for Credit Losses</w:t>
            </w: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4,903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3,585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3,014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3,988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4,650</w:t>
            </w:r>
          </w:p>
        </w:tc>
      </w:tr>
      <w:tr>
        <w:trPr>
          <w:trHeight w:val="132"/>
        </w:trPr>
        <w:tc>
          <w:tcPr>
            <w:tcW w:w="4500" w:type="dxa"/>
            <w:vAlign w:val="bottom"/>
          </w:tcPr>
          <w:p>
            <w:pPr>
              <w:ind w:left="60"/>
              <w:spacing w:after="0"/>
              <w:rPr>
                <w:sz w:val="20"/>
                <w:szCs w:val="20"/>
                <w:color w:val="auto"/>
              </w:rPr>
            </w:pPr>
            <w:r>
              <w:rPr>
                <w:rFonts w:ascii="Arial" w:cs="Arial" w:eastAsia="Arial" w:hAnsi="Arial"/>
                <w:sz w:val="10"/>
                <w:szCs w:val="10"/>
                <w:color w:val="auto"/>
              </w:rPr>
              <w:t>Add: Provision for (Release of) Credit Losses on Unfunded Commitments</w:t>
            </w:r>
          </w:p>
        </w:tc>
        <w:tc>
          <w:tcPr>
            <w:tcW w:w="1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(54)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color w:val="auto"/>
              </w:rPr>
              <w:t>65</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205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217</w:t>
            </w:r>
          </w:p>
        </w:tc>
      </w:tr>
      <w:tr>
        <w:trPr>
          <w:trHeight w:val="138"/>
        </w:trPr>
        <w:tc>
          <w:tcPr>
            <w:tcW w:w="4500" w:type="dxa"/>
            <w:vAlign w:val="bottom"/>
            <w:shd w:val="clear" w:color="auto" w:fill="CCEEFF"/>
          </w:tcPr>
          <w:p>
            <w:pPr>
              <w:ind w:left="60"/>
              <w:spacing w:after="0"/>
              <w:rPr>
                <w:sz w:val="20"/>
                <w:szCs w:val="20"/>
                <w:color w:val="auto"/>
              </w:rPr>
            </w:pPr>
            <w:r>
              <w:rPr>
                <w:rFonts w:ascii="Arial" w:cs="Arial" w:eastAsia="Arial" w:hAnsi="Arial"/>
                <w:sz w:val="10"/>
                <w:szCs w:val="10"/>
                <w:color w:val="auto"/>
              </w:rPr>
              <w:t>Deduct: Income from the Call of Brokered Time Deposits</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(4,618)</w:t>
            </w:r>
          </w:p>
        </w:tc>
      </w:tr>
      <w:tr>
        <w:trPr>
          <w:trHeight w:val="132"/>
        </w:trPr>
        <w:tc>
          <w:tcPr>
            <w:tcW w:w="4500" w:type="dxa"/>
            <w:vAlign w:val="bottom"/>
          </w:tcPr>
          <w:p>
            <w:pPr>
              <w:ind w:left="60"/>
              <w:spacing w:after="0"/>
              <w:rPr>
                <w:sz w:val="20"/>
                <w:szCs w:val="20"/>
                <w:color w:val="auto"/>
              </w:rPr>
            </w:pPr>
            <w:r>
              <w:rPr>
                <w:rFonts w:ascii="Arial" w:cs="Arial" w:eastAsia="Arial" w:hAnsi="Arial"/>
                <w:sz w:val="10"/>
                <w:szCs w:val="10"/>
                <w:color w:val="auto"/>
              </w:rPr>
              <w:t>Add: Merger-Related Expenses</w:t>
            </w:r>
          </w:p>
        </w:tc>
        <w:tc>
          <w:tcPr>
            <w:tcW w:w="1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1,577</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697</w:t>
            </w:r>
          </w:p>
        </w:tc>
      </w:tr>
      <w:tr>
        <w:trPr>
          <w:trHeight w:val="127"/>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Core PPNR</w:t>
            </w: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23,972</w:t>
            </w: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22,104</w:t>
            </w: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19,090</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23,640</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20,813</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480" w:type="dxa"/>
            <w:vAlign w:val="bottom"/>
          </w:tcPr>
          <w:p>
            <w:pPr>
              <w:spacing w:after="0"/>
              <w:rPr>
                <w:sz w:val="20"/>
                <w:szCs w:val="20"/>
                <w:color w:val="auto"/>
              </w:rPr>
            </w:pPr>
            <w:r>
              <w:rPr>
                <w:rFonts w:ascii="Arial" w:cs="Arial" w:eastAsia="Arial" w:hAnsi="Arial"/>
                <w:sz w:val="11"/>
                <w:szCs w:val="11"/>
                <w:b w:val="1"/>
                <w:bCs w:val="1"/>
                <w:color w:val="auto"/>
              </w:rPr>
              <w:t>Core PPNR</w:t>
            </w:r>
          </w:p>
        </w:tc>
        <w:tc>
          <w:tcPr>
            <w:tcW w:w="140" w:type="dxa"/>
            <w:vAlign w:val="bottom"/>
          </w:tcPr>
          <w:p>
            <w:pPr>
              <w:spacing w:after="0"/>
              <w:rPr>
                <w:sz w:val="12"/>
                <w:szCs w:val="12"/>
                <w:color w:val="auto"/>
              </w:rPr>
            </w:pPr>
          </w:p>
        </w:tc>
        <w:tc>
          <w:tcPr>
            <w:tcW w:w="2560" w:type="dxa"/>
            <w:vAlign w:val="bottom"/>
            <w:gridSpan w:val="4"/>
          </w:tcPr>
          <w:p>
            <w:pPr>
              <w:jc w:val="right"/>
              <w:ind w:right="792"/>
              <w:spacing w:after="0"/>
              <w:rPr>
                <w:sz w:val="20"/>
                <w:szCs w:val="20"/>
                <w:color w:val="auto"/>
              </w:rPr>
            </w:pPr>
            <w:r>
              <w:rPr>
                <w:rFonts w:ascii="Arial" w:cs="Arial" w:eastAsia="Arial" w:hAnsi="Arial"/>
                <w:sz w:val="11"/>
                <w:szCs w:val="11"/>
                <w:b w:val="1"/>
                <w:bCs w:val="1"/>
                <w:color w:val="auto"/>
              </w:rPr>
              <w:t>Nine Months Ended</w:t>
            </w:r>
          </w:p>
        </w:tc>
      </w:tr>
      <w:tr>
        <w:trPr>
          <w:trHeight w:val="140"/>
        </w:trPr>
        <w:tc>
          <w:tcPr>
            <w:tcW w:w="4480" w:type="dxa"/>
            <w:vAlign w:val="bottom"/>
          </w:tcPr>
          <w:p>
            <w:pPr>
              <w:spacing w:after="0"/>
              <w:rPr>
                <w:sz w:val="20"/>
                <w:szCs w:val="20"/>
                <w:color w:val="auto"/>
              </w:rPr>
            </w:pPr>
            <w:r>
              <w:rPr>
                <w:rFonts w:ascii="Arial" w:cs="Arial" w:eastAsia="Arial" w:hAnsi="Arial"/>
                <w:sz w:val="7"/>
                <w:szCs w:val="7"/>
                <w:color w:val="auto"/>
              </w:rPr>
              <w:t>(in thousands)</w:t>
            </w:r>
          </w:p>
        </w:tc>
        <w:tc>
          <w:tcPr>
            <w:tcW w:w="140" w:type="dxa"/>
            <w:vAlign w:val="bottom"/>
          </w:tcPr>
          <w:p>
            <w:pPr>
              <w:spacing w:after="0"/>
              <w:rPr>
                <w:sz w:val="12"/>
                <w:szCs w:val="12"/>
                <w:color w:val="auto"/>
              </w:rPr>
            </w:pPr>
          </w:p>
        </w:tc>
        <w:tc>
          <w:tcPr>
            <w:tcW w:w="1240" w:type="dxa"/>
            <w:vAlign w:val="bottom"/>
            <w:gridSpan w:val="2"/>
          </w:tcPr>
          <w:p>
            <w:pPr>
              <w:ind w:left="60"/>
              <w:spacing w:after="0"/>
              <w:rPr>
                <w:sz w:val="20"/>
                <w:szCs w:val="20"/>
                <w:color w:val="auto"/>
              </w:rPr>
            </w:pPr>
            <w:r>
              <w:rPr>
                <w:rFonts w:ascii="Arial" w:cs="Arial" w:eastAsia="Arial" w:hAnsi="Arial"/>
                <w:sz w:val="10"/>
                <w:szCs w:val="10"/>
                <w:b w:val="1"/>
                <w:bCs w:val="1"/>
                <w:color w:val="auto"/>
              </w:rPr>
              <w:t>September 30, 2026</w:t>
            </w:r>
          </w:p>
        </w:tc>
        <w:tc>
          <w:tcPr>
            <w:tcW w:w="140" w:type="dxa"/>
            <w:vAlign w:val="bottom"/>
          </w:tcPr>
          <w:p>
            <w:pPr>
              <w:spacing w:after="0"/>
              <w:rPr>
                <w:sz w:val="12"/>
                <w:szCs w:val="12"/>
                <w:color w:val="auto"/>
              </w:rPr>
            </w:pPr>
          </w:p>
        </w:tc>
        <w:tc>
          <w:tcPr>
            <w:tcW w:w="1180" w:type="dxa"/>
            <w:vAlign w:val="bottom"/>
          </w:tcPr>
          <w:p>
            <w:pPr>
              <w:jc w:val="right"/>
              <w:ind w:right="152"/>
              <w:spacing w:after="0"/>
              <w:rPr>
                <w:sz w:val="20"/>
                <w:szCs w:val="20"/>
                <w:color w:val="auto"/>
              </w:rPr>
            </w:pPr>
            <w:r>
              <w:rPr>
                <w:rFonts w:ascii="Arial" w:cs="Arial" w:eastAsia="Arial" w:hAnsi="Arial"/>
                <w:sz w:val="10"/>
                <w:szCs w:val="10"/>
                <w:b w:val="1"/>
                <w:bCs w:val="1"/>
                <w:color w:val="auto"/>
              </w:rPr>
              <w:t>September 30, 2025</w:t>
            </w:r>
          </w:p>
        </w:tc>
      </w:tr>
      <w:tr>
        <w:trPr>
          <w:trHeight w:val="143"/>
        </w:trPr>
        <w:tc>
          <w:tcPr>
            <w:tcW w:w="44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Income</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39,390</w:t>
            </w: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42,133</w:t>
            </w:r>
          </w:p>
        </w:tc>
      </w:tr>
      <w:tr>
        <w:trPr>
          <w:trHeight w:val="132"/>
        </w:trPr>
        <w:tc>
          <w:tcPr>
            <w:tcW w:w="4480" w:type="dxa"/>
            <w:vAlign w:val="bottom"/>
          </w:tcPr>
          <w:p>
            <w:pPr>
              <w:ind w:left="60"/>
              <w:spacing w:after="0"/>
              <w:rPr>
                <w:sz w:val="20"/>
                <w:szCs w:val="20"/>
                <w:color w:val="auto"/>
              </w:rPr>
            </w:pPr>
            <w:r>
              <w:rPr>
                <w:rFonts w:ascii="Arial" w:cs="Arial" w:eastAsia="Arial" w:hAnsi="Arial"/>
                <w:sz w:val="10"/>
                <w:szCs w:val="10"/>
                <w:color w:val="auto"/>
              </w:rPr>
              <w:t>Add: Income Tax Expense</w:t>
            </w: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12,481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13,130</w:t>
            </w:r>
          </w:p>
        </w:tc>
      </w:tr>
      <w:tr>
        <w:trPr>
          <w:trHeight w:val="138"/>
        </w:trPr>
        <w:tc>
          <w:tcPr>
            <w:tcW w:w="4480" w:type="dxa"/>
            <w:vAlign w:val="bottom"/>
            <w:shd w:val="clear" w:color="auto" w:fill="CCEEFF"/>
          </w:tcPr>
          <w:p>
            <w:pPr>
              <w:ind w:left="60"/>
              <w:spacing w:after="0"/>
              <w:rPr>
                <w:sz w:val="20"/>
                <w:szCs w:val="20"/>
                <w:color w:val="auto"/>
              </w:rPr>
            </w:pPr>
            <w:r>
              <w:rPr>
                <w:rFonts w:ascii="Arial" w:cs="Arial" w:eastAsia="Arial" w:hAnsi="Arial"/>
                <w:sz w:val="10"/>
                <w:szCs w:val="10"/>
                <w:color w:val="auto"/>
              </w:rPr>
              <w:t>Add: Provision for Credit Losses</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11,502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10,977</w:t>
            </w:r>
          </w:p>
        </w:tc>
      </w:tr>
      <w:tr>
        <w:trPr>
          <w:trHeight w:val="132"/>
        </w:trPr>
        <w:tc>
          <w:tcPr>
            <w:tcW w:w="4480" w:type="dxa"/>
            <w:vAlign w:val="bottom"/>
          </w:tcPr>
          <w:p>
            <w:pPr>
              <w:ind w:left="60"/>
              <w:spacing w:after="0"/>
              <w:rPr>
                <w:sz w:val="20"/>
                <w:szCs w:val="20"/>
                <w:color w:val="auto"/>
              </w:rPr>
            </w:pPr>
            <w:r>
              <w:rPr>
                <w:rFonts w:ascii="Arial" w:cs="Arial" w:eastAsia="Arial" w:hAnsi="Arial"/>
                <w:sz w:val="10"/>
                <w:szCs w:val="10"/>
                <w:color w:val="auto"/>
              </w:rPr>
              <w:t>Add: Provision for Credit Losses on Unfunded Commitments</w:t>
            </w: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216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217</w:t>
            </w:r>
          </w:p>
        </w:tc>
      </w:tr>
      <w:tr>
        <w:trPr>
          <w:trHeight w:val="138"/>
        </w:trPr>
        <w:tc>
          <w:tcPr>
            <w:tcW w:w="4480" w:type="dxa"/>
            <w:vAlign w:val="bottom"/>
            <w:shd w:val="clear" w:color="auto" w:fill="CCEEFF"/>
          </w:tcPr>
          <w:p>
            <w:pPr>
              <w:ind w:left="60"/>
              <w:spacing w:after="0"/>
              <w:rPr>
                <w:sz w:val="20"/>
                <w:szCs w:val="20"/>
                <w:color w:val="auto"/>
              </w:rPr>
            </w:pPr>
            <w:r>
              <w:rPr>
                <w:rFonts w:ascii="Arial" w:cs="Arial" w:eastAsia="Arial" w:hAnsi="Arial"/>
                <w:sz w:val="10"/>
                <w:szCs w:val="10"/>
                <w:color w:val="auto"/>
              </w:rPr>
              <w:t>Deduct: Income from the Call of Brokered Time Deposits</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(4,618)</w:t>
            </w:r>
          </w:p>
        </w:tc>
      </w:tr>
      <w:tr>
        <w:trPr>
          <w:trHeight w:val="132"/>
        </w:trPr>
        <w:tc>
          <w:tcPr>
            <w:tcW w:w="448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Add: Merger-Related Expenses</w:t>
            </w: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1,577</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3,361</w:t>
            </w:r>
          </w:p>
        </w:tc>
      </w:tr>
      <w:tr>
        <w:trPr>
          <w:trHeight w:val="127"/>
        </w:trPr>
        <w:tc>
          <w:tcPr>
            <w:tcW w:w="44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Core PPNR</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65,166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65,200</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260"/>
          </w:cols>
          <w:pgMar w:left="300" w:top="289"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2"/>
          <w:szCs w:val="12"/>
          <w:color w:val="auto"/>
        </w:rPr>
        <w:t>Appendix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Reconciliation of Non-GAAP Measures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500" w:type="dxa"/>
            <w:vAlign w:val="bottom"/>
          </w:tcPr>
          <w:p>
            <w:pPr>
              <w:spacing w:after="0"/>
              <w:rPr>
                <w:sz w:val="20"/>
                <w:szCs w:val="20"/>
                <w:color w:val="auto"/>
              </w:rPr>
            </w:pPr>
            <w:r>
              <w:rPr>
                <w:rFonts w:ascii="Arial" w:cs="Arial" w:eastAsia="Arial" w:hAnsi="Arial"/>
                <w:sz w:val="11"/>
                <w:szCs w:val="11"/>
                <w:b w:val="1"/>
                <w:bCs w:val="1"/>
                <w:color w:val="auto"/>
              </w:rPr>
              <w:t>Allowance for Credit Losses to Total Portfolio Loans</w:t>
            </w: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Quarter Ended</w:t>
            </w: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r>
        <w:trPr>
          <w:trHeight w:val="123"/>
        </w:trPr>
        <w:tc>
          <w:tcPr>
            <w:tcW w:w="4500" w:type="dxa"/>
            <w:vAlign w:val="bottom"/>
          </w:tcPr>
          <w:p>
            <w:pPr>
              <w:spacing w:after="0"/>
              <w:rPr>
                <w:sz w:val="20"/>
                <w:szCs w:val="20"/>
                <w:color w:val="auto"/>
              </w:rPr>
            </w:pPr>
            <w:r>
              <w:rPr>
                <w:rFonts w:ascii="Arial" w:cs="Arial" w:eastAsia="Arial" w:hAnsi="Arial"/>
                <w:sz w:val="7"/>
                <w:szCs w:val="7"/>
                <w:color w:val="auto"/>
              </w:rPr>
              <w:t>(in thousands)</w:t>
            </w:r>
          </w:p>
        </w:tc>
        <w:tc>
          <w:tcPr>
            <w:tcW w:w="120" w:type="dxa"/>
            <w:vAlign w:val="bottom"/>
          </w:tcPr>
          <w:p>
            <w:pPr>
              <w:spacing w:after="0"/>
              <w:rPr>
                <w:sz w:val="10"/>
                <w:szCs w:val="10"/>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2026</w:t>
            </w:r>
          </w:p>
        </w:tc>
        <w:tc>
          <w:tcPr>
            <w:tcW w:w="20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0"/>
                <w:szCs w:val="10"/>
                <w:b w:val="1"/>
                <w:bCs w:val="1"/>
                <w:color w:val="auto"/>
              </w:rPr>
              <w:t>June 30, 2026</w:t>
            </w:r>
          </w:p>
        </w:tc>
        <w:tc>
          <w:tcPr>
            <w:tcW w:w="200" w:type="dxa"/>
            <w:vAlign w:val="bottom"/>
          </w:tcPr>
          <w:p>
            <w:pPr>
              <w:spacing w:after="0"/>
              <w:rPr>
                <w:sz w:val="10"/>
                <w:szCs w:val="10"/>
                <w:color w:val="auto"/>
              </w:rPr>
            </w:pPr>
          </w:p>
        </w:tc>
        <w:tc>
          <w:tcPr>
            <w:tcW w:w="118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March 31, 2026</w:t>
            </w:r>
          </w:p>
        </w:tc>
        <w:tc>
          <w:tcPr>
            <w:tcW w:w="140" w:type="dxa"/>
            <w:vAlign w:val="bottom"/>
          </w:tcPr>
          <w:p>
            <w:pPr>
              <w:spacing w:after="0"/>
              <w:rPr>
                <w:sz w:val="10"/>
                <w:szCs w:val="10"/>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2025</w:t>
            </w:r>
          </w:p>
        </w:tc>
        <w:tc>
          <w:tcPr>
            <w:tcW w:w="140" w:type="dxa"/>
            <w:vAlign w:val="bottom"/>
          </w:tcPr>
          <w:p>
            <w:pPr>
              <w:spacing w:after="0"/>
              <w:rPr>
                <w:sz w:val="10"/>
                <w:szCs w:val="10"/>
                <w:color w:val="auto"/>
              </w:rPr>
            </w:pPr>
          </w:p>
        </w:tc>
        <w:tc>
          <w:tcPr>
            <w:tcW w:w="1160" w:type="dxa"/>
            <w:vAlign w:val="bottom"/>
          </w:tcPr>
          <w:p>
            <w:pPr>
              <w:jc w:val="right"/>
              <w:ind w:right="152"/>
              <w:spacing w:after="0"/>
              <w:rPr>
                <w:sz w:val="20"/>
                <w:szCs w:val="20"/>
                <w:color w:val="auto"/>
              </w:rPr>
            </w:pPr>
            <w:r>
              <w:rPr>
                <w:rFonts w:ascii="Arial" w:cs="Arial" w:eastAsia="Arial" w:hAnsi="Arial"/>
                <w:sz w:val="10"/>
                <w:szCs w:val="10"/>
                <w:b w:val="1"/>
                <w:bCs w:val="1"/>
                <w:color w:val="auto"/>
              </w:rPr>
              <w:t>September 30, 2025</w:t>
            </w:r>
          </w:p>
        </w:tc>
      </w:tr>
      <w:tr>
        <w:trPr>
          <w:trHeight w:val="44"/>
        </w:trPr>
        <w:tc>
          <w:tcPr>
            <w:tcW w:w="45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r>
      <w:tr>
        <w:trPr>
          <w:trHeight w:val="135"/>
        </w:trPr>
        <w:tc>
          <w:tcPr>
            <w:tcW w:w="4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Allowance for Credit Losses</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55,493</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54,431</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54,680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54,660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53,045</w:t>
            </w:r>
          </w:p>
        </w:tc>
      </w:tr>
      <w:tr>
        <w:trPr>
          <w:trHeight w:val="134"/>
        </w:trPr>
        <w:tc>
          <w:tcPr>
            <w:tcW w:w="4500" w:type="dxa"/>
            <w:vAlign w:val="bottom"/>
          </w:tcPr>
          <w:p>
            <w:pPr>
              <w:spacing w:after="0"/>
              <w:rPr>
                <w:sz w:val="20"/>
                <w:szCs w:val="20"/>
                <w:color w:val="auto"/>
              </w:rPr>
            </w:pPr>
            <w:r>
              <w:rPr>
                <w:rFonts w:ascii="Arial" w:cs="Arial" w:eastAsia="Arial" w:hAnsi="Arial"/>
                <w:sz w:val="10"/>
                <w:szCs w:val="10"/>
                <w:b w:val="1"/>
                <w:bCs w:val="1"/>
                <w:color w:val="auto"/>
              </w:rPr>
              <w:t>Total Portfolio Loans</w:t>
            </w:r>
          </w:p>
        </w:tc>
        <w:tc>
          <w:tcPr>
            <w:tcW w:w="1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3,114,264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color w:val="auto"/>
              </w:rPr>
              <w:t>3,085,950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3,026,431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2,959,457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2,821,983</w:t>
            </w:r>
          </w:p>
        </w:tc>
      </w:tr>
      <w:tr>
        <w:trPr>
          <w:trHeight w:val="136"/>
        </w:trPr>
        <w:tc>
          <w:tcPr>
            <w:tcW w:w="4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Allowance for Credit Losses to Total Portfolio Loans</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1.78%</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1.76%</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1.81%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1.85%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1.88%</w:t>
            </w:r>
          </w:p>
        </w:tc>
      </w:tr>
    </w:tbl>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500" w:type="dxa"/>
            <w:vAlign w:val="bottom"/>
          </w:tcPr>
          <w:p>
            <w:pPr>
              <w:spacing w:after="0"/>
              <w:rPr>
                <w:sz w:val="20"/>
                <w:szCs w:val="20"/>
                <w:color w:val="auto"/>
              </w:rPr>
            </w:pPr>
            <w:r>
              <w:rPr>
                <w:rFonts w:ascii="Arial" w:cs="Arial" w:eastAsia="Arial" w:hAnsi="Arial"/>
                <w:sz w:val="11"/>
                <w:szCs w:val="11"/>
                <w:b w:val="1"/>
                <w:bCs w:val="1"/>
                <w:color w:val="auto"/>
              </w:rPr>
              <w:t>Commercial Bank Allowance for Credit Losses to Commercial Bank Portfolio Loans</w:t>
            </w: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Quarter Ended</w:t>
            </w: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r>
        <w:trPr>
          <w:trHeight w:val="123"/>
        </w:trPr>
        <w:tc>
          <w:tcPr>
            <w:tcW w:w="4500" w:type="dxa"/>
            <w:vAlign w:val="bottom"/>
          </w:tcPr>
          <w:p>
            <w:pPr>
              <w:spacing w:after="0"/>
              <w:rPr>
                <w:sz w:val="20"/>
                <w:szCs w:val="20"/>
                <w:color w:val="auto"/>
              </w:rPr>
            </w:pPr>
            <w:r>
              <w:rPr>
                <w:rFonts w:ascii="Arial" w:cs="Arial" w:eastAsia="Arial" w:hAnsi="Arial"/>
                <w:sz w:val="7"/>
                <w:szCs w:val="7"/>
                <w:color w:val="auto"/>
              </w:rPr>
              <w:t>(in thousands)</w:t>
            </w:r>
          </w:p>
        </w:tc>
        <w:tc>
          <w:tcPr>
            <w:tcW w:w="120" w:type="dxa"/>
            <w:vAlign w:val="bottom"/>
          </w:tcPr>
          <w:p>
            <w:pPr>
              <w:spacing w:after="0"/>
              <w:rPr>
                <w:sz w:val="10"/>
                <w:szCs w:val="10"/>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2026</w:t>
            </w:r>
          </w:p>
        </w:tc>
        <w:tc>
          <w:tcPr>
            <w:tcW w:w="20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0"/>
                <w:szCs w:val="10"/>
                <w:b w:val="1"/>
                <w:bCs w:val="1"/>
                <w:color w:val="auto"/>
              </w:rPr>
              <w:t>June 30, 2026</w:t>
            </w:r>
          </w:p>
        </w:tc>
        <w:tc>
          <w:tcPr>
            <w:tcW w:w="200" w:type="dxa"/>
            <w:vAlign w:val="bottom"/>
          </w:tcPr>
          <w:p>
            <w:pPr>
              <w:spacing w:after="0"/>
              <w:rPr>
                <w:sz w:val="10"/>
                <w:szCs w:val="10"/>
                <w:color w:val="auto"/>
              </w:rPr>
            </w:pPr>
          </w:p>
        </w:tc>
        <w:tc>
          <w:tcPr>
            <w:tcW w:w="118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March 31, 2026</w:t>
            </w:r>
          </w:p>
        </w:tc>
        <w:tc>
          <w:tcPr>
            <w:tcW w:w="140" w:type="dxa"/>
            <w:vAlign w:val="bottom"/>
          </w:tcPr>
          <w:p>
            <w:pPr>
              <w:spacing w:after="0"/>
              <w:rPr>
                <w:sz w:val="10"/>
                <w:szCs w:val="10"/>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2025</w:t>
            </w:r>
          </w:p>
        </w:tc>
        <w:tc>
          <w:tcPr>
            <w:tcW w:w="140" w:type="dxa"/>
            <w:vAlign w:val="bottom"/>
          </w:tcPr>
          <w:p>
            <w:pPr>
              <w:spacing w:after="0"/>
              <w:rPr>
                <w:sz w:val="10"/>
                <w:szCs w:val="10"/>
                <w:color w:val="auto"/>
              </w:rPr>
            </w:pPr>
          </w:p>
        </w:tc>
        <w:tc>
          <w:tcPr>
            <w:tcW w:w="1160" w:type="dxa"/>
            <w:vAlign w:val="bottom"/>
          </w:tcPr>
          <w:p>
            <w:pPr>
              <w:jc w:val="right"/>
              <w:ind w:right="152"/>
              <w:spacing w:after="0"/>
              <w:rPr>
                <w:sz w:val="20"/>
                <w:szCs w:val="20"/>
                <w:color w:val="auto"/>
              </w:rPr>
            </w:pPr>
            <w:r>
              <w:rPr>
                <w:rFonts w:ascii="Arial" w:cs="Arial" w:eastAsia="Arial" w:hAnsi="Arial"/>
                <w:sz w:val="10"/>
                <w:szCs w:val="10"/>
                <w:b w:val="1"/>
                <w:bCs w:val="1"/>
                <w:color w:val="auto"/>
              </w:rPr>
              <w:t>September 30, 2025</w:t>
            </w:r>
          </w:p>
        </w:tc>
      </w:tr>
      <w:tr>
        <w:trPr>
          <w:trHeight w:val="44"/>
        </w:trPr>
        <w:tc>
          <w:tcPr>
            <w:tcW w:w="45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r>
      <w:tr>
        <w:trPr>
          <w:trHeight w:val="135"/>
        </w:trPr>
        <w:tc>
          <w:tcPr>
            <w:tcW w:w="4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Allowance for Credit Losses</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55,493</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54,431</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54,680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54,660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53,045</w:t>
            </w:r>
          </w:p>
        </w:tc>
      </w:tr>
      <w:tr>
        <w:trPr>
          <w:trHeight w:val="132"/>
        </w:trPr>
        <w:tc>
          <w:tcPr>
            <w:tcW w:w="450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Less: Credit Card Allowance for Credit Losses</w:t>
            </w: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9,777</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8,904</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7,802</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8,232</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7,413</w:t>
            </w:r>
          </w:p>
        </w:tc>
      </w:tr>
      <w:tr>
        <w:trPr>
          <w:trHeight w:val="127"/>
        </w:trPr>
        <w:tc>
          <w:tcPr>
            <w:tcW w:w="4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Commercial Bank Allowance for Credit Losses</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45,716</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45,527</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46,878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46,428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45,632</w:t>
            </w:r>
          </w:p>
        </w:tc>
      </w:tr>
      <w:tr>
        <w:trPr>
          <w:trHeight w:val="134"/>
        </w:trPr>
        <w:tc>
          <w:tcPr>
            <w:tcW w:w="4500" w:type="dxa"/>
            <w:vAlign w:val="bottom"/>
          </w:tcPr>
          <w:p>
            <w:pPr>
              <w:spacing w:after="0"/>
              <w:rPr>
                <w:sz w:val="20"/>
                <w:szCs w:val="20"/>
                <w:color w:val="auto"/>
              </w:rPr>
            </w:pPr>
            <w:r>
              <w:rPr>
                <w:rFonts w:ascii="Arial" w:cs="Arial" w:eastAsia="Arial" w:hAnsi="Arial"/>
                <w:sz w:val="10"/>
                <w:szCs w:val="10"/>
                <w:b w:val="1"/>
                <w:bCs w:val="1"/>
                <w:color w:val="auto"/>
              </w:rPr>
              <w:t>Total Portfolio Loans</w:t>
            </w:r>
          </w:p>
        </w:tc>
        <w:tc>
          <w:tcPr>
            <w:tcW w:w="1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3,114,264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right"/>
              <w:ind w:right="12"/>
              <w:spacing w:after="0"/>
              <w:rPr>
                <w:sz w:val="20"/>
                <w:szCs w:val="20"/>
                <w:color w:val="auto"/>
              </w:rPr>
            </w:pPr>
            <w:r>
              <w:rPr>
                <w:rFonts w:ascii="Arial" w:cs="Arial" w:eastAsia="Arial" w:hAnsi="Arial"/>
                <w:sz w:val="10"/>
                <w:szCs w:val="10"/>
                <w:color w:val="auto"/>
              </w:rPr>
              <w:t>3,085,950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3,026,431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2,959,457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2,821,983</w:t>
            </w:r>
          </w:p>
        </w:tc>
      </w:tr>
      <w:tr>
        <w:trPr>
          <w:trHeight w:val="136"/>
        </w:trPr>
        <w:tc>
          <w:tcPr>
            <w:tcW w:w="4500" w:type="dxa"/>
            <w:vAlign w:val="bottom"/>
            <w:shd w:val="clear" w:color="auto" w:fill="CCEEFF"/>
          </w:tcPr>
          <w:p>
            <w:pPr>
              <w:ind w:left="60"/>
              <w:spacing w:after="0"/>
              <w:rPr>
                <w:sz w:val="20"/>
                <w:szCs w:val="20"/>
                <w:color w:val="auto"/>
              </w:rPr>
            </w:pPr>
            <w:r>
              <w:rPr>
                <w:rFonts w:ascii="Arial" w:cs="Arial" w:eastAsia="Arial" w:hAnsi="Arial"/>
                <w:sz w:val="10"/>
                <w:szCs w:val="10"/>
                <w:color w:val="auto"/>
              </w:rPr>
              <w:t>Less: Gross Credit Card Loans</w:t>
            </w:r>
          </w:p>
        </w:tc>
        <w:tc>
          <w:tcPr>
            <w:tcW w:w="12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144,258</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141,446</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131,887</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137,905</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130,897</w:t>
            </w:r>
          </w:p>
        </w:tc>
      </w:tr>
      <w:tr>
        <w:trPr>
          <w:trHeight w:val="123"/>
        </w:trPr>
        <w:tc>
          <w:tcPr>
            <w:tcW w:w="4500" w:type="dxa"/>
            <w:vAlign w:val="bottom"/>
          </w:tcPr>
          <w:p>
            <w:pPr>
              <w:spacing w:after="0"/>
              <w:rPr>
                <w:sz w:val="20"/>
                <w:szCs w:val="20"/>
                <w:color w:val="auto"/>
              </w:rPr>
            </w:pPr>
            <w:r>
              <w:rPr>
                <w:rFonts w:ascii="Arial" w:cs="Arial" w:eastAsia="Arial" w:hAnsi="Arial"/>
                <w:sz w:val="10"/>
                <w:szCs w:val="10"/>
                <w:b w:val="1"/>
                <w:bCs w:val="1"/>
                <w:color w:val="auto"/>
              </w:rPr>
              <w:t>Commercial Bank Portfolio Loans</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0"/>
                <w:szCs w:val="10"/>
                <w:color w:val="auto"/>
              </w:rPr>
              <w:t>2,970,006</w:t>
            </w:r>
          </w:p>
        </w:tc>
        <w:tc>
          <w:tcPr>
            <w:tcW w:w="60" w:type="dxa"/>
            <w:vAlign w:val="bottom"/>
          </w:tcPr>
          <w:p>
            <w:pPr>
              <w:spacing w:after="0"/>
              <w:rPr>
                <w:sz w:val="10"/>
                <w:szCs w:val="10"/>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12"/>
              <w:spacing w:after="0"/>
              <w:rPr>
                <w:sz w:val="20"/>
                <w:szCs w:val="20"/>
                <w:color w:val="auto"/>
              </w:rPr>
            </w:pPr>
            <w:r>
              <w:rPr>
                <w:rFonts w:ascii="Arial" w:cs="Arial" w:eastAsia="Arial" w:hAnsi="Arial"/>
                <w:sz w:val="10"/>
                <w:szCs w:val="10"/>
                <w:color w:val="auto"/>
              </w:rPr>
              <w:t>2,944,504</w:t>
            </w:r>
          </w:p>
        </w:tc>
        <w:tc>
          <w:tcPr>
            <w:tcW w:w="60" w:type="dxa"/>
            <w:vAlign w:val="bottom"/>
          </w:tcPr>
          <w:p>
            <w:pPr>
              <w:spacing w:after="0"/>
              <w:rPr>
                <w:sz w:val="10"/>
                <w:szCs w:val="10"/>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0"/>
                <w:szCs w:val="10"/>
                <w:color w:val="auto"/>
              </w:rPr>
              <w:t>2,894,544</w:t>
            </w:r>
          </w:p>
        </w:tc>
        <w:tc>
          <w:tcPr>
            <w:tcW w:w="8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2,821,552</w:t>
            </w:r>
          </w:p>
        </w:tc>
        <w:tc>
          <w:tcPr>
            <w:tcW w:w="8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0"/>
                <w:szCs w:val="10"/>
                <w:color w:val="auto"/>
              </w:rPr>
              <w:t>2,691,086</w:t>
            </w:r>
          </w:p>
        </w:tc>
      </w:tr>
      <w:tr>
        <w:trPr>
          <w:trHeight w:val="136"/>
        </w:trPr>
        <w:tc>
          <w:tcPr>
            <w:tcW w:w="4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Commercial Bank Allowance for Credit Losses to Commercial Bank Portfolio Loans</w:t>
            </w: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1.54%</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1.55%</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1.62%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1.65%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1.70%</w:t>
            </w:r>
          </w:p>
        </w:tc>
      </w:tr>
    </w:tbl>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4500" w:type="dxa"/>
            <w:vAlign w:val="bottom"/>
          </w:tcPr>
          <w:p>
            <w:pPr>
              <w:ind w:left="20"/>
              <w:spacing w:after="0"/>
              <w:rPr>
                <w:sz w:val="20"/>
                <w:szCs w:val="20"/>
                <w:color w:val="auto"/>
              </w:rPr>
            </w:pPr>
            <w:r>
              <w:rPr>
                <w:rFonts w:ascii="Arial" w:cs="Arial" w:eastAsia="Arial" w:hAnsi="Arial"/>
                <w:sz w:val="11"/>
                <w:szCs w:val="11"/>
                <w:b w:val="1"/>
                <w:bCs w:val="1"/>
                <w:color w:val="auto"/>
              </w:rPr>
              <w:t>Nonperforming Assets to Total Assets</w:t>
            </w: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Quarter Ended</w:t>
            </w: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r>
        <w:trPr>
          <w:trHeight w:val="123"/>
        </w:trPr>
        <w:tc>
          <w:tcPr>
            <w:tcW w:w="4500" w:type="dxa"/>
            <w:vAlign w:val="bottom"/>
          </w:tcPr>
          <w:p>
            <w:pPr>
              <w:ind w:left="20"/>
              <w:spacing w:after="0"/>
              <w:rPr>
                <w:sz w:val="20"/>
                <w:szCs w:val="20"/>
                <w:color w:val="auto"/>
              </w:rPr>
            </w:pPr>
            <w:r>
              <w:rPr>
                <w:rFonts w:ascii="Arial" w:cs="Arial" w:eastAsia="Arial" w:hAnsi="Arial"/>
                <w:sz w:val="7"/>
                <w:szCs w:val="7"/>
                <w:color w:val="auto"/>
              </w:rPr>
              <w:t>(in thousands)</w:t>
            </w:r>
          </w:p>
        </w:tc>
        <w:tc>
          <w:tcPr>
            <w:tcW w:w="140" w:type="dxa"/>
            <w:vAlign w:val="bottom"/>
          </w:tcPr>
          <w:p>
            <w:pPr>
              <w:spacing w:after="0"/>
              <w:rPr>
                <w:sz w:val="10"/>
                <w:szCs w:val="10"/>
                <w:color w:val="auto"/>
              </w:rPr>
            </w:pPr>
          </w:p>
        </w:tc>
        <w:tc>
          <w:tcPr>
            <w:tcW w:w="1240" w:type="dxa"/>
            <w:vAlign w:val="bottom"/>
            <w:gridSpan w:val="2"/>
          </w:tcPr>
          <w:p>
            <w:pPr>
              <w:ind w:left="60"/>
              <w:spacing w:after="0"/>
              <w:rPr>
                <w:sz w:val="20"/>
                <w:szCs w:val="20"/>
                <w:color w:val="auto"/>
              </w:rPr>
            </w:pPr>
            <w:r>
              <w:rPr>
                <w:rFonts w:ascii="Arial" w:cs="Arial" w:eastAsia="Arial" w:hAnsi="Arial"/>
                <w:sz w:val="10"/>
                <w:szCs w:val="10"/>
                <w:b w:val="1"/>
                <w:bCs w:val="1"/>
                <w:color w:val="auto"/>
              </w:rPr>
              <w:t>September 30, 2026</w:t>
            </w:r>
          </w:p>
        </w:tc>
        <w:tc>
          <w:tcPr>
            <w:tcW w:w="18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0"/>
                <w:szCs w:val="10"/>
                <w:b w:val="1"/>
                <w:bCs w:val="1"/>
                <w:color w:val="auto"/>
              </w:rPr>
              <w:t>June 30, 2026</w:t>
            </w:r>
          </w:p>
        </w:tc>
        <w:tc>
          <w:tcPr>
            <w:tcW w:w="200" w:type="dxa"/>
            <w:vAlign w:val="bottom"/>
          </w:tcPr>
          <w:p>
            <w:pPr>
              <w:spacing w:after="0"/>
              <w:rPr>
                <w:sz w:val="10"/>
                <w:szCs w:val="10"/>
                <w:color w:val="auto"/>
              </w:rPr>
            </w:pPr>
          </w:p>
        </w:tc>
        <w:tc>
          <w:tcPr>
            <w:tcW w:w="118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March 31, 2026</w:t>
            </w:r>
          </w:p>
        </w:tc>
        <w:tc>
          <w:tcPr>
            <w:tcW w:w="140" w:type="dxa"/>
            <w:vAlign w:val="bottom"/>
          </w:tcPr>
          <w:p>
            <w:pPr>
              <w:spacing w:after="0"/>
              <w:rPr>
                <w:sz w:val="10"/>
                <w:szCs w:val="10"/>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2025</w:t>
            </w:r>
          </w:p>
        </w:tc>
        <w:tc>
          <w:tcPr>
            <w:tcW w:w="140" w:type="dxa"/>
            <w:vAlign w:val="bottom"/>
          </w:tcPr>
          <w:p>
            <w:pPr>
              <w:spacing w:after="0"/>
              <w:rPr>
                <w:sz w:val="10"/>
                <w:szCs w:val="10"/>
                <w:color w:val="auto"/>
              </w:rPr>
            </w:pPr>
          </w:p>
        </w:tc>
        <w:tc>
          <w:tcPr>
            <w:tcW w:w="1160" w:type="dxa"/>
            <w:vAlign w:val="bottom"/>
          </w:tcPr>
          <w:p>
            <w:pPr>
              <w:jc w:val="right"/>
              <w:ind w:right="152"/>
              <w:spacing w:after="0"/>
              <w:rPr>
                <w:sz w:val="20"/>
                <w:szCs w:val="20"/>
                <w:color w:val="auto"/>
              </w:rPr>
            </w:pPr>
            <w:r>
              <w:rPr>
                <w:rFonts w:ascii="Arial" w:cs="Arial" w:eastAsia="Arial" w:hAnsi="Arial"/>
                <w:sz w:val="10"/>
                <w:szCs w:val="10"/>
                <w:b w:val="1"/>
                <w:bCs w:val="1"/>
                <w:color w:val="auto"/>
              </w:rPr>
              <w:t>September 30, 2025</w:t>
            </w:r>
          </w:p>
        </w:tc>
      </w:tr>
      <w:tr>
        <w:trPr>
          <w:trHeight w:val="44"/>
        </w:trPr>
        <w:tc>
          <w:tcPr>
            <w:tcW w:w="45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r>
      <w:tr>
        <w:trPr>
          <w:trHeight w:val="135"/>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 Nonperforming Assets</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60,518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60,843</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59,273</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58,276</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52,247</w:t>
            </w:r>
          </w:p>
        </w:tc>
      </w:tr>
      <w:tr>
        <w:trPr>
          <w:trHeight w:val="134"/>
        </w:trPr>
        <w:tc>
          <w:tcPr>
            <w:tcW w:w="4500" w:type="dxa"/>
            <w:vAlign w:val="bottom"/>
          </w:tcPr>
          <w:p>
            <w:pPr>
              <w:ind w:left="20"/>
              <w:spacing w:after="0"/>
              <w:rPr>
                <w:sz w:val="20"/>
                <w:szCs w:val="20"/>
                <w:color w:val="auto"/>
              </w:rPr>
            </w:pPr>
            <w:r>
              <w:rPr>
                <w:rFonts w:ascii="Arial" w:cs="Arial" w:eastAsia="Arial" w:hAnsi="Arial"/>
                <w:sz w:val="10"/>
                <w:szCs w:val="10"/>
                <w:b w:val="1"/>
                <w:bCs w:val="1"/>
                <w:color w:val="auto"/>
              </w:rPr>
              <w:t>Total Assets</w:t>
            </w: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3,802,553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3,889,938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3,808,467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12"/>
              <w:spacing w:after="0"/>
              <w:rPr>
                <w:sz w:val="20"/>
                <w:szCs w:val="20"/>
                <w:color w:val="auto"/>
              </w:rPr>
            </w:pPr>
            <w:r>
              <w:rPr>
                <w:rFonts w:ascii="Arial" w:cs="Arial" w:eastAsia="Arial" w:hAnsi="Arial"/>
                <w:sz w:val="10"/>
                <w:szCs w:val="10"/>
                <w:color w:val="auto"/>
              </w:rPr>
              <w:t>3,606,207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3,389,442</w:t>
            </w:r>
          </w:p>
        </w:tc>
      </w:tr>
      <w:tr>
        <w:trPr>
          <w:trHeight w:val="136"/>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Nonperforming Assets to Total Assets</w:t>
            </w: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1.59%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1.56%</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1.56%</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1.62%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1.54%</w:t>
            </w:r>
          </w:p>
        </w:tc>
      </w:tr>
    </w:tbl>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4500" w:type="dxa"/>
            <w:vAlign w:val="bottom"/>
          </w:tcPr>
          <w:p>
            <w:pPr>
              <w:ind w:left="20"/>
              <w:spacing w:after="0"/>
              <w:rPr>
                <w:sz w:val="20"/>
                <w:szCs w:val="20"/>
                <w:color w:val="auto"/>
              </w:rPr>
            </w:pPr>
            <w:r>
              <w:rPr>
                <w:rFonts w:ascii="Arial" w:cs="Arial" w:eastAsia="Arial" w:hAnsi="Arial"/>
                <w:sz w:val="11"/>
                <w:szCs w:val="11"/>
                <w:b w:val="1"/>
                <w:bCs w:val="1"/>
                <w:color w:val="auto"/>
              </w:rPr>
              <w:t>Nonperforming Loans to Total Portfolio Loans</w:t>
            </w: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Quarter Ended</w:t>
            </w: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r>
        <w:trPr>
          <w:trHeight w:val="123"/>
        </w:trPr>
        <w:tc>
          <w:tcPr>
            <w:tcW w:w="4500" w:type="dxa"/>
            <w:vAlign w:val="bottom"/>
          </w:tcPr>
          <w:p>
            <w:pPr>
              <w:ind w:left="20"/>
              <w:spacing w:after="0"/>
              <w:rPr>
                <w:sz w:val="20"/>
                <w:szCs w:val="20"/>
                <w:color w:val="auto"/>
              </w:rPr>
            </w:pPr>
            <w:r>
              <w:rPr>
                <w:rFonts w:ascii="Arial" w:cs="Arial" w:eastAsia="Arial" w:hAnsi="Arial"/>
                <w:sz w:val="7"/>
                <w:szCs w:val="7"/>
                <w:color w:val="auto"/>
              </w:rPr>
              <w:t>(in thousands)</w:t>
            </w:r>
          </w:p>
        </w:tc>
        <w:tc>
          <w:tcPr>
            <w:tcW w:w="140" w:type="dxa"/>
            <w:vAlign w:val="bottom"/>
          </w:tcPr>
          <w:p>
            <w:pPr>
              <w:spacing w:after="0"/>
              <w:rPr>
                <w:sz w:val="10"/>
                <w:szCs w:val="10"/>
                <w:color w:val="auto"/>
              </w:rPr>
            </w:pPr>
          </w:p>
        </w:tc>
        <w:tc>
          <w:tcPr>
            <w:tcW w:w="1240" w:type="dxa"/>
            <w:vAlign w:val="bottom"/>
            <w:gridSpan w:val="2"/>
          </w:tcPr>
          <w:p>
            <w:pPr>
              <w:ind w:left="60"/>
              <w:spacing w:after="0"/>
              <w:rPr>
                <w:sz w:val="20"/>
                <w:szCs w:val="20"/>
                <w:color w:val="auto"/>
              </w:rPr>
            </w:pPr>
            <w:r>
              <w:rPr>
                <w:rFonts w:ascii="Arial" w:cs="Arial" w:eastAsia="Arial" w:hAnsi="Arial"/>
                <w:sz w:val="10"/>
                <w:szCs w:val="10"/>
                <w:b w:val="1"/>
                <w:bCs w:val="1"/>
                <w:color w:val="auto"/>
              </w:rPr>
              <w:t>September 30, 2026</w:t>
            </w:r>
          </w:p>
        </w:tc>
        <w:tc>
          <w:tcPr>
            <w:tcW w:w="18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0"/>
                <w:szCs w:val="10"/>
                <w:b w:val="1"/>
                <w:bCs w:val="1"/>
                <w:color w:val="auto"/>
              </w:rPr>
              <w:t>June 30, 2026</w:t>
            </w:r>
          </w:p>
        </w:tc>
        <w:tc>
          <w:tcPr>
            <w:tcW w:w="200" w:type="dxa"/>
            <w:vAlign w:val="bottom"/>
          </w:tcPr>
          <w:p>
            <w:pPr>
              <w:spacing w:after="0"/>
              <w:rPr>
                <w:sz w:val="10"/>
                <w:szCs w:val="10"/>
                <w:color w:val="auto"/>
              </w:rPr>
            </w:pPr>
          </w:p>
        </w:tc>
        <w:tc>
          <w:tcPr>
            <w:tcW w:w="118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March 31, 2026</w:t>
            </w:r>
          </w:p>
        </w:tc>
        <w:tc>
          <w:tcPr>
            <w:tcW w:w="140" w:type="dxa"/>
            <w:vAlign w:val="bottom"/>
          </w:tcPr>
          <w:p>
            <w:pPr>
              <w:spacing w:after="0"/>
              <w:rPr>
                <w:sz w:val="10"/>
                <w:szCs w:val="10"/>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2025</w:t>
            </w:r>
          </w:p>
        </w:tc>
        <w:tc>
          <w:tcPr>
            <w:tcW w:w="140" w:type="dxa"/>
            <w:vAlign w:val="bottom"/>
          </w:tcPr>
          <w:p>
            <w:pPr>
              <w:spacing w:after="0"/>
              <w:rPr>
                <w:sz w:val="10"/>
                <w:szCs w:val="10"/>
                <w:color w:val="auto"/>
              </w:rPr>
            </w:pPr>
          </w:p>
        </w:tc>
        <w:tc>
          <w:tcPr>
            <w:tcW w:w="1160" w:type="dxa"/>
            <w:vAlign w:val="bottom"/>
          </w:tcPr>
          <w:p>
            <w:pPr>
              <w:jc w:val="right"/>
              <w:ind w:right="152"/>
              <w:spacing w:after="0"/>
              <w:rPr>
                <w:sz w:val="20"/>
                <w:szCs w:val="20"/>
                <w:color w:val="auto"/>
              </w:rPr>
            </w:pPr>
            <w:r>
              <w:rPr>
                <w:rFonts w:ascii="Arial" w:cs="Arial" w:eastAsia="Arial" w:hAnsi="Arial"/>
                <w:sz w:val="10"/>
                <w:szCs w:val="10"/>
                <w:b w:val="1"/>
                <w:bCs w:val="1"/>
                <w:color w:val="auto"/>
              </w:rPr>
              <w:t>September 30, 2025</w:t>
            </w:r>
          </w:p>
        </w:tc>
      </w:tr>
      <w:tr>
        <w:trPr>
          <w:trHeight w:val="44"/>
        </w:trPr>
        <w:tc>
          <w:tcPr>
            <w:tcW w:w="45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r>
      <w:tr>
        <w:trPr>
          <w:trHeight w:val="135"/>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 Nonperforming Loans</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56,662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56,987</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55,417</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54,421</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52,247</w:t>
            </w:r>
          </w:p>
        </w:tc>
      </w:tr>
      <w:tr>
        <w:trPr>
          <w:trHeight w:val="134"/>
        </w:trPr>
        <w:tc>
          <w:tcPr>
            <w:tcW w:w="4500" w:type="dxa"/>
            <w:vAlign w:val="bottom"/>
          </w:tcPr>
          <w:p>
            <w:pPr>
              <w:ind w:left="20"/>
              <w:spacing w:after="0"/>
              <w:rPr>
                <w:sz w:val="20"/>
                <w:szCs w:val="20"/>
                <w:color w:val="auto"/>
              </w:rPr>
            </w:pPr>
            <w:r>
              <w:rPr>
                <w:rFonts w:ascii="Arial" w:cs="Arial" w:eastAsia="Arial" w:hAnsi="Arial"/>
                <w:sz w:val="10"/>
                <w:szCs w:val="10"/>
                <w:b w:val="1"/>
                <w:bCs w:val="1"/>
                <w:color w:val="auto"/>
              </w:rPr>
              <w:t>Total Portfolio Loans</w:t>
            </w: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3,114,264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3,085,950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3,026,431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12"/>
              <w:spacing w:after="0"/>
              <w:rPr>
                <w:sz w:val="20"/>
                <w:szCs w:val="20"/>
                <w:color w:val="auto"/>
              </w:rPr>
            </w:pPr>
            <w:r>
              <w:rPr>
                <w:rFonts w:ascii="Arial" w:cs="Arial" w:eastAsia="Arial" w:hAnsi="Arial"/>
                <w:sz w:val="10"/>
                <w:szCs w:val="10"/>
                <w:color w:val="auto"/>
              </w:rPr>
              <w:t>2,959,457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2,821,983</w:t>
            </w:r>
          </w:p>
        </w:tc>
      </w:tr>
      <w:tr>
        <w:trPr>
          <w:trHeight w:val="136"/>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Nonperforming Loans to Total Portfolio Loans</w:t>
            </w: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1.82%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1.85%</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1.83%</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1.84%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1.85%</w:t>
            </w:r>
          </w:p>
        </w:tc>
      </w:tr>
    </w:tbl>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260"/>
          </w:cols>
          <w:pgMar w:left="300" w:top="289"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2"/>
          <w:szCs w:val="12"/>
          <w:color w:val="auto"/>
        </w:rPr>
        <w:t>Appendix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Reconciliation of Non-GAAP Measures</w:t>
      </w:r>
    </w:p>
    <w:p>
      <w:pPr>
        <w:spacing w:after="0" w:line="200" w:lineRule="exact"/>
        <w:rPr>
          <w:sz w:val="20"/>
          <w:szCs w:val="20"/>
          <w:color w:val="auto"/>
        </w:rPr>
      </w:pP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4500" w:type="dxa"/>
            <w:vAlign w:val="bottom"/>
          </w:tcPr>
          <w:p>
            <w:pPr>
              <w:ind w:left="20"/>
              <w:spacing w:after="0"/>
              <w:rPr>
                <w:sz w:val="20"/>
                <w:szCs w:val="20"/>
                <w:color w:val="auto"/>
              </w:rPr>
            </w:pPr>
            <w:r>
              <w:rPr>
                <w:rFonts w:ascii="Arial" w:cs="Arial" w:eastAsia="Arial" w:hAnsi="Arial"/>
                <w:sz w:val="11"/>
                <w:szCs w:val="11"/>
                <w:b w:val="1"/>
                <w:bCs w:val="1"/>
                <w:color w:val="auto"/>
              </w:rPr>
              <w:t>Net Charge-Offs to Average Portfolio Loans</w:t>
            </w: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Quarter Ended</w:t>
            </w: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r>
        <w:trPr>
          <w:trHeight w:val="123"/>
        </w:trPr>
        <w:tc>
          <w:tcPr>
            <w:tcW w:w="4500" w:type="dxa"/>
            <w:vAlign w:val="bottom"/>
          </w:tcPr>
          <w:p>
            <w:pPr>
              <w:ind w:left="20"/>
              <w:spacing w:after="0"/>
              <w:rPr>
                <w:sz w:val="20"/>
                <w:szCs w:val="20"/>
                <w:color w:val="auto"/>
              </w:rPr>
            </w:pPr>
            <w:r>
              <w:rPr>
                <w:rFonts w:ascii="Arial" w:cs="Arial" w:eastAsia="Arial" w:hAnsi="Arial"/>
                <w:sz w:val="7"/>
                <w:szCs w:val="7"/>
                <w:color w:val="auto"/>
              </w:rPr>
              <w:t>(in thousands)</w:t>
            </w:r>
          </w:p>
        </w:tc>
        <w:tc>
          <w:tcPr>
            <w:tcW w:w="140" w:type="dxa"/>
            <w:vAlign w:val="bottom"/>
          </w:tcPr>
          <w:p>
            <w:pPr>
              <w:spacing w:after="0"/>
              <w:rPr>
                <w:sz w:val="10"/>
                <w:szCs w:val="10"/>
                <w:color w:val="auto"/>
              </w:rPr>
            </w:pPr>
          </w:p>
        </w:tc>
        <w:tc>
          <w:tcPr>
            <w:tcW w:w="1240" w:type="dxa"/>
            <w:vAlign w:val="bottom"/>
            <w:gridSpan w:val="2"/>
          </w:tcPr>
          <w:p>
            <w:pPr>
              <w:ind w:left="60"/>
              <w:spacing w:after="0"/>
              <w:rPr>
                <w:sz w:val="20"/>
                <w:szCs w:val="20"/>
                <w:color w:val="auto"/>
              </w:rPr>
            </w:pPr>
            <w:r>
              <w:rPr>
                <w:rFonts w:ascii="Arial" w:cs="Arial" w:eastAsia="Arial" w:hAnsi="Arial"/>
                <w:sz w:val="10"/>
                <w:szCs w:val="10"/>
                <w:b w:val="1"/>
                <w:bCs w:val="1"/>
                <w:color w:val="auto"/>
              </w:rPr>
              <w:t>September 30, 2026</w:t>
            </w:r>
          </w:p>
        </w:tc>
        <w:tc>
          <w:tcPr>
            <w:tcW w:w="18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0"/>
                <w:szCs w:val="10"/>
                <w:b w:val="1"/>
                <w:bCs w:val="1"/>
                <w:color w:val="auto"/>
              </w:rPr>
              <w:t>June 30, 2026</w:t>
            </w:r>
          </w:p>
        </w:tc>
        <w:tc>
          <w:tcPr>
            <w:tcW w:w="200" w:type="dxa"/>
            <w:vAlign w:val="bottom"/>
          </w:tcPr>
          <w:p>
            <w:pPr>
              <w:spacing w:after="0"/>
              <w:rPr>
                <w:sz w:val="10"/>
                <w:szCs w:val="10"/>
                <w:color w:val="auto"/>
              </w:rPr>
            </w:pPr>
          </w:p>
        </w:tc>
        <w:tc>
          <w:tcPr>
            <w:tcW w:w="118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March 31, 2026</w:t>
            </w:r>
          </w:p>
        </w:tc>
        <w:tc>
          <w:tcPr>
            <w:tcW w:w="140" w:type="dxa"/>
            <w:vAlign w:val="bottom"/>
          </w:tcPr>
          <w:p>
            <w:pPr>
              <w:spacing w:after="0"/>
              <w:rPr>
                <w:sz w:val="10"/>
                <w:szCs w:val="10"/>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2025</w:t>
            </w:r>
          </w:p>
        </w:tc>
        <w:tc>
          <w:tcPr>
            <w:tcW w:w="140" w:type="dxa"/>
            <w:vAlign w:val="bottom"/>
          </w:tcPr>
          <w:p>
            <w:pPr>
              <w:spacing w:after="0"/>
              <w:rPr>
                <w:sz w:val="10"/>
                <w:szCs w:val="10"/>
                <w:color w:val="auto"/>
              </w:rPr>
            </w:pPr>
          </w:p>
        </w:tc>
        <w:tc>
          <w:tcPr>
            <w:tcW w:w="1160" w:type="dxa"/>
            <w:vAlign w:val="bottom"/>
          </w:tcPr>
          <w:p>
            <w:pPr>
              <w:jc w:val="right"/>
              <w:ind w:right="152"/>
              <w:spacing w:after="0"/>
              <w:rPr>
                <w:sz w:val="20"/>
                <w:szCs w:val="20"/>
                <w:color w:val="auto"/>
              </w:rPr>
            </w:pPr>
            <w:r>
              <w:rPr>
                <w:rFonts w:ascii="Arial" w:cs="Arial" w:eastAsia="Arial" w:hAnsi="Arial"/>
                <w:sz w:val="10"/>
                <w:szCs w:val="10"/>
                <w:b w:val="1"/>
                <w:bCs w:val="1"/>
                <w:color w:val="auto"/>
              </w:rPr>
              <w:t>September 30, 2025</w:t>
            </w:r>
          </w:p>
        </w:tc>
      </w:tr>
      <w:tr>
        <w:trPr>
          <w:trHeight w:val="44"/>
        </w:trPr>
        <w:tc>
          <w:tcPr>
            <w:tcW w:w="45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r>
      <w:tr>
        <w:trPr>
          <w:trHeight w:val="135"/>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 Net Charge-Offs</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3,841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3,834</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2,373</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2,476</w:t>
            </w:r>
          </w:p>
        </w:tc>
      </w:tr>
      <w:tr>
        <w:trPr>
          <w:trHeight w:val="134"/>
        </w:trPr>
        <w:tc>
          <w:tcPr>
            <w:tcW w:w="4500" w:type="dxa"/>
            <w:vAlign w:val="bottom"/>
          </w:tcPr>
          <w:p>
            <w:pPr>
              <w:ind w:left="20"/>
              <w:spacing w:after="0"/>
              <w:rPr>
                <w:sz w:val="20"/>
                <w:szCs w:val="20"/>
                <w:color w:val="auto"/>
              </w:rPr>
            </w:pPr>
            <w:r>
              <w:rPr>
                <w:rFonts w:ascii="Arial" w:cs="Arial" w:eastAsia="Arial" w:hAnsi="Arial"/>
                <w:sz w:val="10"/>
                <w:szCs w:val="10"/>
                <w:b w:val="1"/>
                <w:bCs w:val="1"/>
                <w:color w:val="auto"/>
              </w:rPr>
              <w:t>Total Average Portfolio Loans</w:t>
            </w: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3,135,648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3,058,476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3,008,187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12"/>
              <w:spacing w:after="0"/>
              <w:rPr>
                <w:sz w:val="20"/>
                <w:szCs w:val="20"/>
                <w:color w:val="auto"/>
              </w:rPr>
            </w:pPr>
            <w:r>
              <w:rPr>
                <w:rFonts w:ascii="Arial" w:cs="Arial" w:eastAsia="Arial" w:hAnsi="Arial"/>
                <w:sz w:val="10"/>
                <w:szCs w:val="10"/>
                <w:color w:val="auto"/>
              </w:rPr>
              <w:t>2,902,033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2,789,815</w:t>
            </w:r>
          </w:p>
        </w:tc>
      </w:tr>
      <w:tr>
        <w:trPr>
          <w:trHeight w:val="136"/>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Charge-Offs to Average Portfolio Loans, Annualized</w:t>
            </w: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0.49%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0.50%</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0.40%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0.32%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0.35%</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80" w:type="dxa"/>
            <w:vAlign w:val="bottom"/>
          </w:tcPr>
          <w:p>
            <w:pPr>
              <w:spacing w:after="0"/>
              <w:rPr>
                <w:sz w:val="20"/>
                <w:szCs w:val="20"/>
                <w:color w:val="auto"/>
              </w:rPr>
            </w:pPr>
            <w:r>
              <w:rPr>
                <w:rFonts w:ascii="Arial" w:cs="Arial" w:eastAsia="Arial" w:hAnsi="Arial"/>
                <w:sz w:val="11"/>
                <w:szCs w:val="11"/>
                <w:b w:val="1"/>
                <w:bCs w:val="1"/>
                <w:color w:val="auto"/>
              </w:rPr>
              <w:t>Net Charge-offs to Average Portfolio Loans</w:t>
            </w:r>
          </w:p>
        </w:tc>
        <w:tc>
          <w:tcPr>
            <w:tcW w:w="14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1"/>
                <w:szCs w:val="11"/>
                <w:b w:val="1"/>
                <w:bCs w:val="1"/>
                <w:color w:val="auto"/>
              </w:rPr>
              <w:t>Nine Months Ended</w:t>
            </w:r>
          </w:p>
        </w:tc>
      </w:tr>
      <w:tr>
        <w:trPr>
          <w:trHeight w:val="131"/>
        </w:trPr>
        <w:tc>
          <w:tcPr>
            <w:tcW w:w="4480" w:type="dxa"/>
            <w:vAlign w:val="bottom"/>
          </w:tcPr>
          <w:p>
            <w:pPr>
              <w:spacing w:after="0"/>
              <w:rPr>
                <w:sz w:val="20"/>
                <w:szCs w:val="20"/>
                <w:color w:val="auto"/>
              </w:rPr>
            </w:pPr>
            <w:r>
              <w:rPr>
                <w:rFonts w:ascii="Arial" w:cs="Arial" w:eastAsia="Arial" w:hAnsi="Arial"/>
                <w:sz w:val="7"/>
                <w:szCs w:val="7"/>
                <w:color w:val="auto"/>
              </w:rPr>
              <w:t>(in thousands)</w:t>
            </w:r>
          </w:p>
        </w:tc>
        <w:tc>
          <w:tcPr>
            <w:tcW w:w="14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0"/>
                <w:szCs w:val="10"/>
                <w:b w:val="1"/>
                <w:bCs w:val="1"/>
                <w:color w:val="auto"/>
              </w:rPr>
              <w:t>September 30, 2026</w:t>
            </w:r>
          </w:p>
        </w:tc>
        <w:tc>
          <w:tcPr>
            <w:tcW w:w="140" w:type="dxa"/>
            <w:vAlign w:val="bottom"/>
          </w:tcPr>
          <w:p>
            <w:pPr>
              <w:spacing w:after="0"/>
              <w:rPr>
                <w:sz w:val="11"/>
                <w:szCs w:val="11"/>
                <w:color w:val="auto"/>
              </w:rPr>
            </w:pPr>
          </w:p>
        </w:tc>
        <w:tc>
          <w:tcPr>
            <w:tcW w:w="1180" w:type="dxa"/>
            <w:vAlign w:val="bottom"/>
          </w:tcPr>
          <w:p>
            <w:pPr>
              <w:jc w:val="right"/>
              <w:ind w:right="152"/>
              <w:spacing w:after="0"/>
              <w:rPr>
                <w:sz w:val="20"/>
                <w:szCs w:val="20"/>
                <w:color w:val="auto"/>
              </w:rPr>
            </w:pPr>
            <w:r>
              <w:rPr>
                <w:rFonts w:ascii="Arial" w:cs="Arial" w:eastAsia="Arial" w:hAnsi="Arial"/>
                <w:sz w:val="10"/>
                <w:szCs w:val="10"/>
                <w:b w:val="1"/>
                <w:bCs w:val="1"/>
                <w:color w:val="auto"/>
              </w:rPr>
              <w:t>September 30, 2025</w:t>
            </w:r>
          </w:p>
        </w:tc>
      </w:tr>
      <w:tr>
        <w:trPr>
          <w:trHeight w:val="144"/>
        </w:trPr>
        <w:tc>
          <w:tcPr>
            <w:tcW w:w="44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Total Net Charge-Offs</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10,669</w:t>
            </w: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10,008</w:t>
            </w:r>
          </w:p>
        </w:tc>
      </w:tr>
      <w:tr>
        <w:trPr>
          <w:trHeight w:val="134"/>
        </w:trPr>
        <w:tc>
          <w:tcPr>
            <w:tcW w:w="4480" w:type="dxa"/>
            <w:vAlign w:val="bottom"/>
          </w:tcPr>
          <w:p>
            <w:pPr>
              <w:spacing w:after="0"/>
              <w:rPr>
                <w:sz w:val="20"/>
                <w:szCs w:val="20"/>
                <w:color w:val="auto"/>
              </w:rPr>
            </w:pPr>
            <w:r>
              <w:rPr>
                <w:rFonts w:ascii="Arial" w:cs="Arial" w:eastAsia="Arial" w:hAnsi="Arial"/>
                <w:sz w:val="10"/>
                <w:szCs w:val="10"/>
                <w:b w:val="1"/>
                <w:bCs w:val="1"/>
                <w:color w:val="auto"/>
              </w:rPr>
              <w:t>Total Average Portfolio Loans</w:t>
            </w: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3,067,904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2,719,834</w:t>
            </w:r>
          </w:p>
        </w:tc>
      </w:tr>
      <w:tr>
        <w:trPr>
          <w:trHeight w:val="136"/>
        </w:trPr>
        <w:tc>
          <w:tcPr>
            <w:tcW w:w="44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Charge-Offs to Average Portfolio Loans, Annualized</w:t>
            </w: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0.46%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0.49%</w:t>
            </w:r>
          </w:p>
        </w:tc>
      </w:tr>
    </w:tbl>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4500" w:type="dxa"/>
            <w:vAlign w:val="bottom"/>
          </w:tcPr>
          <w:p>
            <w:pPr>
              <w:ind w:left="20"/>
              <w:spacing w:after="0"/>
              <w:rPr>
                <w:sz w:val="20"/>
                <w:szCs w:val="20"/>
                <w:color w:val="auto"/>
              </w:rPr>
            </w:pPr>
            <w:r>
              <w:rPr>
                <w:rFonts w:ascii="Arial" w:cs="Arial" w:eastAsia="Arial" w:hAnsi="Arial"/>
                <w:sz w:val="11"/>
                <w:szCs w:val="11"/>
                <w:b w:val="1"/>
                <w:bCs w:val="1"/>
                <w:color w:val="auto"/>
              </w:rPr>
              <w:t>Tangible Book Value per Share</w:t>
            </w: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Quarter Ended</w:t>
            </w: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r>
        <w:trPr>
          <w:trHeight w:val="132"/>
        </w:trPr>
        <w:tc>
          <w:tcPr>
            <w:tcW w:w="4500" w:type="dxa"/>
            <w:vAlign w:val="bottom"/>
          </w:tcPr>
          <w:p>
            <w:pPr>
              <w:ind w:left="20"/>
              <w:spacing w:after="0"/>
              <w:rPr>
                <w:sz w:val="20"/>
                <w:szCs w:val="20"/>
                <w:color w:val="auto"/>
              </w:rPr>
            </w:pPr>
            <w:r>
              <w:rPr>
                <w:rFonts w:ascii="Arial" w:cs="Arial" w:eastAsia="Arial" w:hAnsi="Arial"/>
                <w:sz w:val="7"/>
                <w:szCs w:val="7"/>
                <w:color w:val="auto"/>
              </w:rPr>
              <w:t>(in thousands, except share and per share data)</w:t>
            </w:r>
          </w:p>
        </w:tc>
        <w:tc>
          <w:tcPr>
            <w:tcW w:w="14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0"/>
                <w:szCs w:val="10"/>
                <w:b w:val="1"/>
                <w:bCs w:val="1"/>
                <w:color w:val="auto"/>
              </w:rPr>
              <w:t>September 30, 2026</w:t>
            </w:r>
          </w:p>
        </w:tc>
        <w:tc>
          <w:tcPr>
            <w:tcW w:w="18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0"/>
                <w:szCs w:val="10"/>
                <w:b w:val="1"/>
                <w:bCs w:val="1"/>
                <w:color w:val="auto"/>
              </w:rPr>
              <w:t>June 30, 2026</w:t>
            </w:r>
          </w:p>
        </w:tc>
        <w:tc>
          <w:tcPr>
            <w:tcW w:w="200" w:type="dxa"/>
            <w:vAlign w:val="bottom"/>
          </w:tcPr>
          <w:p>
            <w:pPr>
              <w:spacing w:after="0"/>
              <w:rPr>
                <w:sz w:val="11"/>
                <w:szCs w:val="11"/>
                <w:color w:val="auto"/>
              </w:rPr>
            </w:pPr>
          </w:p>
        </w:tc>
        <w:tc>
          <w:tcPr>
            <w:tcW w:w="118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March 31, 2026</w:t>
            </w:r>
          </w:p>
        </w:tc>
        <w:tc>
          <w:tcPr>
            <w:tcW w:w="14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2025</w:t>
            </w:r>
          </w:p>
        </w:tc>
        <w:tc>
          <w:tcPr>
            <w:tcW w:w="140" w:type="dxa"/>
            <w:vAlign w:val="bottom"/>
          </w:tcPr>
          <w:p>
            <w:pPr>
              <w:spacing w:after="0"/>
              <w:rPr>
                <w:sz w:val="11"/>
                <w:szCs w:val="11"/>
                <w:color w:val="auto"/>
              </w:rPr>
            </w:pPr>
          </w:p>
        </w:tc>
        <w:tc>
          <w:tcPr>
            <w:tcW w:w="1160" w:type="dxa"/>
            <w:vAlign w:val="bottom"/>
          </w:tcPr>
          <w:p>
            <w:pPr>
              <w:jc w:val="right"/>
              <w:ind w:right="152"/>
              <w:spacing w:after="0"/>
              <w:rPr>
                <w:sz w:val="20"/>
                <w:szCs w:val="20"/>
                <w:color w:val="auto"/>
              </w:rPr>
            </w:pPr>
            <w:r>
              <w:rPr>
                <w:rFonts w:ascii="Arial" w:cs="Arial" w:eastAsia="Arial" w:hAnsi="Arial"/>
                <w:sz w:val="10"/>
                <w:szCs w:val="10"/>
                <w:b w:val="1"/>
                <w:bCs w:val="1"/>
                <w:color w:val="auto"/>
              </w:rPr>
              <w:t>September 30, 2025</w:t>
            </w:r>
          </w:p>
        </w:tc>
      </w:tr>
      <w:tr>
        <w:trPr>
          <w:trHeight w:val="143"/>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 Stockholders' Equity</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431,450</w:t>
            </w:r>
          </w:p>
        </w:tc>
        <w:tc>
          <w:tcPr>
            <w:tcW w:w="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422,205</w:t>
            </w:r>
          </w:p>
        </w:tc>
        <w:tc>
          <w:tcPr>
            <w:tcW w:w="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408,859</w:t>
            </w:r>
          </w:p>
        </w:tc>
        <w:tc>
          <w:tcPr>
            <w:tcW w:w="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401,757</w:t>
            </w:r>
          </w:p>
        </w:tc>
        <w:tc>
          <w:tcPr>
            <w:tcW w:w="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394,770</w:t>
            </w:r>
          </w:p>
        </w:tc>
      </w:tr>
      <w:tr>
        <w:trPr>
          <w:trHeight w:val="132"/>
        </w:trPr>
        <w:tc>
          <w:tcPr>
            <w:tcW w:w="450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Less: Intangible Assets</w:t>
            </w: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39,958</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40,219</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40,480</w:t>
            </w: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40,740</w:t>
            </w: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41,002</w:t>
            </w:r>
          </w:p>
        </w:tc>
      </w:tr>
      <w:tr>
        <w:trPr>
          <w:trHeight w:val="127"/>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Tangible Common Equity</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391,492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381,986</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368,379</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361,017</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353,768</w:t>
            </w:r>
          </w:p>
        </w:tc>
      </w:tr>
      <w:tr>
        <w:trPr>
          <w:trHeight w:val="132"/>
        </w:trPr>
        <w:tc>
          <w:tcPr>
            <w:tcW w:w="4500" w:type="dxa"/>
            <w:vAlign w:val="bottom"/>
          </w:tcPr>
          <w:p>
            <w:pPr>
              <w:ind w:left="20"/>
              <w:spacing w:after="0"/>
              <w:rPr>
                <w:sz w:val="20"/>
                <w:szCs w:val="20"/>
                <w:color w:val="auto"/>
              </w:rPr>
            </w:pPr>
            <w:r>
              <w:rPr>
                <w:rFonts w:ascii="Arial" w:cs="Arial" w:eastAsia="Arial" w:hAnsi="Arial"/>
                <w:sz w:val="10"/>
                <w:szCs w:val="10"/>
                <w:color w:val="auto"/>
              </w:rPr>
              <w:t>Period End Shares Outstanding</w:t>
            </w: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16,328,648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16,289,288</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16,286,480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12"/>
              <w:spacing w:after="0"/>
              <w:rPr>
                <w:sz w:val="20"/>
                <w:szCs w:val="20"/>
                <w:color w:val="auto"/>
              </w:rPr>
            </w:pPr>
            <w:r>
              <w:rPr>
                <w:rFonts w:ascii="Arial" w:cs="Arial" w:eastAsia="Arial" w:hAnsi="Arial"/>
                <w:sz w:val="10"/>
                <w:szCs w:val="10"/>
                <w:color w:val="auto"/>
              </w:rPr>
              <w:t>16,373,288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16,589,241</w:t>
            </w:r>
          </w:p>
        </w:tc>
      </w:tr>
      <w:tr>
        <w:trPr>
          <w:trHeight w:val="138"/>
        </w:trPr>
        <w:tc>
          <w:tcPr>
            <w:tcW w:w="45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Tangible Book Value per Share</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23.98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23.45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22.05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21.33</w:t>
            </w:r>
          </w:p>
        </w:tc>
      </w:tr>
    </w:tbl>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60" w:type="dxa"/>
            <w:vAlign w:val="bottom"/>
          </w:tcPr>
          <w:p>
            <w:pPr>
              <w:spacing w:after="0"/>
              <w:rPr>
                <w:sz w:val="20"/>
                <w:szCs w:val="20"/>
                <w:color w:val="auto"/>
              </w:rPr>
            </w:pPr>
            <w:r>
              <w:rPr>
                <w:rFonts w:ascii="Arial" w:cs="Arial" w:eastAsia="Arial" w:hAnsi="Arial"/>
                <w:sz w:val="11"/>
                <w:szCs w:val="11"/>
                <w:b w:val="1"/>
                <w:bCs w:val="1"/>
                <w:color w:val="auto"/>
              </w:rPr>
              <w:t>Return on Average Tangible Common Equity</w:t>
            </w: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Quarter Ended</w:t>
            </w: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32"/>
        </w:trPr>
        <w:tc>
          <w:tcPr>
            <w:tcW w:w="4260" w:type="dxa"/>
            <w:vAlign w:val="bottom"/>
          </w:tcPr>
          <w:p>
            <w:pPr>
              <w:spacing w:after="0"/>
              <w:rPr>
                <w:sz w:val="20"/>
                <w:szCs w:val="20"/>
                <w:color w:val="auto"/>
              </w:rPr>
            </w:pPr>
            <w:r>
              <w:rPr>
                <w:rFonts w:ascii="Arial" w:cs="Arial" w:eastAsia="Arial" w:hAnsi="Arial"/>
                <w:sz w:val="7"/>
                <w:szCs w:val="7"/>
                <w:color w:val="auto"/>
              </w:rPr>
              <w:t>(in thousands)</w:t>
            </w:r>
          </w:p>
        </w:tc>
        <w:tc>
          <w:tcPr>
            <w:tcW w:w="160" w:type="dxa"/>
            <w:vAlign w:val="bottom"/>
          </w:tcPr>
          <w:p>
            <w:pPr>
              <w:spacing w:after="0"/>
              <w:rPr>
                <w:sz w:val="11"/>
                <w:szCs w:val="11"/>
                <w:color w:val="auto"/>
              </w:rPr>
            </w:pPr>
          </w:p>
        </w:tc>
        <w:tc>
          <w:tcPr>
            <w:tcW w:w="126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2026</w:t>
            </w:r>
          </w:p>
        </w:tc>
        <w:tc>
          <w:tcPr>
            <w:tcW w:w="200" w:type="dxa"/>
            <w:vAlign w:val="bottom"/>
          </w:tcPr>
          <w:p>
            <w:pPr>
              <w:spacing w:after="0"/>
              <w:rPr>
                <w:sz w:val="11"/>
                <w:szCs w:val="11"/>
                <w:color w:val="auto"/>
              </w:rPr>
            </w:pPr>
          </w:p>
        </w:tc>
        <w:tc>
          <w:tcPr>
            <w:tcW w:w="1160" w:type="dxa"/>
            <w:vAlign w:val="bottom"/>
            <w:gridSpan w:val="2"/>
          </w:tcPr>
          <w:p>
            <w:pPr>
              <w:ind w:left="140"/>
              <w:spacing w:after="0"/>
              <w:rPr>
                <w:sz w:val="20"/>
                <w:szCs w:val="20"/>
                <w:color w:val="auto"/>
              </w:rPr>
            </w:pPr>
            <w:r>
              <w:rPr>
                <w:rFonts w:ascii="Arial" w:cs="Arial" w:eastAsia="Arial" w:hAnsi="Arial"/>
                <w:sz w:val="10"/>
                <w:szCs w:val="10"/>
                <w:b w:val="1"/>
                <w:bCs w:val="1"/>
                <w:color w:val="auto"/>
              </w:rPr>
              <w:t>June 30, 2026</w:t>
            </w:r>
          </w:p>
        </w:tc>
        <w:tc>
          <w:tcPr>
            <w:tcW w:w="200" w:type="dxa"/>
            <w:vAlign w:val="bottom"/>
          </w:tcPr>
          <w:p>
            <w:pPr>
              <w:spacing w:after="0"/>
              <w:rPr>
                <w:sz w:val="11"/>
                <w:szCs w:val="11"/>
                <w:color w:val="auto"/>
              </w:rPr>
            </w:pPr>
          </w:p>
        </w:tc>
        <w:tc>
          <w:tcPr>
            <w:tcW w:w="1220" w:type="dxa"/>
            <w:vAlign w:val="bottom"/>
            <w:gridSpan w:val="2"/>
          </w:tcPr>
          <w:p>
            <w:pPr>
              <w:ind w:left="140"/>
              <w:spacing w:after="0"/>
              <w:rPr>
                <w:sz w:val="20"/>
                <w:szCs w:val="20"/>
                <w:color w:val="auto"/>
              </w:rPr>
            </w:pPr>
            <w:r>
              <w:rPr>
                <w:rFonts w:ascii="Arial" w:cs="Arial" w:eastAsia="Arial" w:hAnsi="Arial"/>
                <w:sz w:val="10"/>
                <w:szCs w:val="10"/>
                <w:b w:val="1"/>
                <w:bCs w:val="1"/>
                <w:color w:val="auto"/>
              </w:rPr>
              <w:t>March 31, 2026</w:t>
            </w:r>
          </w:p>
        </w:tc>
        <w:tc>
          <w:tcPr>
            <w:tcW w:w="160" w:type="dxa"/>
            <w:vAlign w:val="bottom"/>
          </w:tcPr>
          <w:p>
            <w:pPr>
              <w:spacing w:after="0"/>
              <w:rPr>
                <w:sz w:val="11"/>
                <w:szCs w:val="11"/>
                <w:color w:val="auto"/>
              </w:rPr>
            </w:pPr>
          </w:p>
        </w:tc>
        <w:tc>
          <w:tcPr>
            <w:tcW w:w="1280" w:type="dxa"/>
            <w:vAlign w:val="bottom"/>
            <w:gridSpan w:val="2"/>
          </w:tcPr>
          <w:p>
            <w:pPr>
              <w:ind w:left="100"/>
              <w:spacing w:after="0"/>
              <w:rPr>
                <w:sz w:val="20"/>
                <w:szCs w:val="20"/>
                <w:color w:val="auto"/>
              </w:rPr>
            </w:pPr>
            <w:r>
              <w:rPr>
                <w:rFonts w:ascii="Arial" w:cs="Arial" w:eastAsia="Arial" w:hAnsi="Arial"/>
                <w:sz w:val="10"/>
                <w:szCs w:val="10"/>
                <w:b w:val="1"/>
                <w:bCs w:val="1"/>
                <w:color w:val="auto"/>
              </w:rPr>
              <w:t>December 31, 2025</w:t>
            </w:r>
          </w:p>
        </w:tc>
        <w:tc>
          <w:tcPr>
            <w:tcW w:w="140" w:type="dxa"/>
            <w:vAlign w:val="bottom"/>
          </w:tcPr>
          <w:p>
            <w:pPr>
              <w:spacing w:after="0"/>
              <w:rPr>
                <w:sz w:val="11"/>
                <w:szCs w:val="11"/>
                <w:color w:val="auto"/>
              </w:rPr>
            </w:pPr>
          </w:p>
        </w:tc>
        <w:tc>
          <w:tcPr>
            <w:tcW w:w="1200" w:type="dxa"/>
            <w:vAlign w:val="bottom"/>
          </w:tcPr>
          <w:p>
            <w:pPr>
              <w:jc w:val="right"/>
              <w:ind w:right="172"/>
              <w:spacing w:after="0"/>
              <w:rPr>
                <w:sz w:val="20"/>
                <w:szCs w:val="20"/>
                <w:color w:val="auto"/>
              </w:rPr>
            </w:pPr>
            <w:r>
              <w:rPr>
                <w:rFonts w:ascii="Arial" w:cs="Arial" w:eastAsia="Arial" w:hAnsi="Arial"/>
                <w:sz w:val="10"/>
                <w:szCs w:val="10"/>
                <w:b w:val="1"/>
                <w:bCs w:val="1"/>
                <w:color w:val="auto"/>
              </w:rPr>
              <w:t>September 30, 2025</w:t>
            </w:r>
          </w:p>
        </w:tc>
      </w:tr>
      <w:tr>
        <w:trPr>
          <w:trHeight w:val="143"/>
        </w:trPr>
        <w:tc>
          <w:tcPr>
            <w:tcW w:w="42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Income</w:t>
            </w:r>
          </w:p>
        </w:tc>
        <w:tc>
          <w:tcPr>
            <w:tcW w:w="1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13,122</w:t>
            </w:r>
          </w:p>
        </w:tc>
        <w:tc>
          <w:tcPr>
            <w:tcW w:w="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14,250</w:t>
            </w:r>
          </w:p>
        </w:tc>
        <w:tc>
          <w:tcPr>
            <w:tcW w:w="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12,018</w:t>
            </w:r>
          </w:p>
        </w:tc>
        <w:tc>
          <w:tcPr>
            <w:tcW w:w="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15,037</w:t>
            </w: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15,065</w:t>
            </w:r>
          </w:p>
        </w:tc>
      </w:tr>
      <w:tr>
        <w:trPr>
          <w:trHeight w:val="132"/>
        </w:trPr>
        <w:tc>
          <w:tcPr>
            <w:tcW w:w="426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Add: Intangible Amortization, Net of Tax</w:t>
            </w: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195</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201</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197</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200</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199</w:t>
            </w:r>
          </w:p>
        </w:tc>
      </w:tr>
      <w:tr>
        <w:trPr>
          <w:trHeight w:val="127"/>
        </w:trPr>
        <w:tc>
          <w:tcPr>
            <w:tcW w:w="42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Tangible Income</w:t>
            </w: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13,317</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14,451</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12,215</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15,237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15,264</w:t>
            </w:r>
          </w:p>
        </w:tc>
      </w:tr>
      <w:tr>
        <w:trPr>
          <w:trHeight w:val="134"/>
        </w:trPr>
        <w:tc>
          <w:tcPr>
            <w:tcW w:w="4260" w:type="dxa"/>
            <w:vAlign w:val="bottom"/>
          </w:tcPr>
          <w:p>
            <w:pPr>
              <w:spacing w:after="0"/>
              <w:rPr>
                <w:sz w:val="20"/>
                <w:szCs w:val="20"/>
                <w:color w:val="auto"/>
              </w:rPr>
            </w:pPr>
            <w:r>
              <w:rPr>
                <w:rFonts w:ascii="Arial" w:cs="Arial" w:eastAsia="Arial" w:hAnsi="Arial"/>
                <w:sz w:val="10"/>
                <w:szCs w:val="10"/>
                <w:b w:val="1"/>
                <w:bCs w:val="1"/>
                <w:color w:val="auto"/>
              </w:rPr>
              <w:t>Average Equity</w:t>
            </w:r>
          </w:p>
        </w:tc>
        <w:tc>
          <w:tcPr>
            <w:tcW w:w="160" w:type="dxa"/>
            <w:vAlign w:val="bottom"/>
          </w:tcPr>
          <w:p>
            <w:pPr>
              <w:spacing w:after="0"/>
              <w:rPr>
                <w:sz w:val="11"/>
                <w:szCs w:val="11"/>
                <w:color w:val="auto"/>
              </w:rPr>
            </w:pP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427,950</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414,044</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ind w:right="71"/>
              <w:spacing w:after="0"/>
              <w:rPr>
                <w:sz w:val="20"/>
                <w:szCs w:val="20"/>
                <w:color w:val="auto"/>
              </w:rPr>
            </w:pPr>
            <w:r>
              <w:rPr>
                <w:rFonts w:ascii="Arial" w:cs="Arial" w:eastAsia="Arial" w:hAnsi="Arial"/>
                <w:sz w:val="10"/>
                <w:szCs w:val="10"/>
                <w:color w:val="auto"/>
              </w:rPr>
              <w:t>405,302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391,750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383,922</w:t>
            </w:r>
          </w:p>
        </w:tc>
      </w:tr>
      <w:tr>
        <w:trPr>
          <w:trHeight w:val="136"/>
        </w:trPr>
        <w:tc>
          <w:tcPr>
            <w:tcW w:w="4260" w:type="dxa"/>
            <w:vAlign w:val="bottom"/>
            <w:shd w:val="clear" w:color="auto" w:fill="CCEEFF"/>
          </w:tcPr>
          <w:p>
            <w:pPr>
              <w:ind w:left="60"/>
              <w:spacing w:after="0"/>
              <w:rPr>
                <w:sz w:val="20"/>
                <w:szCs w:val="20"/>
                <w:color w:val="auto"/>
              </w:rPr>
            </w:pPr>
            <w:r>
              <w:rPr>
                <w:rFonts w:ascii="Arial" w:cs="Arial" w:eastAsia="Arial" w:hAnsi="Arial"/>
                <w:sz w:val="10"/>
                <w:szCs w:val="10"/>
                <w:color w:val="auto"/>
              </w:rPr>
              <w:t>Less: Average Intangible Assets</w:t>
            </w:r>
          </w:p>
        </w:tc>
        <w:tc>
          <w:tcPr>
            <w:tcW w:w="1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40,116</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40,377</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40,628</w:t>
            </w:r>
          </w:p>
        </w:tc>
        <w:tc>
          <w:tcPr>
            <w:tcW w:w="6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40,884</w:t>
            </w:r>
          </w:p>
        </w:tc>
        <w:tc>
          <w:tcPr>
            <w:tcW w:w="8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37,706</w:t>
            </w:r>
          </w:p>
        </w:tc>
      </w:tr>
      <w:tr>
        <w:trPr>
          <w:trHeight w:val="123"/>
        </w:trPr>
        <w:tc>
          <w:tcPr>
            <w:tcW w:w="4260" w:type="dxa"/>
            <w:vAlign w:val="bottom"/>
          </w:tcPr>
          <w:p>
            <w:pPr>
              <w:spacing w:after="0"/>
              <w:rPr>
                <w:sz w:val="20"/>
                <w:szCs w:val="20"/>
                <w:color w:val="auto"/>
              </w:rPr>
            </w:pPr>
            <w:r>
              <w:rPr>
                <w:rFonts w:ascii="Arial" w:cs="Arial" w:eastAsia="Arial" w:hAnsi="Arial"/>
                <w:sz w:val="10"/>
                <w:szCs w:val="10"/>
                <w:b w:val="1"/>
                <w:bCs w:val="1"/>
                <w:color w:val="auto"/>
              </w:rPr>
              <w:t>Net Average Tangible Common Equity</w:t>
            </w: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387,834</w:t>
            </w:r>
          </w:p>
        </w:tc>
        <w:tc>
          <w:tcPr>
            <w:tcW w:w="60" w:type="dxa"/>
            <w:vAlign w:val="bottom"/>
          </w:tcPr>
          <w:p>
            <w:pPr>
              <w:spacing w:after="0"/>
              <w:rPr>
                <w:sz w:val="10"/>
                <w:szCs w:val="10"/>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373,667</w:t>
            </w:r>
          </w:p>
        </w:tc>
        <w:tc>
          <w:tcPr>
            <w:tcW w:w="60" w:type="dxa"/>
            <w:vAlign w:val="bottom"/>
          </w:tcPr>
          <w:p>
            <w:pPr>
              <w:spacing w:after="0"/>
              <w:rPr>
                <w:sz w:val="10"/>
                <w:szCs w:val="10"/>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71"/>
              <w:spacing w:after="0"/>
              <w:rPr>
                <w:sz w:val="20"/>
                <w:szCs w:val="20"/>
                <w:color w:val="auto"/>
              </w:rPr>
            </w:pPr>
            <w:r>
              <w:rPr>
                <w:rFonts w:ascii="Arial" w:cs="Arial" w:eastAsia="Arial" w:hAnsi="Arial"/>
                <w:sz w:val="10"/>
                <w:szCs w:val="10"/>
                <w:color w:val="auto"/>
              </w:rPr>
              <w:t>364,674</w:t>
            </w:r>
          </w:p>
        </w:tc>
        <w:tc>
          <w:tcPr>
            <w:tcW w:w="60" w:type="dxa"/>
            <w:vAlign w:val="bottom"/>
          </w:tcPr>
          <w:p>
            <w:pPr>
              <w:spacing w:after="0"/>
              <w:rPr>
                <w:sz w:val="10"/>
                <w:szCs w:val="10"/>
                <w:color w:val="auto"/>
              </w:rPr>
            </w:pP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350,866</w:t>
            </w:r>
          </w:p>
        </w:tc>
        <w:tc>
          <w:tcPr>
            <w:tcW w:w="8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72"/>
              <w:spacing w:after="0"/>
              <w:rPr>
                <w:sz w:val="20"/>
                <w:szCs w:val="20"/>
                <w:color w:val="auto"/>
              </w:rPr>
            </w:pPr>
            <w:r>
              <w:rPr>
                <w:rFonts w:ascii="Arial" w:cs="Arial" w:eastAsia="Arial" w:hAnsi="Arial"/>
                <w:sz w:val="10"/>
                <w:szCs w:val="10"/>
                <w:color w:val="auto"/>
              </w:rPr>
              <w:t>346,216</w:t>
            </w:r>
          </w:p>
        </w:tc>
      </w:tr>
      <w:tr>
        <w:trPr>
          <w:trHeight w:val="136"/>
        </w:trPr>
        <w:tc>
          <w:tcPr>
            <w:tcW w:w="42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Return on Average Equity</w:t>
            </w: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12.16 %</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13.80 %</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12.03 %</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15.23 %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15.57 %</w:t>
            </w:r>
          </w:p>
        </w:tc>
      </w:tr>
      <w:tr>
        <w:trPr>
          <w:trHeight w:val="133"/>
        </w:trPr>
        <w:tc>
          <w:tcPr>
            <w:tcW w:w="4260" w:type="dxa"/>
            <w:vAlign w:val="bottom"/>
          </w:tcPr>
          <w:p>
            <w:pPr>
              <w:spacing w:after="0"/>
              <w:rPr>
                <w:sz w:val="20"/>
                <w:szCs w:val="20"/>
                <w:color w:val="auto"/>
              </w:rPr>
            </w:pPr>
            <w:r>
              <w:rPr>
                <w:rFonts w:ascii="Arial" w:cs="Arial" w:eastAsia="Arial" w:hAnsi="Arial"/>
                <w:sz w:val="10"/>
                <w:szCs w:val="10"/>
                <w:b w:val="1"/>
                <w:bCs w:val="1"/>
                <w:color w:val="auto"/>
              </w:rPr>
              <w:t>Return on Average Tangible Common Equity</w:t>
            </w:r>
          </w:p>
        </w:tc>
        <w:tc>
          <w:tcPr>
            <w:tcW w:w="1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13.62 %</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15.51 %</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0"/>
                <w:szCs w:val="10"/>
                <w:color w:val="auto"/>
              </w:rPr>
              <w:t>13.58 %</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17.23 %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17.49 %</w:t>
            </w: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360" w:type="dxa"/>
            <w:vAlign w:val="bottom"/>
          </w:tcPr>
          <w:p>
            <w:pPr>
              <w:spacing w:after="0"/>
              <w:rPr>
                <w:sz w:val="20"/>
                <w:szCs w:val="20"/>
                <w:color w:val="auto"/>
              </w:rPr>
            </w:pPr>
            <w:r>
              <w:rPr>
                <w:rFonts w:ascii="Arial" w:cs="Arial" w:eastAsia="Arial" w:hAnsi="Arial"/>
                <w:sz w:val="11"/>
                <w:szCs w:val="11"/>
                <w:b w:val="1"/>
                <w:bCs w:val="1"/>
                <w:color w:val="auto"/>
              </w:rPr>
              <w:t>Return on Average Tangible Common Equity</w:t>
            </w:r>
          </w:p>
        </w:tc>
        <w:tc>
          <w:tcPr>
            <w:tcW w:w="16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1"/>
                <w:szCs w:val="11"/>
                <w:b w:val="1"/>
                <w:bCs w:val="1"/>
                <w:color w:val="auto"/>
              </w:rPr>
              <w:t>Nine Months Ended</w:t>
            </w:r>
          </w:p>
        </w:tc>
      </w:tr>
      <w:tr>
        <w:trPr>
          <w:trHeight w:val="132"/>
        </w:trPr>
        <w:tc>
          <w:tcPr>
            <w:tcW w:w="4360" w:type="dxa"/>
            <w:vAlign w:val="bottom"/>
          </w:tcPr>
          <w:p>
            <w:pPr>
              <w:spacing w:after="0"/>
              <w:rPr>
                <w:sz w:val="20"/>
                <w:szCs w:val="20"/>
                <w:color w:val="auto"/>
              </w:rPr>
            </w:pPr>
            <w:r>
              <w:rPr>
                <w:rFonts w:ascii="Arial" w:cs="Arial" w:eastAsia="Arial" w:hAnsi="Arial"/>
                <w:sz w:val="7"/>
                <w:szCs w:val="7"/>
                <w:color w:val="auto"/>
              </w:rPr>
              <w:t>(in thousands)</w:t>
            </w:r>
          </w:p>
        </w:tc>
        <w:tc>
          <w:tcPr>
            <w:tcW w:w="16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2026</w:t>
            </w:r>
          </w:p>
        </w:tc>
        <w:tc>
          <w:tcPr>
            <w:tcW w:w="140" w:type="dxa"/>
            <w:vAlign w:val="bottom"/>
          </w:tcPr>
          <w:p>
            <w:pPr>
              <w:spacing w:after="0"/>
              <w:rPr>
                <w:sz w:val="11"/>
                <w:szCs w:val="11"/>
                <w:color w:val="auto"/>
              </w:rPr>
            </w:pPr>
          </w:p>
        </w:tc>
        <w:tc>
          <w:tcPr>
            <w:tcW w:w="1220" w:type="dxa"/>
            <w:vAlign w:val="bottom"/>
          </w:tcPr>
          <w:p>
            <w:pPr>
              <w:jc w:val="right"/>
              <w:ind w:right="192"/>
              <w:spacing w:after="0"/>
              <w:rPr>
                <w:sz w:val="20"/>
                <w:szCs w:val="20"/>
                <w:color w:val="auto"/>
              </w:rPr>
            </w:pPr>
            <w:r>
              <w:rPr>
                <w:rFonts w:ascii="Arial" w:cs="Arial" w:eastAsia="Arial" w:hAnsi="Arial"/>
                <w:sz w:val="10"/>
                <w:szCs w:val="10"/>
                <w:b w:val="1"/>
                <w:bCs w:val="1"/>
                <w:color w:val="auto"/>
              </w:rPr>
              <w:t>September 30, 2025</w:t>
            </w:r>
          </w:p>
        </w:tc>
      </w:tr>
      <w:tr>
        <w:trPr>
          <w:trHeight w:val="143"/>
        </w:trPr>
        <w:tc>
          <w:tcPr>
            <w:tcW w:w="43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Income</w:t>
            </w:r>
          </w:p>
        </w:tc>
        <w:tc>
          <w:tcPr>
            <w:tcW w:w="1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39,390</w:t>
            </w: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42,133</w:t>
            </w:r>
          </w:p>
        </w:tc>
      </w:tr>
      <w:tr>
        <w:trPr>
          <w:trHeight w:val="132"/>
        </w:trPr>
        <w:tc>
          <w:tcPr>
            <w:tcW w:w="436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Add: Intangible Amortization, Net of Tax</w:t>
            </w: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594</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599</w:t>
            </w:r>
          </w:p>
        </w:tc>
      </w:tr>
      <w:tr>
        <w:trPr>
          <w:trHeight w:val="127"/>
        </w:trPr>
        <w:tc>
          <w:tcPr>
            <w:tcW w:w="43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Tangible Income</w:t>
            </w: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39,984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42,732</w:t>
            </w:r>
          </w:p>
        </w:tc>
      </w:tr>
      <w:tr>
        <w:trPr>
          <w:trHeight w:val="134"/>
        </w:trPr>
        <w:tc>
          <w:tcPr>
            <w:tcW w:w="4360" w:type="dxa"/>
            <w:vAlign w:val="bottom"/>
          </w:tcPr>
          <w:p>
            <w:pPr>
              <w:spacing w:after="0"/>
              <w:rPr>
                <w:sz w:val="20"/>
                <w:szCs w:val="20"/>
                <w:color w:val="auto"/>
              </w:rPr>
            </w:pPr>
            <w:r>
              <w:rPr>
                <w:rFonts w:ascii="Arial" w:cs="Arial" w:eastAsia="Arial" w:hAnsi="Arial"/>
                <w:sz w:val="10"/>
                <w:szCs w:val="10"/>
                <w:b w:val="1"/>
                <w:bCs w:val="1"/>
                <w:color w:val="auto"/>
              </w:rPr>
              <w:t>Average Equity</w:t>
            </w:r>
          </w:p>
        </w:tc>
        <w:tc>
          <w:tcPr>
            <w:tcW w:w="160" w:type="dxa"/>
            <w:vAlign w:val="bottom"/>
          </w:tcPr>
          <w:p>
            <w:pPr>
              <w:spacing w:after="0"/>
              <w:rPr>
                <w:sz w:val="11"/>
                <w:szCs w:val="11"/>
                <w:color w:val="auto"/>
              </w:rPr>
            </w:pPr>
          </w:p>
        </w:tc>
        <w:tc>
          <w:tcPr>
            <w:tcW w:w="1220" w:type="dxa"/>
            <w:vAlign w:val="bottom"/>
          </w:tcPr>
          <w:p>
            <w:pPr>
              <w:jc w:val="right"/>
              <w:ind w:right="91"/>
              <w:spacing w:after="0"/>
              <w:rPr>
                <w:sz w:val="20"/>
                <w:szCs w:val="20"/>
                <w:color w:val="auto"/>
              </w:rPr>
            </w:pPr>
            <w:r>
              <w:rPr>
                <w:rFonts w:ascii="Arial" w:cs="Arial" w:eastAsia="Arial" w:hAnsi="Arial"/>
                <w:sz w:val="10"/>
                <w:szCs w:val="10"/>
                <w:color w:val="auto"/>
              </w:rPr>
              <w:t>415,848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373,020</w:t>
            </w:r>
          </w:p>
        </w:tc>
      </w:tr>
      <w:tr>
        <w:trPr>
          <w:trHeight w:val="136"/>
        </w:trPr>
        <w:tc>
          <w:tcPr>
            <w:tcW w:w="4360" w:type="dxa"/>
            <w:vAlign w:val="bottom"/>
            <w:shd w:val="clear" w:color="auto" w:fill="CCEEFF"/>
          </w:tcPr>
          <w:p>
            <w:pPr>
              <w:ind w:left="60"/>
              <w:spacing w:after="0"/>
              <w:rPr>
                <w:sz w:val="20"/>
                <w:szCs w:val="20"/>
                <w:color w:val="auto"/>
              </w:rPr>
            </w:pPr>
            <w:r>
              <w:rPr>
                <w:rFonts w:ascii="Arial" w:cs="Arial" w:eastAsia="Arial" w:hAnsi="Arial"/>
                <w:sz w:val="10"/>
                <w:szCs w:val="10"/>
                <w:color w:val="auto"/>
              </w:rPr>
              <w:t>Less: Average Intangible Assets</w:t>
            </w:r>
          </w:p>
        </w:tc>
        <w:tc>
          <w:tcPr>
            <w:tcW w:w="1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40,372</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38,048</w:t>
            </w:r>
          </w:p>
        </w:tc>
      </w:tr>
      <w:tr>
        <w:trPr>
          <w:trHeight w:val="123"/>
        </w:trPr>
        <w:tc>
          <w:tcPr>
            <w:tcW w:w="4360" w:type="dxa"/>
            <w:vAlign w:val="bottom"/>
          </w:tcPr>
          <w:p>
            <w:pPr>
              <w:spacing w:after="0"/>
              <w:rPr>
                <w:sz w:val="20"/>
                <w:szCs w:val="20"/>
                <w:color w:val="auto"/>
              </w:rPr>
            </w:pPr>
            <w:r>
              <w:rPr>
                <w:rFonts w:ascii="Arial" w:cs="Arial" w:eastAsia="Arial" w:hAnsi="Arial"/>
                <w:sz w:val="10"/>
                <w:szCs w:val="10"/>
                <w:b w:val="1"/>
                <w:bCs w:val="1"/>
                <w:color w:val="auto"/>
              </w:rPr>
              <w:t>Net Average Tangible Common Equity</w:t>
            </w: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91"/>
              <w:spacing w:after="0"/>
              <w:rPr>
                <w:sz w:val="20"/>
                <w:szCs w:val="20"/>
                <w:color w:val="auto"/>
              </w:rPr>
            </w:pPr>
            <w:r>
              <w:rPr>
                <w:rFonts w:ascii="Arial" w:cs="Arial" w:eastAsia="Arial" w:hAnsi="Arial"/>
                <w:sz w:val="10"/>
                <w:szCs w:val="10"/>
                <w:color w:val="auto"/>
              </w:rPr>
              <w:t>375,476</w:t>
            </w:r>
          </w:p>
        </w:tc>
        <w:tc>
          <w:tcPr>
            <w:tcW w:w="80" w:type="dxa"/>
            <w:vAlign w:val="bottom"/>
          </w:tcPr>
          <w:p>
            <w:pPr>
              <w:spacing w:after="0"/>
              <w:rPr>
                <w:sz w:val="10"/>
                <w:szCs w:val="10"/>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334,972</w:t>
            </w:r>
          </w:p>
        </w:tc>
      </w:tr>
      <w:tr>
        <w:trPr>
          <w:trHeight w:val="136"/>
        </w:trPr>
        <w:tc>
          <w:tcPr>
            <w:tcW w:w="43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Return on Average Equity</w:t>
            </w: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12.66 %</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15.10 %</w:t>
            </w:r>
          </w:p>
        </w:tc>
      </w:tr>
      <w:tr>
        <w:trPr>
          <w:trHeight w:val="133"/>
        </w:trPr>
        <w:tc>
          <w:tcPr>
            <w:tcW w:w="4360" w:type="dxa"/>
            <w:vAlign w:val="bottom"/>
          </w:tcPr>
          <w:p>
            <w:pPr>
              <w:spacing w:after="0"/>
              <w:rPr>
                <w:sz w:val="20"/>
                <w:szCs w:val="20"/>
                <w:color w:val="auto"/>
              </w:rPr>
            </w:pPr>
            <w:r>
              <w:rPr>
                <w:rFonts w:ascii="Arial" w:cs="Arial" w:eastAsia="Arial" w:hAnsi="Arial"/>
                <w:sz w:val="10"/>
                <w:szCs w:val="10"/>
                <w:b w:val="1"/>
                <w:bCs w:val="1"/>
                <w:color w:val="auto"/>
              </w:rPr>
              <w:t>Return on Average Tangible Common Equity</w:t>
            </w:r>
          </w:p>
        </w:tc>
        <w:tc>
          <w:tcPr>
            <w:tcW w:w="1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14.24 %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17.06 %</w:t>
            </w:r>
          </w:p>
        </w:tc>
      </w:tr>
    </w:tbl>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260"/>
          </w:cols>
          <w:pgMar w:left="300" w:top="289" w:right="33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2"/>
          <w:szCs w:val="12"/>
          <w:color w:val="auto"/>
        </w:rPr>
        <w:t>Appendix</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Reconciliation of Non-GAAP Measures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260" w:type="dxa"/>
            <w:vAlign w:val="bottom"/>
          </w:tcPr>
          <w:p>
            <w:pPr>
              <w:spacing w:after="0"/>
              <w:rPr>
                <w:sz w:val="20"/>
                <w:szCs w:val="20"/>
                <w:color w:val="auto"/>
              </w:rPr>
            </w:pPr>
            <w:r>
              <w:rPr>
                <w:rFonts w:ascii="Arial" w:cs="Arial" w:eastAsia="Arial" w:hAnsi="Arial"/>
                <w:sz w:val="11"/>
                <w:szCs w:val="11"/>
                <w:b w:val="1"/>
                <w:bCs w:val="1"/>
                <w:color w:val="auto"/>
              </w:rPr>
              <w:t>Core Return on Average Tangible Common Equity</w:t>
            </w: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Quarter Ended</w:t>
            </w: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31"/>
        </w:trPr>
        <w:tc>
          <w:tcPr>
            <w:tcW w:w="4260" w:type="dxa"/>
            <w:vAlign w:val="bottom"/>
          </w:tcPr>
          <w:p>
            <w:pPr>
              <w:spacing w:after="0"/>
              <w:rPr>
                <w:sz w:val="20"/>
                <w:szCs w:val="20"/>
                <w:color w:val="auto"/>
              </w:rPr>
            </w:pPr>
            <w:r>
              <w:rPr>
                <w:rFonts w:ascii="Arial" w:cs="Arial" w:eastAsia="Arial" w:hAnsi="Arial"/>
                <w:sz w:val="7"/>
                <w:szCs w:val="7"/>
                <w:color w:val="auto"/>
              </w:rPr>
              <w:t>(in thousands)</w:t>
            </w:r>
          </w:p>
        </w:tc>
        <w:tc>
          <w:tcPr>
            <w:tcW w:w="160" w:type="dxa"/>
            <w:vAlign w:val="bottom"/>
          </w:tcPr>
          <w:p>
            <w:pPr>
              <w:spacing w:after="0"/>
              <w:rPr>
                <w:sz w:val="11"/>
                <w:szCs w:val="11"/>
                <w:color w:val="auto"/>
              </w:rPr>
            </w:pPr>
          </w:p>
        </w:tc>
        <w:tc>
          <w:tcPr>
            <w:tcW w:w="126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2026</w:t>
            </w:r>
          </w:p>
        </w:tc>
        <w:tc>
          <w:tcPr>
            <w:tcW w:w="200" w:type="dxa"/>
            <w:vAlign w:val="bottom"/>
          </w:tcPr>
          <w:p>
            <w:pPr>
              <w:spacing w:after="0"/>
              <w:rPr>
                <w:sz w:val="11"/>
                <w:szCs w:val="11"/>
                <w:color w:val="auto"/>
              </w:rPr>
            </w:pPr>
          </w:p>
        </w:tc>
        <w:tc>
          <w:tcPr>
            <w:tcW w:w="1160" w:type="dxa"/>
            <w:vAlign w:val="bottom"/>
            <w:gridSpan w:val="2"/>
          </w:tcPr>
          <w:p>
            <w:pPr>
              <w:ind w:left="140"/>
              <w:spacing w:after="0"/>
              <w:rPr>
                <w:sz w:val="20"/>
                <w:szCs w:val="20"/>
                <w:color w:val="auto"/>
              </w:rPr>
            </w:pPr>
            <w:r>
              <w:rPr>
                <w:rFonts w:ascii="Arial" w:cs="Arial" w:eastAsia="Arial" w:hAnsi="Arial"/>
                <w:sz w:val="10"/>
                <w:szCs w:val="10"/>
                <w:b w:val="1"/>
                <w:bCs w:val="1"/>
                <w:color w:val="auto"/>
              </w:rPr>
              <w:t>June 30, 2026</w:t>
            </w:r>
          </w:p>
        </w:tc>
        <w:tc>
          <w:tcPr>
            <w:tcW w:w="200" w:type="dxa"/>
            <w:vAlign w:val="bottom"/>
          </w:tcPr>
          <w:p>
            <w:pPr>
              <w:spacing w:after="0"/>
              <w:rPr>
                <w:sz w:val="11"/>
                <w:szCs w:val="11"/>
                <w:color w:val="auto"/>
              </w:rPr>
            </w:pPr>
          </w:p>
        </w:tc>
        <w:tc>
          <w:tcPr>
            <w:tcW w:w="1220" w:type="dxa"/>
            <w:vAlign w:val="bottom"/>
            <w:gridSpan w:val="2"/>
          </w:tcPr>
          <w:p>
            <w:pPr>
              <w:ind w:left="140"/>
              <w:spacing w:after="0"/>
              <w:rPr>
                <w:sz w:val="20"/>
                <w:szCs w:val="20"/>
                <w:color w:val="auto"/>
              </w:rPr>
            </w:pPr>
            <w:r>
              <w:rPr>
                <w:rFonts w:ascii="Arial" w:cs="Arial" w:eastAsia="Arial" w:hAnsi="Arial"/>
                <w:sz w:val="10"/>
                <w:szCs w:val="10"/>
                <w:b w:val="1"/>
                <w:bCs w:val="1"/>
                <w:color w:val="auto"/>
              </w:rPr>
              <w:t>March 31, 2026</w:t>
            </w:r>
          </w:p>
        </w:tc>
        <w:tc>
          <w:tcPr>
            <w:tcW w:w="160" w:type="dxa"/>
            <w:vAlign w:val="bottom"/>
          </w:tcPr>
          <w:p>
            <w:pPr>
              <w:spacing w:after="0"/>
              <w:rPr>
                <w:sz w:val="11"/>
                <w:szCs w:val="11"/>
                <w:color w:val="auto"/>
              </w:rPr>
            </w:pPr>
          </w:p>
        </w:tc>
        <w:tc>
          <w:tcPr>
            <w:tcW w:w="126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2025</w:t>
            </w:r>
          </w:p>
        </w:tc>
        <w:tc>
          <w:tcPr>
            <w:tcW w:w="160" w:type="dxa"/>
            <w:vAlign w:val="bottom"/>
          </w:tcPr>
          <w:p>
            <w:pPr>
              <w:spacing w:after="0"/>
              <w:rPr>
                <w:sz w:val="11"/>
                <w:szCs w:val="11"/>
                <w:color w:val="auto"/>
              </w:rPr>
            </w:pPr>
          </w:p>
        </w:tc>
        <w:tc>
          <w:tcPr>
            <w:tcW w:w="1200" w:type="dxa"/>
            <w:vAlign w:val="bottom"/>
          </w:tcPr>
          <w:p>
            <w:pPr>
              <w:jc w:val="right"/>
              <w:ind w:right="172"/>
              <w:spacing w:after="0"/>
              <w:rPr>
                <w:sz w:val="20"/>
                <w:szCs w:val="20"/>
                <w:color w:val="auto"/>
              </w:rPr>
            </w:pPr>
            <w:r>
              <w:rPr>
                <w:rFonts w:ascii="Arial" w:cs="Arial" w:eastAsia="Arial" w:hAnsi="Arial"/>
                <w:sz w:val="10"/>
                <w:szCs w:val="10"/>
                <w:b w:val="1"/>
                <w:bCs w:val="1"/>
                <w:color w:val="auto"/>
              </w:rPr>
              <w:t>September 30, 2025</w:t>
            </w:r>
          </w:p>
        </w:tc>
      </w:tr>
      <w:tr>
        <w:trPr>
          <w:trHeight w:val="144"/>
        </w:trPr>
        <w:tc>
          <w:tcPr>
            <w:tcW w:w="42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Core Net Income</w:t>
            </w:r>
          </w:p>
        </w:tc>
        <w:tc>
          <w:tcPr>
            <w:tcW w:w="1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14,699</w:t>
            </w:r>
          </w:p>
        </w:tc>
        <w:tc>
          <w:tcPr>
            <w:tcW w:w="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14,250</w:t>
            </w:r>
          </w:p>
        </w:tc>
        <w:tc>
          <w:tcPr>
            <w:tcW w:w="6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4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12,018</w:t>
            </w: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15,037</w:t>
            </w:r>
          </w:p>
        </w:tc>
        <w:tc>
          <w:tcPr>
            <w:tcW w:w="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12,151</w:t>
            </w:r>
          </w:p>
        </w:tc>
      </w:tr>
      <w:tr>
        <w:trPr>
          <w:trHeight w:val="132"/>
        </w:trPr>
        <w:tc>
          <w:tcPr>
            <w:tcW w:w="426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Add: Intangible Amortization, Net of Tax</w:t>
            </w: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195</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201</w:t>
            </w: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197</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200</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199</w:t>
            </w:r>
          </w:p>
        </w:tc>
      </w:tr>
      <w:tr>
        <w:trPr>
          <w:trHeight w:val="127"/>
        </w:trPr>
        <w:tc>
          <w:tcPr>
            <w:tcW w:w="42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Core Net Tangible Income</w:t>
            </w: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14,894</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14,451</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12,215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15,237</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12,350</w:t>
            </w:r>
          </w:p>
        </w:tc>
      </w:tr>
      <w:tr>
        <w:trPr>
          <w:trHeight w:val="133"/>
        </w:trPr>
        <w:tc>
          <w:tcPr>
            <w:tcW w:w="4260" w:type="dxa"/>
            <w:vAlign w:val="bottom"/>
          </w:tcPr>
          <w:p>
            <w:pPr>
              <w:spacing w:after="0"/>
              <w:rPr>
                <w:sz w:val="20"/>
                <w:szCs w:val="20"/>
                <w:color w:val="auto"/>
              </w:rPr>
            </w:pPr>
            <w:r>
              <w:rPr>
                <w:rFonts w:ascii="Arial" w:cs="Arial" w:eastAsia="Arial" w:hAnsi="Arial"/>
                <w:sz w:val="10"/>
                <w:szCs w:val="10"/>
                <w:b w:val="1"/>
                <w:bCs w:val="1"/>
                <w:color w:val="auto"/>
              </w:rPr>
              <w:t>Core Return on Average Tangible Common Equity</w:t>
            </w:r>
          </w:p>
        </w:tc>
        <w:tc>
          <w:tcPr>
            <w:tcW w:w="1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15.24 %</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0"/>
                <w:szCs w:val="10"/>
                <w:color w:val="auto"/>
              </w:rPr>
              <w:t>15.51 %</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13.58 %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17.23 %</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14.15 %</w:t>
            </w: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340" w:type="dxa"/>
            <w:vAlign w:val="bottom"/>
          </w:tcPr>
          <w:p>
            <w:pPr>
              <w:spacing w:after="0"/>
              <w:rPr>
                <w:sz w:val="20"/>
                <w:szCs w:val="20"/>
                <w:color w:val="auto"/>
              </w:rPr>
            </w:pPr>
            <w:r>
              <w:rPr>
                <w:rFonts w:ascii="Arial" w:cs="Arial" w:eastAsia="Arial" w:hAnsi="Arial"/>
                <w:sz w:val="11"/>
                <w:szCs w:val="11"/>
                <w:b w:val="1"/>
                <w:bCs w:val="1"/>
                <w:color w:val="auto"/>
              </w:rPr>
              <w:t>Core Return on Average Tangible Common Equity</w:t>
            </w:r>
          </w:p>
        </w:tc>
        <w:tc>
          <w:tcPr>
            <w:tcW w:w="16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1"/>
                <w:szCs w:val="11"/>
                <w:b w:val="1"/>
                <w:bCs w:val="1"/>
                <w:color w:val="auto"/>
              </w:rPr>
              <w:t>Nine Months Ended</w:t>
            </w:r>
          </w:p>
        </w:tc>
      </w:tr>
      <w:tr>
        <w:trPr>
          <w:trHeight w:val="132"/>
        </w:trPr>
        <w:tc>
          <w:tcPr>
            <w:tcW w:w="4340" w:type="dxa"/>
            <w:vAlign w:val="bottom"/>
          </w:tcPr>
          <w:p>
            <w:pPr>
              <w:spacing w:after="0"/>
              <w:rPr>
                <w:sz w:val="20"/>
                <w:szCs w:val="20"/>
                <w:color w:val="auto"/>
              </w:rPr>
            </w:pPr>
            <w:r>
              <w:rPr>
                <w:rFonts w:ascii="Arial" w:cs="Arial" w:eastAsia="Arial" w:hAnsi="Arial"/>
                <w:sz w:val="7"/>
                <w:szCs w:val="7"/>
                <w:color w:val="auto"/>
              </w:rPr>
              <w:t>(in thousands)</w:t>
            </w:r>
          </w:p>
        </w:tc>
        <w:tc>
          <w:tcPr>
            <w:tcW w:w="16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2026</w:t>
            </w:r>
          </w:p>
        </w:tc>
        <w:tc>
          <w:tcPr>
            <w:tcW w:w="160" w:type="dxa"/>
            <w:vAlign w:val="bottom"/>
          </w:tcPr>
          <w:p>
            <w:pPr>
              <w:spacing w:after="0"/>
              <w:rPr>
                <w:sz w:val="11"/>
                <w:szCs w:val="11"/>
                <w:color w:val="auto"/>
              </w:rPr>
            </w:pPr>
          </w:p>
        </w:tc>
        <w:tc>
          <w:tcPr>
            <w:tcW w:w="1220" w:type="dxa"/>
            <w:vAlign w:val="bottom"/>
          </w:tcPr>
          <w:p>
            <w:pPr>
              <w:jc w:val="right"/>
              <w:ind w:right="192"/>
              <w:spacing w:after="0"/>
              <w:rPr>
                <w:sz w:val="20"/>
                <w:szCs w:val="20"/>
                <w:color w:val="auto"/>
              </w:rPr>
            </w:pPr>
            <w:r>
              <w:rPr>
                <w:rFonts w:ascii="Arial" w:cs="Arial" w:eastAsia="Arial" w:hAnsi="Arial"/>
                <w:sz w:val="10"/>
                <w:szCs w:val="10"/>
                <w:b w:val="1"/>
                <w:bCs w:val="1"/>
                <w:color w:val="auto"/>
              </w:rPr>
              <w:t>September 30, 2025</w:t>
            </w:r>
          </w:p>
        </w:tc>
      </w:tr>
      <w:tr>
        <w:trPr>
          <w:trHeight w:val="143"/>
        </w:trPr>
        <w:tc>
          <w:tcPr>
            <w:tcW w:w="43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Core Net Income</w:t>
            </w:r>
          </w:p>
        </w:tc>
        <w:tc>
          <w:tcPr>
            <w:tcW w:w="1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40,967</w:t>
            </w: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41,253</w:t>
            </w:r>
          </w:p>
        </w:tc>
      </w:tr>
      <w:tr>
        <w:trPr>
          <w:trHeight w:val="132"/>
        </w:trPr>
        <w:tc>
          <w:tcPr>
            <w:tcW w:w="434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Add: Intangible Amortization, Net of Tax</w:t>
            </w: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594</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599</w:t>
            </w:r>
          </w:p>
        </w:tc>
      </w:tr>
      <w:tr>
        <w:trPr>
          <w:trHeight w:val="127"/>
        </w:trPr>
        <w:tc>
          <w:tcPr>
            <w:tcW w:w="434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Core Net Tangible Income</w:t>
            </w: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41,561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41,852</w:t>
            </w:r>
          </w:p>
        </w:tc>
      </w:tr>
      <w:tr>
        <w:trPr>
          <w:trHeight w:val="133"/>
        </w:trPr>
        <w:tc>
          <w:tcPr>
            <w:tcW w:w="4340" w:type="dxa"/>
            <w:vAlign w:val="bottom"/>
          </w:tcPr>
          <w:p>
            <w:pPr>
              <w:spacing w:after="0"/>
              <w:rPr>
                <w:sz w:val="20"/>
                <w:szCs w:val="20"/>
                <w:color w:val="auto"/>
              </w:rPr>
            </w:pPr>
            <w:r>
              <w:rPr>
                <w:rFonts w:ascii="Arial" w:cs="Arial" w:eastAsia="Arial" w:hAnsi="Arial"/>
                <w:sz w:val="10"/>
                <w:szCs w:val="10"/>
                <w:b w:val="1"/>
                <w:bCs w:val="1"/>
                <w:color w:val="auto"/>
              </w:rPr>
              <w:t>Core Return on Average Tangible Common Equity</w:t>
            </w:r>
          </w:p>
        </w:tc>
        <w:tc>
          <w:tcPr>
            <w:tcW w:w="1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14.80 %</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16.70 %</w:t>
            </w:r>
          </w:p>
        </w:tc>
      </w:tr>
    </w:tbl>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240"/>
          </w:cols>
          <w:pgMar w:left="300" w:top="289" w:right="359" w:bottom="1440" w:gutter="0" w:footer="0" w:header="0"/>
        </w:sectPr>
      </w:pPr>
    </w:p>
    <w:bookmarkStart w:id="35" w:name="page36"/>
    <w:bookmarkEnd w:id="35"/>
    <w:p>
      <w:pPr>
        <w:spacing w:after="0"/>
        <w:rPr>
          <w:sz w:val="20"/>
          <w:szCs w:val="20"/>
          <w:color w:val="auto"/>
        </w:rPr>
      </w:pPr>
      <w:r>
        <w:rPr>
          <w:rFonts w:ascii="Arial" w:cs="Arial" w:eastAsia="Arial" w:hAnsi="Arial"/>
          <w:sz w:val="12"/>
          <w:szCs w:val="12"/>
          <w:b w:val="1"/>
          <w:bCs w:val="1"/>
          <w:color w:val="auto"/>
        </w:rPr>
        <w:t>ABOUT CAPITAL BANCORP, INC.</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1"/>
          <w:szCs w:val="11"/>
          <w:color w:val="auto"/>
        </w:rPr>
        <w:t>Capital Bancorp, Inc., Rockville, Maryland is a registered bank holding company incorporated under the laws of Maryland. Capital Bancorp has been providing financial services since 1999 and now operates bank branches in four locations in the Washington, D.C., and Baltimore, Maryland metropolitan markets, one bank branch in Fort Lauderdale, Florida, one bank branch in Chicago, Illinois and one bank branch in Raleigh, North Carolina. Capital Bancorp had assets of approximately $3.8 billion at September 30, 2026 and its common stock is traded in the NASDAQ Global Market under the symbol “CBNK.” More information can be found at the Company's website www.CapitalBankMD.com under its investor relations page.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46" w:lineRule="exact"/>
        <w:rPr>
          <w:sz w:val="20"/>
          <w:szCs w:val="20"/>
          <w:color w:val="auto"/>
        </w:rPr>
      </w:pPr>
    </w:p>
    <w:p>
      <w:pPr>
        <w:jc w:val="both"/>
        <w:spacing w:after="0" w:line="249" w:lineRule="auto"/>
        <w:rPr>
          <w:sz w:val="20"/>
          <w:szCs w:val="20"/>
          <w:color w:val="auto"/>
        </w:rPr>
      </w:pPr>
      <w:r>
        <w:rPr>
          <w:rFonts w:ascii="Arial" w:cs="Arial" w:eastAsia="Arial" w:hAnsi="Arial"/>
          <w:sz w:val="11"/>
          <w:szCs w:val="11"/>
          <w:color w:val="auto"/>
        </w:rPr>
        <w:t>This earnings release contains forward-looking statements. These forward-looking statements reflect our current views with respect to, among other things, future events and our financial performance. Any statements about our management’s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"optimistic," “intends” and similar words or phrases. Any or all of the forward-looking statements in this earnings release may turn out to be inaccurate. The inclusion of forward-looking information in this earnings release should not be regarded as a representation by us or any other person that the future plans, estimates or expectations contemplated by us will be achieved. We have based these forward-looking statements largely on our current expectations and projections about future events and financial trends that we believe may affect our financial condition, results of operations, business strategy and financial needs. Our actual results could differ materially from those anticipated in such forward-looking statements. Accordingly, we caution you that any such forward-looking statements are not a guarantee of future performance and that actual results may prove to be materially different from the results expressed or implied by the forward-looking statements due to a number of factors. For details on some of the factors that could affect these expectations, see risk factors and other cautionary language included in the Company's Annual Report on Form 10-K and other periodic and current reports filed with the Securities and Exchange Commission.</w:t>
      </w:r>
    </w:p>
    <w:p>
      <w:pPr>
        <w:spacing w:after="0" w:line="70" w:lineRule="exact"/>
        <w:rPr>
          <w:sz w:val="20"/>
          <w:szCs w:val="20"/>
          <w:color w:val="auto"/>
        </w:rPr>
      </w:pPr>
    </w:p>
    <w:p>
      <w:pPr>
        <w:spacing w:after="0"/>
        <w:rPr>
          <w:sz w:val="20"/>
          <w:szCs w:val="20"/>
          <w:color w:val="auto"/>
        </w:rPr>
      </w:pPr>
      <w:r>
        <w:rPr>
          <w:rFonts w:ascii="Arial" w:cs="Arial" w:eastAsia="Arial" w:hAnsi="Arial"/>
          <w:sz w:val="10"/>
          <w:szCs w:val="10"/>
          <w:color w:val="auto"/>
        </w:rPr>
        <w:t>While there is no assurance that any list of risks and uncertainties or risk factors is complete, below are certain factors that could cause actual results to differ materially from those contained or implied in the forward-looking statements:</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color w:val="auto"/>
        </w:rPr>
        <w:t>the strength of the United States (“U.S.”) economy in general and the strength of the local economies in</w:t>
      </w:r>
    </w:p>
    <w:p>
      <w:pPr>
        <w:spacing w:after="0" w:line="5" w:lineRule="exact"/>
        <w:rPr>
          <w:sz w:val="20"/>
          <w:szCs w:val="20"/>
          <w:color w:val="auto"/>
        </w:rPr>
      </w:pPr>
    </w:p>
    <w:p>
      <w:pPr>
        <w:jc w:val="both"/>
        <w:spacing w:after="0"/>
        <w:rPr>
          <w:sz w:val="20"/>
          <w:szCs w:val="20"/>
          <w:color w:val="auto"/>
        </w:rPr>
      </w:pPr>
      <w:r>
        <w:rPr>
          <w:rFonts w:ascii="Arial" w:cs="Arial" w:eastAsia="Arial" w:hAnsi="Arial"/>
          <w:sz w:val="11"/>
          <w:szCs w:val="11"/>
          <w:color w:val="auto"/>
        </w:rPr>
        <w:t>which we conduct operations; geopolitical concerns, including acts or threats of terrorism and the ongoing wars in Iran and Ukraine; uncertainty in U.S. fiscal and monetary policy, including the interest rate policies of the Board of Governors of the Federal Reserve System; inflation, interest rate, market, and monetary fluctuations; volatility and disruptions in global capital and credit markets; changes in U.S. trade policies, including the implementation of tariffs and other protectionist trade policies; the effects of federal government shutdowns, debt ceiling standoff, or other fiscal policy uncertainty; competitive pressures on product pricing and services; success, impact, and timing of our business strategies, including market acceptance of any new products or services; the impact of changes in financial services policies, laws, and regulations, including those concerning taxes, banking, securities, and insurance, and the application thereof by regulatory bodies; cybersecurity threats and the cost of defending against them; climate change, and other catastrophic disasters; the effectiveness of the Company's internal control over financial reporting and disclosure controls and procedures; the Company’s ability to remediate the material weakness in the Company’s internal control over financial reporting; the effect of the IFH acquisition or any other acquisitions we have made or may make, including, without limitation, the failure to achieve the expected revenue growth and/or expense savings from such acquisitions, and/or the failure to effectively integrate an acquisition target into our operations, including the planned growth of Windsor Advantage</w:t>
      </w:r>
      <w:r>
        <w:rPr>
          <w:rFonts w:ascii="Arial" w:cs="Arial" w:eastAsia="Arial" w:hAnsi="Arial"/>
          <w:sz w:val="14"/>
          <w:szCs w:val="14"/>
          <w:color w:val="auto"/>
          <w:vertAlign w:val="superscript"/>
        </w:rPr>
        <w:t>TM</w:t>
      </w:r>
      <w:r>
        <w:rPr>
          <w:rFonts w:ascii="Arial" w:cs="Arial" w:eastAsia="Arial" w:hAnsi="Arial"/>
          <w:sz w:val="11"/>
          <w:szCs w:val="11"/>
          <w:color w:val="auto"/>
        </w:rPr>
        <w:t>; the possibility that the Company's pending merger with Peoples does not close when expected or at all because required regulatory approvals and other conditions to closing are not received or satisfied on a timely basis or at all; the possibility that the anticipated benefits and cost savings from the merger with Peoples may not be fully realized or may take longer to realize than expected; disruptions to the Company's business as a result of the announcement and pendency of the merger with Peoples; the possibility that the merger with Peoples may be more expensive to complete than anticipated, including as a result of unexpected factors or events; and our ability to manage the risks involved in the foregoing.</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These forward-looking statements are made as of the date of this communication, and the Company does not intend, and assumes no obligation, to update any forward-looking statement to reflect events or circumstances after the date on which the statement is made or to reflect the occurrence of unanticipated events or circumstances, except as required by law.</w:t>
      </w:r>
    </w:p>
    <w:p>
      <w:pPr>
        <w:spacing w:after="0" w:line="231" w:lineRule="exact"/>
        <w:rPr>
          <w:sz w:val="20"/>
          <w:szCs w:val="20"/>
          <w:color w:val="auto"/>
        </w:rPr>
      </w:pPr>
    </w:p>
    <w:p>
      <w:pPr>
        <w:spacing w:after="0"/>
        <w:rPr>
          <w:sz w:val="20"/>
          <w:szCs w:val="20"/>
          <w:color w:val="auto"/>
        </w:rPr>
      </w:pPr>
      <w:r>
        <w:rPr>
          <w:rFonts w:ascii="Arial" w:cs="Arial" w:eastAsia="Arial" w:hAnsi="Arial"/>
          <w:sz w:val="11"/>
          <w:szCs w:val="11"/>
          <w:color w:val="auto"/>
        </w:rPr>
        <w:t>FINANCIAL CONTACT: Jake Dalaya (301) 637-5118</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color w:val="auto"/>
        </w:rPr>
        <w:t>MEDIA CONTACT: Ed Barry (240) 283-1912</w:t>
      </w:r>
    </w:p>
    <w:p>
      <w:pPr>
        <w:spacing w:after="0" w:line="108" w:lineRule="exact"/>
        <w:rPr>
          <w:sz w:val="20"/>
          <w:szCs w:val="20"/>
          <w:color w:val="auto"/>
        </w:rPr>
      </w:pPr>
    </w:p>
    <w:p>
      <w:pPr>
        <w:spacing w:after="0"/>
        <w:rPr>
          <w:sz w:val="20"/>
          <w:szCs w:val="20"/>
          <w:color w:val="auto"/>
        </w:rPr>
      </w:pPr>
      <w:r>
        <w:rPr>
          <w:rFonts w:ascii="Arial" w:cs="Arial" w:eastAsia="Arial" w:hAnsi="Arial"/>
          <w:sz w:val="11"/>
          <w:szCs w:val="11"/>
          <w:color w:val="auto"/>
        </w:rPr>
        <w:t>WEB SITE: www.CapitalBankMD.com</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300"/>
          </w:cols>
          <w:pgMar w:left="300" w:top="622" w:right="299" w:bottom="1440"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55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5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lvl>
    <w:lvl w:ilvl="1">
      <w:lvlJc w:val="left"/>
      <w:lvlText w:val="•"/>
      <w:numFmt w:val="bullet"/>
      <w:start w:val="1"/>
    </w:lvl>
    <w:lvl w:ilvl="2">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lvl w:ilvl="1">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lvl w:ilvl="1">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
    <w:nsid w:val="4353D0CD"/>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decimal"/>
    </w:lvl>
    <w:lvl w:ilvl="1">
      <w:lvlJc w:val="left"/>
      <w:lvlText w:val="•"/>
      <w:numFmt w:val="bullet"/>
      <w:start w:val="1"/>
    </w:lvl>
  </w:abstractNum>
  <w:abstractNum w:abstractNumId="18">
    <w:nsid w:val="836C40E"/>
    <w:multiLevelType w:val="hybridMultilevel"/>
    <w:lvl w:ilvl="0">
      <w:lvlJc w:val="left"/>
      <w:lvlText w:val="•"/>
      <w:numFmt w:val="bullet"/>
      <w:start w:val="1"/>
    </w:lvl>
    <w:lvl w:ilvl="1">
      <w:lvlJc w:val="left"/>
      <w:lvlText w:val="◦"/>
      <w:numFmt w:val="bullet"/>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4"/>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2026-10-26T15:07:08Z</dcterms:created>
  <dcterms:modified xsi:type="dcterms:W3CDTF">2026-10-26T15:07:08Z</dcterms:modified>
</cp:coreProperties>
</file>