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17" w:lineRule="exact"/>
        <w:rPr>
          <w:sz w:val="24"/>
          <w:szCs w:val="24"/>
          <w:color w:val="auto"/>
        </w:rPr>
      </w:pPr>
    </w:p>
    <w:p>
      <w:pPr>
        <w:spacing w:after="0"/>
        <w:tabs>
          <w:tab w:leader="none" w:pos="3300" w:val="left"/>
        </w:tabs>
        <w:rPr>
          <w:sz w:val="20"/>
          <w:szCs w:val="20"/>
          <w:color w:val="auto"/>
        </w:rPr>
      </w:pPr>
      <w:r>
        <w:rPr>
          <w:rFonts w:ascii="Arial" w:cs="Arial" w:eastAsia="Arial" w:hAnsi="Arial"/>
          <w:sz w:val="14"/>
          <w:szCs w:val="14"/>
          <w:color w:val="auto"/>
        </w:rPr>
        <w:t>For the Quarterly Period ended March 31, 2021</w:t>
      </w:r>
      <w:r>
        <w:rPr>
          <w:sz w:val="20"/>
          <w:szCs w:val="20"/>
          <w:color w:val="auto"/>
        </w:rPr>
        <w:tab/>
      </w:r>
      <w:r>
        <w:rPr>
          <w:rFonts w:ascii="Arial" w:cs="Arial" w:eastAsia="Arial" w:hAnsi="Arial"/>
          <w:sz w:val="14"/>
          <w:szCs w:val="14"/>
          <w:color w:val="auto"/>
        </w:rPr>
        <w:t>OR</w:t>
      </w:r>
    </w:p>
    <w:p>
      <w:pPr>
        <w:spacing w:after="0" w:line="210" w:lineRule="exact"/>
        <w:rPr>
          <w:sz w:val="24"/>
          <w:szCs w:val="24"/>
          <w:color w:val="auto"/>
        </w:rPr>
      </w:pPr>
    </w:p>
    <w:p>
      <w:pPr>
        <w:ind w:right="3800" w:firstLine="6"/>
        <w:spacing w:after="0" w:line="553" w:lineRule="auto"/>
        <w:tabs>
          <w:tab w:leader="none" w:pos="17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130175</wp:posOffset>
            </wp:positionV>
            <wp:extent cx="2835275" cy="386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6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BANCORP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18" w:lineRule="exact"/>
        <w:rPr>
          <w:sz w:val="24"/>
          <w:szCs w:val="24"/>
          <w:color w:val="auto"/>
        </w:rPr>
      </w:pPr>
    </w:p>
    <w:tbl>
      <w:tblPr>
        <w:tblLayout w:type="fixed"/>
        <w:tblInd w:w="320" w:type="dxa"/>
        <w:tblCellMar>
          <w:top w:w="0" w:type="dxa"/>
          <w:left w:w="0" w:type="dxa"/>
          <w:bottom w:w="0" w:type="dxa"/>
          <w:right w:w="0" w:type="dxa"/>
        </w:tblCellMar>
      </w:tblPr>
      <w:tr>
        <w:trPr>
          <w:trHeight w:val="214"/>
        </w:trPr>
        <w:tc>
          <w:tcPr>
            <w:tcW w:w="3200" w:type="dxa"/>
            <w:vAlign w:val="bottom"/>
            <w:tcBorders>
              <w:bottom w:val="single" w:sz="8" w:color="auto"/>
            </w:tcBorders>
          </w:tcPr>
          <w:p>
            <w:pPr>
              <w:jc w:val="center"/>
              <w:ind w:left="2151"/>
              <w:spacing w:after="0"/>
              <w:rPr>
                <w:sz w:val="20"/>
                <w:szCs w:val="20"/>
                <w:color w:val="auto"/>
              </w:rPr>
            </w:pPr>
            <w:r>
              <w:rPr>
                <w:rFonts w:ascii="Arial" w:cs="Arial" w:eastAsia="Arial" w:hAnsi="Arial"/>
                <w:sz w:val="16"/>
                <w:szCs w:val="16"/>
                <w:b w:val="1"/>
                <w:bCs w:val="1"/>
                <w:color w:val="auto"/>
                <w:w w:val="99"/>
              </w:rPr>
              <w:t>Maryland</w:t>
            </w: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920" w:type="dxa"/>
            <w:vAlign w:val="bottom"/>
            <w:tcBorders>
              <w:bottom w:val="single" w:sz="8" w:color="auto"/>
            </w:tcBorders>
          </w:tcPr>
          <w:p>
            <w:pPr>
              <w:jc w:val="right"/>
              <w:ind w:right="1974"/>
              <w:spacing w:after="0"/>
              <w:rPr>
                <w:sz w:val="20"/>
                <w:szCs w:val="20"/>
                <w:color w:val="auto"/>
              </w:rPr>
            </w:pPr>
            <w:r>
              <w:rPr>
                <w:rFonts w:ascii="Arial" w:cs="Arial" w:eastAsia="Arial" w:hAnsi="Arial"/>
                <w:sz w:val="16"/>
                <w:szCs w:val="16"/>
                <w:b w:val="1"/>
                <w:bCs w:val="1"/>
                <w:color w:val="auto"/>
              </w:rPr>
              <w:t>52-2083046</w:t>
            </w:r>
          </w:p>
        </w:tc>
      </w:tr>
      <w:tr>
        <w:trPr>
          <w:trHeight w:val="134"/>
        </w:trPr>
        <w:tc>
          <w:tcPr>
            <w:tcW w:w="4380" w:type="dxa"/>
            <w:vAlign w:val="bottom"/>
            <w:gridSpan w:val="2"/>
          </w:tcPr>
          <w:p>
            <w:pPr>
              <w:jc w:val="center"/>
              <w:ind w:left="971"/>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920" w:type="dxa"/>
            <w:vAlign w:val="bottom"/>
          </w:tcPr>
          <w:p>
            <w:pPr>
              <w:jc w:val="center"/>
              <w:spacing w:after="0"/>
              <w:rPr>
                <w:sz w:val="20"/>
                <w:szCs w:val="20"/>
                <w:color w:val="auto"/>
              </w:rPr>
            </w:pPr>
            <w:r>
              <w:rPr>
                <w:rFonts w:ascii="Arial" w:cs="Arial" w:eastAsia="Arial" w:hAnsi="Arial"/>
                <w:sz w:val="11"/>
                <w:szCs w:val="11"/>
                <w:color w:val="auto"/>
                <w:w w:val="96"/>
              </w:rPr>
              <w:t>(IRS Employer Identification No.)</w:t>
            </w:r>
          </w:p>
        </w:tc>
      </w:tr>
      <w:tr>
        <w:trPr>
          <w:trHeight w:val="228"/>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2275 Research Boulevard</w:t>
            </w: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Suite 600</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14"/>
        </w:trPr>
        <w:tc>
          <w:tcPr>
            <w:tcW w:w="32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9"/>
              </w:rPr>
              <w:t>Rockville</w:t>
            </w: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Maryland</w:t>
            </w: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20850</w:t>
            </w:r>
          </w:p>
        </w:tc>
        <w:tc>
          <w:tcPr>
            <w:tcW w:w="280" w:type="dxa"/>
            <w:vAlign w:val="bottom"/>
          </w:tcPr>
          <w:p>
            <w:pPr>
              <w:spacing w:after="0"/>
              <w:rPr>
                <w:sz w:val="18"/>
                <w:szCs w:val="18"/>
                <w:color w:val="auto"/>
              </w:rPr>
            </w:pPr>
          </w:p>
        </w:tc>
        <w:tc>
          <w:tcPr>
            <w:tcW w:w="4920" w:type="dxa"/>
            <w:vAlign w:val="bottom"/>
            <w:tcBorders>
              <w:bottom w:val="single" w:sz="8" w:color="auto"/>
            </w:tcBorders>
          </w:tcPr>
          <w:p>
            <w:pPr>
              <w:jc w:val="right"/>
              <w:ind w:right="2174"/>
              <w:spacing w:after="0"/>
              <w:rPr>
                <w:sz w:val="20"/>
                <w:szCs w:val="20"/>
                <w:color w:val="auto"/>
              </w:rPr>
            </w:pPr>
            <w:r>
              <w:rPr>
                <w:rFonts w:ascii="Arial" w:cs="Arial" w:eastAsia="Arial" w:hAnsi="Arial"/>
                <w:sz w:val="16"/>
                <w:szCs w:val="16"/>
                <w:b w:val="1"/>
                <w:bCs w:val="1"/>
                <w:color w:val="auto"/>
              </w:rPr>
              <w:t>20850</w:t>
            </w:r>
          </w:p>
        </w:tc>
      </w:tr>
      <w:tr>
        <w:trPr>
          <w:trHeight w:val="134"/>
        </w:trPr>
        <w:tc>
          <w:tcPr>
            <w:tcW w:w="4380" w:type="dxa"/>
            <w:vAlign w:val="bottom"/>
            <w:gridSpan w:val="2"/>
          </w:tcPr>
          <w:p>
            <w:pPr>
              <w:jc w:val="center"/>
              <w:ind w:left="971"/>
              <w:spacing w:after="0"/>
              <w:rPr>
                <w:sz w:val="20"/>
                <w:szCs w:val="20"/>
                <w:color w:val="auto"/>
              </w:rPr>
            </w:pPr>
            <w:r>
              <w:rPr>
                <w:rFonts w:ascii="Arial" w:cs="Arial" w:eastAsia="Arial" w:hAnsi="Arial"/>
                <w:sz w:val="11"/>
                <w:szCs w:val="11"/>
                <w:color w:val="auto"/>
                <w:w w:val="96"/>
              </w:rPr>
              <w:t>(Address of principal executive offices)</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920" w:type="dxa"/>
            <w:vAlign w:val="bottom"/>
          </w:tcPr>
          <w:p>
            <w:pPr>
              <w:jc w:val="center"/>
              <w:spacing w:after="0"/>
              <w:rPr>
                <w:sz w:val="20"/>
                <w:szCs w:val="20"/>
                <w:color w:val="auto"/>
              </w:rPr>
            </w:pPr>
            <w:r>
              <w:rPr>
                <w:rFonts w:ascii="Arial" w:cs="Arial" w:eastAsia="Arial" w:hAnsi="Arial"/>
                <w:sz w:val="11"/>
                <w:szCs w:val="11"/>
                <w:color w:val="auto"/>
                <w:w w:val="96"/>
              </w:rPr>
              <w:t>(Zip Code)</w:t>
            </w:r>
          </w:p>
        </w:tc>
      </w:tr>
    </w:tbl>
    <w:p>
      <w:pPr>
        <w:spacing w:after="0" w:line="3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(301) 468-8848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6" w:lineRule="exact"/>
        <w:rPr>
          <w:sz w:val="24"/>
          <w:szCs w:val="24"/>
          <w:color w:val="auto"/>
        </w:rPr>
      </w:pPr>
    </w:p>
    <w:p>
      <w:pPr>
        <w:jc w:val="both"/>
        <w:ind w:firstLine="235"/>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8" w:lineRule="exact"/>
        <w:rPr>
          <w:sz w:val="24"/>
          <w:szCs w:val="24"/>
          <w:color w:val="auto"/>
        </w:rPr>
      </w:pPr>
    </w:p>
    <w:p>
      <w:pPr>
        <w:jc w:val="both"/>
        <w:ind w:firstLine="254"/>
        <w:spacing w:after="0" w:line="23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4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firstLine="234"/>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8"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982345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8" w:lineRule="exact"/>
        <w:rPr>
          <w:sz w:val="20"/>
          <w:szCs w:val="20"/>
          <w:color w:val="auto"/>
        </w:rPr>
      </w:pPr>
    </w:p>
    <w:tbl>
      <w:tblPr>
        <w:tblLayout w:type="fixed"/>
        <w:tblInd w:w="370" w:type="dxa"/>
        <w:tblCellMar>
          <w:top w:w="0" w:type="dxa"/>
          <w:left w:w="0" w:type="dxa"/>
          <w:bottom w:w="0" w:type="dxa"/>
          <w:right w:w="0" w:type="dxa"/>
        </w:tblCellMar>
      </w:tblPr>
      <w:tr>
        <w:trPr>
          <w:trHeight w:val="186"/>
        </w:trPr>
        <w:tc>
          <w:tcPr>
            <w:tcW w:w="900" w:type="dxa"/>
            <w:vAlign w:val="bottom"/>
            <w:tcBorders>
              <w:top w:val="single" w:sz="8" w:color="auto"/>
              <w:left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0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left="221"/>
              <w:spacing w:after="0"/>
              <w:rPr>
                <w:sz w:val="20"/>
                <w:szCs w:val="20"/>
                <w:color w:val="auto"/>
              </w:rPr>
            </w:pPr>
            <w:r>
              <w:rPr>
                <w:rFonts w:ascii="Arial" w:cs="Arial" w:eastAsia="Arial" w:hAnsi="Arial"/>
                <w:sz w:val="16"/>
                <w:szCs w:val="16"/>
                <w:color w:val="auto"/>
                <w:w w:val="97"/>
              </w:rPr>
              <w:t>Trading Symbol(s)</w:t>
            </w:r>
          </w:p>
        </w:tc>
        <w:tc>
          <w:tcPr>
            <w:tcW w:w="5720" w:type="dxa"/>
            <w:vAlign w:val="bottom"/>
            <w:tcBorders>
              <w:top w:val="single" w:sz="8" w:color="auto"/>
              <w:right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204"/>
        </w:trPr>
        <w:tc>
          <w:tcPr>
            <w:tcW w:w="3260" w:type="dxa"/>
            <w:vAlign w:val="bottom"/>
            <w:tcBorders>
              <w:left w:val="single" w:sz="8" w:color="auto"/>
            </w:tcBorders>
            <w:gridSpan w:val="3"/>
          </w:tcPr>
          <w:p>
            <w:pPr>
              <w:jc w:val="center"/>
              <w:ind w:right="180"/>
              <w:spacing w:after="0" w:line="205" w:lineRule="exact"/>
              <w:rPr>
                <w:sz w:val="20"/>
                <w:szCs w:val="20"/>
                <w:color w:val="auto"/>
              </w:rPr>
            </w:pPr>
            <w:r>
              <w:rPr>
                <w:rFonts w:ascii="Arial" w:cs="Arial" w:eastAsia="Arial" w:hAnsi="Arial"/>
                <w:sz w:val="18"/>
                <w:szCs w:val="18"/>
                <w:color w:val="auto"/>
                <w:w w:val="98"/>
              </w:rPr>
              <w:t>Common Stock, par value $0.01 per</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2"/>
        </w:trPr>
        <w:tc>
          <w:tcPr>
            <w:tcW w:w="900" w:type="dxa"/>
            <w:vAlign w:val="bottom"/>
            <w:tcBorders>
              <w:left w:val="single" w:sz="8" w:color="auto"/>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8"/>
                <w:szCs w:val="18"/>
                <w:color w:val="auto"/>
                <w:w w:val="97"/>
              </w:rPr>
              <w:t>share</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CBNK</w:t>
            </w:r>
          </w:p>
        </w:tc>
        <w:tc>
          <w:tcPr>
            <w:tcW w:w="152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8"/>
                <w:szCs w:val="18"/>
                <w:color w:val="auto"/>
                <w:w w:val="97"/>
              </w:rPr>
              <w:t>NASDAQ Stock Market</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 of May 6, 2020, the Company had 13,765,331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996950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 w:name="page3"/>
    <w:bookmarkEnd w:id="2"/>
    <w:p>
      <w:pPr>
        <w:jc w:val="center"/>
        <w:ind w:left="9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Form 10-Q</w:t>
      </w:r>
    </w:p>
    <w:p>
      <w:pPr>
        <w:spacing w:after="0" w:line="1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12065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100" w:type="dxa"/>
            <w:vAlign w:val="bottom"/>
            <w:gridSpan w:val="2"/>
          </w:tcPr>
          <w:p>
            <w:pPr>
              <w:ind w:left="660"/>
              <w:spacing w:after="0"/>
              <w:rPr>
                <w:sz w:val="20"/>
                <w:szCs w:val="20"/>
                <w:color w:val="auto"/>
              </w:rPr>
            </w:pPr>
            <w:r>
              <w:rPr>
                <w:rFonts w:ascii="Arial" w:cs="Arial" w:eastAsia="Arial" w:hAnsi="Arial"/>
                <w:sz w:val="16"/>
                <w:szCs w:val="16"/>
                <w:b w:val="1"/>
                <w:bCs w:val="1"/>
                <w:color w:val="auto"/>
              </w:rPr>
              <w:t>PART I - CONSOLIDATED FINANCIAL INFORMATION</w:t>
            </w: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Pa</w:t>
            </w:r>
          </w:p>
        </w:tc>
      </w:tr>
      <w:tr>
        <w:trPr>
          <w:trHeight w:val="227"/>
        </w:trPr>
        <w:tc>
          <w:tcPr>
            <w:tcW w:w="1560" w:type="dxa"/>
            <w:vAlign w:val="bottom"/>
          </w:tcPr>
          <w:p>
            <w:pPr>
              <w:ind w:left="660"/>
              <w:spacing w:after="0"/>
              <w:rPr>
                <w:sz w:val="20"/>
                <w:szCs w:val="20"/>
                <w:color w:val="auto"/>
              </w:rPr>
            </w:pPr>
            <w:r>
              <w:rPr>
                <w:rFonts w:ascii="Arial" w:cs="Arial" w:eastAsia="Arial" w:hAnsi="Arial"/>
                <w:sz w:val="16"/>
                <w:szCs w:val="16"/>
                <w:color w:val="auto"/>
              </w:rPr>
              <w:t>Item 1.</w:t>
            </w:r>
          </w:p>
        </w:tc>
        <w:tc>
          <w:tcPr>
            <w:tcW w:w="954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4">
              <w:r>
                <w:rPr>
                  <w:rFonts w:ascii="Arial" w:cs="Arial" w:eastAsia="Arial" w:hAnsi="Arial"/>
                  <w:sz w:val="16"/>
                  <w:szCs w:val="16"/>
                  <w:color w:val="auto"/>
                </w:rPr>
                <w:t>Consolidated Statements of Income</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Comprehensive Income</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Changes in Stockholders’ Equity</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Cash Flows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9">
              <w:r>
                <w:rPr>
                  <w:rFonts w:ascii="Arial" w:cs="Arial" w:eastAsia="Arial" w:hAnsi="Arial"/>
                  <w:sz w:val="16"/>
                  <w:szCs w:val="16"/>
                  <w:color w:val="auto"/>
                </w:rPr>
                <w:t>Notes to Consolidated Financial Statements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2.</w:t>
            </w:r>
          </w:p>
        </w:tc>
        <w:tc>
          <w:tcPr>
            <w:tcW w:w="954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3.</w:t>
            </w:r>
          </w:p>
        </w:tc>
        <w:tc>
          <w:tcPr>
            <w:tcW w:w="954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4.</w:t>
            </w:r>
          </w:p>
        </w:tc>
        <w:tc>
          <w:tcPr>
            <w:tcW w:w="954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1100" w:type="dxa"/>
            <w:vAlign w:val="bottom"/>
            <w:gridSpan w:val="2"/>
          </w:tcPr>
          <w:p>
            <w:pPr>
              <w:ind w:left="660"/>
              <w:spacing w:after="0"/>
              <w:rPr>
                <w:sz w:val="20"/>
                <w:szCs w:val="20"/>
                <w:color w:val="auto"/>
              </w:rPr>
            </w:pPr>
            <w:r>
              <w:rPr>
                <w:rFonts w:ascii="Arial" w:cs="Arial" w:eastAsia="Arial" w:hAnsi="Arial"/>
                <w:sz w:val="16"/>
                <w:szCs w:val="16"/>
                <w:b w:val="1"/>
                <w:bCs w:val="1"/>
                <w:color w:val="auto"/>
              </w:rPr>
              <w:t>PART II - 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1.</w:t>
            </w:r>
          </w:p>
        </w:tc>
        <w:tc>
          <w:tcPr>
            <w:tcW w:w="954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1A.</w:t>
            </w:r>
          </w:p>
        </w:tc>
        <w:tc>
          <w:tcPr>
            <w:tcW w:w="954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2.</w:t>
            </w:r>
          </w:p>
        </w:tc>
        <w:tc>
          <w:tcPr>
            <w:tcW w:w="954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3.</w:t>
            </w:r>
          </w:p>
        </w:tc>
        <w:tc>
          <w:tcPr>
            <w:tcW w:w="954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4.</w:t>
            </w:r>
          </w:p>
        </w:tc>
        <w:tc>
          <w:tcPr>
            <w:tcW w:w="954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5.</w:t>
            </w:r>
          </w:p>
        </w:tc>
        <w:tc>
          <w:tcPr>
            <w:tcW w:w="954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6.</w:t>
            </w:r>
          </w:p>
        </w:tc>
        <w:tc>
          <w:tcPr>
            <w:tcW w:w="9540" w:type="dxa"/>
            <w:vAlign w:val="bottom"/>
          </w:tcPr>
          <w:p>
            <w:pPr>
              <w:ind w:left="320"/>
              <w:spacing w:after="0"/>
              <w:rPr>
                <w:sz w:val="20"/>
                <w:szCs w:val="20"/>
                <w:color w:val="auto"/>
              </w:rPr>
            </w:pPr>
            <w:r>
              <w:rPr>
                <w:rFonts w:ascii="Arial" w:cs="Arial" w:eastAsia="Arial" w:hAnsi="Arial"/>
                <w:sz w:val="16"/>
                <w:szCs w:val="16"/>
                <w:color w:val="auto"/>
              </w:rPr>
              <w:t>Exhibits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18"/>
        </w:trPr>
        <w:tc>
          <w:tcPr>
            <w:tcW w:w="15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7" w:right="239" w:bottom="1440" w:gutter="0" w:footer="0" w:header="0"/>
        </w:sectPr>
      </w:pPr>
    </w:p>
    <w:bookmarkStart w:id="3" w:name="page4"/>
    <w:bookmarkEnd w:id="3"/>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177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ind w:left="20"/>
        <w:spacing w:after="0" w:line="197" w:lineRule="auto"/>
        <w:rPr>
          <w:sz w:val="20"/>
          <w:szCs w:val="20"/>
          <w:color w:val="auto"/>
        </w:rPr>
      </w:pPr>
      <w:r>
        <w:rPr>
          <w:rFonts w:ascii="Arial" w:cs="Arial" w:eastAsia="Arial" w:hAnsi="Arial"/>
          <w:sz w:val="14"/>
          <w:szCs w:val="14"/>
          <w:b w:val="1"/>
          <w:bCs w:val="1"/>
          <w:color w:val="auto"/>
        </w:rPr>
        <w:t>Consolidated Balance Sheets</w:t>
      </w:r>
    </w:p>
    <w:p>
      <w:pPr>
        <w:ind w:left="20"/>
        <w:spacing w:after="0"/>
        <w:rPr>
          <w:sz w:val="20"/>
          <w:szCs w:val="20"/>
          <w:color w:val="auto"/>
        </w:rPr>
      </w:pPr>
      <w:r>
        <w:rPr>
          <w:rFonts w:ascii="Arial" w:cs="Arial" w:eastAsia="Arial" w:hAnsi="Arial"/>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8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90"/>
              <w:spacing w:after="0" w:line="113" w:lineRule="exact"/>
              <w:rPr>
                <w:sz w:val="20"/>
                <w:szCs w:val="20"/>
                <w:color w:val="auto"/>
              </w:rPr>
            </w:pPr>
            <w:r>
              <w:rPr>
                <w:rFonts w:ascii="Arial" w:cs="Arial" w:eastAsia="Arial" w:hAnsi="Arial"/>
                <w:sz w:val="12"/>
                <w:szCs w:val="12"/>
                <w:b w:val="1"/>
                <w:bCs w:val="1"/>
                <w:color w:val="auto"/>
              </w:rPr>
              <w:t>March 31, 2021</w:t>
            </w: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2"/>
          </w:tcPr>
          <w:p>
            <w:pPr>
              <w:jc w:val="right"/>
              <w:ind w:right="10"/>
              <w:spacing w:after="0" w:line="113" w:lineRule="exact"/>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65"/>
        </w:trPr>
        <w:tc>
          <w:tcPr>
            <w:tcW w:w="860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(unaudited)</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(audited)</w:t>
            </w:r>
          </w:p>
        </w:tc>
        <w:tc>
          <w:tcPr>
            <w:tcW w:w="0" w:type="dxa"/>
            <w:vAlign w:val="bottom"/>
          </w:tcPr>
          <w:p>
            <w:pPr>
              <w:spacing w:after="0"/>
              <w:rPr>
                <w:sz w:val="1"/>
                <w:szCs w:val="1"/>
                <w:color w:val="auto"/>
              </w:rPr>
            </w:pPr>
          </w:p>
        </w:tc>
      </w:tr>
      <w:tr>
        <w:trPr>
          <w:trHeight w:val="17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22,678</w:t>
            </w:r>
          </w:p>
        </w:tc>
        <w:tc>
          <w:tcPr>
            <w:tcW w:w="380" w:type="dxa"/>
            <w:vAlign w:val="bottom"/>
            <w:gridSpan w:val="3"/>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18,456</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294,777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126,081</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567</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79"/>
        </w:trPr>
        <w:tc>
          <w:tcPr>
            <w:tcW w:w="860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318,022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146,910</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128,023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99,787</w:t>
            </w:r>
          </w:p>
        </w:tc>
        <w:tc>
          <w:tcPr>
            <w:tcW w:w="0" w:type="dxa"/>
            <w:vAlign w:val="bottom"/>
          </w:tcPr>
          <w:p>
            <w:pPr>
              <w:spacing w:after="0"/>
              <w:rPr>
                <w:sz w:val="1"/>
                <w:szCs w:val="1"/>
                <w:color w:val="auto"/>
              </w:rPr>
            </w:pP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Marketable equity securities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3,713</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60,816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107,154</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Business Administration Payroll Protection Program (“SBA-PPP”) loans receivable, net of fees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265,712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201,018</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Portfolio loans receivable, net of deferred fees and costs and net of allowance for loan losses of $23,550 and $23,434</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1,288,825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1,292,068</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4,464</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8,104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8,134</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7,430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6,818</w:t>
            </w:r>
          </w:p>
        </w:tc>
        <w:tc>
          <w:tcPr>
            <w:tcW w:w="0" w:type="dxa"/>
            <w:vAlign w:val="bottom"/>
          </w:tcPr>
          <w:p>
            <w:pPr>
              <w:spacing w:after="0"/>
              <w:rPr>
                <w:sz w:val="1"/>
                <w:szCs w:val="1"/>
                <w:color w:val="auto"/>
              </w:rPr>
            </w:pP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3,293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3,326</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179"/>
        </w:trPr>
        <w:tc>
          <w:tcPr>
            <w:tcW w:w="8600" w:type="dxa"/>
            <w:vAlign w:val="bottom"/>
          </w:tcPr>
          <w:p>
            <w:pPr>
              <w:ind w:left="50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2,091,851</w:t>
            </w:r>
          </w:p>
        </w:tc>
        <w:tc>
          <w:tcPr>
            <w:tcW w:w="380" w:type="dxa"/>
            <w:vAlign w:val="bottom"/>
            <w:gridSpan w:val="3"/>
          </w:tcPr>
          <w:p>
            <w:pPr>
              <w:jc w:val="right"/>
              <w:ind w:right="7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1,876,593</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771,924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 including related party balances of $14,352 and $17,878</w:t>
            </w:r>
          </w:p>
        </w:tc>
        <w:tc>
          <w:tcPr>
            <w:tcW w:w="14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80" w:type="dxa"/>
            <w:vAlign w:val="bottom"/>
            <w:gridSpan w:val="3"/>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608,559</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Interest-bearing, including related party balances of $91,504 and $125,304</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1,091,145</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1,043,569</w:t>
            </w:r>
          </w:p>
        </w:tc>
        <w:tc>
          <w:tcPr>
            <w:tcW w:w="0" w:type="dxa"/>
            <w:vAlign w:val="bottom"/>
          </w:tcPr>
          <w:p>
            <w:pPr>
              <w:spacing w:after="0"/>
              <w:rPr>
                <w:sz w:val="1"/>
                <w:szCs w:val="1"/>
                <w:color w:val="auto"/>
              </w:rPr>
            </w:pPr>
          </w:p>
        </w:tc>
      </w:tr>
      <w:tr>
        <w:trPr>
          <w:trHeight w:val="179"/>
        </w:trPr>
        <w:tc>
          <w:tcPr>
            <w:tcW w:w="8600" w:type="dxa"/>
            <w:vAlign w:val="bottom"/>
          </w:tcPr>
          <w:p>
            <w:pPr>
              <w:ind w:left="500"/>
              <w:spacing w:after="0"/>
              <w:rPr>
                <w:sz w:val="20"/>
                <w:szCs w:val="20"/>
                <w:color w:val="auto"/>
              </w:rPr>
            </w:pPr>
            <w:r>
              <w:rPr>
                <w:rFonts w:ascii="Arial" w:cs="Arial" w:eastAsia="Arial" w:hAnsi="Arial"/>
                <w:sz w:val="14"/>
                <w:szCs w:val="14"/>
                <w:color w:val="auto"/>
              </w:rPr>
              <w:t>Total deposits</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1,863,069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1,652,128</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Home Loan Bank advances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22,000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5"/>
        </w:trPr>
        <w:tc>
          <w:tcPr>
            <w:tcW w:w="8600" w:type="dxa"/>
            <w:vAlign w:val="bottom"/>
          </w:tcPr>
          <w:p>
            <w:pPr>
              <w:ind w:left="20"/>
              <w:spacing w:after="0"/>
              <w:rPr>
                <w:sz w:val="20"/>
                <w:szCs w:val="20"/>
                <w:color w:val="auto"/>
              </w:rPr>
            </w:pPr>
            <w:r>
              <w:rPr>
                <w:rFonts w:ascii="Arial" w:cs="Arial" w:eastAsia="Arial" w:hAnsi="Arial"/>
                <w:sz w:val="14"/>
                <w:szCs w:val="14"/>
                <w:color w:val="auto"/>
              </w:rPr>
              <w:t>Other borrowed funds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12,062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14,016</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 payable</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26,507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28,004</w:t>
            </w:r>
          </w:p>
        </w:tc>
        <w:tc>
          <w:tcPr>
            <w:tcW w:w="0" w:type="dxa"/>
            <w:vAlign w:val="bottom"/>
          </w:tcPr>
          <w:p>
            <w:pPr>
              <w:spacing w:after="0"/>
              <w:rPr>
                <w:sz w:val="1"/>
                <w:szCs w:val="1"/>
                <w:color w:val="auto"/>
              </w:rPr>
            </w:pPr>
          </w:p>
        </w:tc>
      </w:tr>
      <w:tr>
        <w:trPr>
          <w:trHeight w:val="179"/>
        </w:trPr>
        <w:tc>
          <w:tcPr>
            <w:tcW w:w="8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1,924,848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1,717,282</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600" w:type="dxa"/>
            <w:vAlign w:val="bottom"/>
          </w:tcPr>
          <w:p>
            <w:pPr>
              <w:ind w:left="340"/>
              <w:spacing w:after="0"/>
              <w:rPr>
                <w:sz w:val="20"/>
                <w:szCs w:val="20"/>
                <w:color w:val="auto"/>
              </w:rPr>
            </w:pPr>
            <w:r>
              <w:rPr>
                <w:rFonts w:ascii="Arial" w:cs="Arial" w:eastAsia="Arial" w:hAnsi="Arial"/>
                <w:sz w:val="14"/>
                <w:szCs w:val="14"/>
                <w:color w:val="auto"/>
              </w:rPr>
              <w:t>Common stock, $.01 par value; 49,000,000 shares authorized; 13,759,218 and 13,753,529 issued and outstanding</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51,042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50,602</w:t>
            </w:r>
          </w:p>
        </w:tc>
        <w:tc>
          <w:tcPr>
            <w:tcW w:w="0" w:type="dxa"/>
            <w:vAlign w:val="bottom"/>
          </w:tcPr>
          <w:p>
            <w:pPr>
              <w:spacing w:after="0"/>
              <w:rPr>
                <w:sz w:val="1"/>
                <w:szCs w:val="1"/>
                <w:color w:val="auto"/>
              </w:rPr>
            </w:pPr>
          </w:p>
        </w:tc>
      </w:tr>
      <w:tr>
        <w:trPr>
          <w:trHeight w:val="186"/>
        </w:trPr>
        <w:tc>
          <w:tcPr>
            <w:tcW w:w="860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115,805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106,854</w:t>
            </w: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79"/>
        </w:trPr>
        <w:tc>
          <w:tcPr>
            <w:tcW w:w="86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167,003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159,311</w:t>
            </w:r>
          </w:p>
        </w:tc>
        <w:tc>
          <w:tcPr>
            <w:tcW w:w="0" w:type="dxa"/>
            <w:vAlign w:val="bottom"/>
          </w:tcPr>
          <w:p>
            <w:pPr>
              <w:spacing w:after="0"/>
              <w:rPr>
                <w:sz w:val="1"/>
                <w:szCs w:val="1"/>
                <w:color w:val="auto"/>
              </w:rPr>
            </w:pPr>
          </w:p>
        </w:tc>
      </w:tr>
      <w:tr>
        <w:trPr>
          <w:trHeight w:val="199"/>
        </w:trPr>
        <w:tc>
          <w:tcPr>
            <w:tcW w:w="8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2,091,851</w:t>
            </w:r>
          </w:p>
        </w:tc>
        <w:tc>
          <w:tcPr>
            <w:tcW w:w="380" w:type="dxa"/>
            <w:vAlign w:val="bottom"/>
            <w:gridSpan w:val="3"/>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1,876,593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-179070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14"/>
          <w:szCs w:val="14"/>
          <w:b w:val="1"/>
          <w:bCs w:val="1"/>
          <w:color w:val="auto"/>
        </w:rPr>
        <w:t>Consolidated Statements of Income</w:t>
      </w:r>
    </w:p>
    <w:p>
      <w:pPr>
        <w:ind w:left="66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8820"/>
        <w:spacing w:after="0"/>
        <w:rPr>
          <w:sz w:val="20"/>
          <w:szCs w:val="20"/>
          <w:color w:val="auto"/>
        </w:rPr>
      </w:pPr>
      <w:r>
        <w:rPr>
          <w:rFonts w:ascii="Arial" w:cs="Arial" w:eastAsia="Arial" w:hAnsi="Arial"/>
          <w:sz w:val="12"/>
          <w:szCs w:val="12"/>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140"/>
              <w:spacing w:after="0"/>
              <w:rPr>
                <w:sz w:val="20"/>
                <w:szCs w:val="20"/>
                <w:color w:val="auto"/>
              </w:rPr>
            </w:pPr>
            <w:r>
              <w:rPr>
                <w:rFonts w:ascii="Arial" w:cs="Arial" w:eastAsia="Arial" w:hAnsi="Arial"/>
                <w:sz w:val="14"/>
                <w:szCs w:val="14"/>
                <w:color w:val="auto"/>
              </w:rPr>
              <w:t>Loans, including fees</w:t>
            </w: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26,068</w:t>
            </w:r>
          </w:p>
        </w:tc>
        <w:tc>
          <w:tcPr>
            <w:tcW w:w="12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21,074</w:t>
            </w:r>
          </w:p>
        </w:tc>
        <w:tc>
          <w:tcPr>
            <w:tcW w:w="0" w:type="dxa"/>
            <w:vAlign w:val="bottom"/>
          </w:tcPr>
          <w:p>
            <w:pPr>
              <w:spacing w:after="0"/>
              <w:rPr>
                <w:sz w:val="1"/>
                <w:szCs w:val="1"/>
                <w:color w:val="auto"/>
              </w:rPr>
            </w:pPr>
          </w:p>
        </w:tc>
      </w:tr>
      <w:tr>
        <w:trPr>
          <w:trHeight w:val="185"/>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 available for sale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6"/>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Federal funds sold 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interest income</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26,638</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21,744</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200" w:type="dxa"/>
            <w:vAlign w:val="bottom"/>
          </w:tcPr>
          <w:p>
            <w:pPr>
              <w:ind w:left="140"/>
              <w:spacing w:after="0" w:line="151" w:lineRule="exact"/>
              <w:rPr>
                <w:sz w:val="20"/>
                <w:szCs w:val="20"/>
                <w:color w:val="auto"/>
              </w:rPr>
            </w:pPr>
            <w:r>
              <w:rPr>
                <w:rFonts w:ascii="Arial" w:cs="Arial" w:eastAsia="Arial" w:hAnsi="Arial"/>
                <w:sz w:val="14"/>
                <w:szCs w:val="14"/>
                <w:color w:val="auto"/>
              </w:rPr>
              <w:t>Deposits, includes payments to related parties of $86 and $383 for the three ended March 31, 2021 and March 31, 2020,</w:t>
            </w: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168"/>
        </w:trPr>
        <w:tc>
          <w:tcPr>
            <w:tcW w:w="8200" w:type="dxa"/>
            <w:vAlign w:val="bottom"/>
          </w:tcPr>
          <w:p>
            <w:pPr>
              <w:ind w:left="300"/>
              <w:spacing w:after="0"/>
              <w:rPr>
                <w:sz w:val="20"/>
                <w:szCs w:val="20"/>
                <w:color w:val="auto"/>
              </w:rPr>
            </w:pPr>
            <w:r>
              <w:rPr>
                <w:rFonts w:ascii="Arial" w:cs="Arial" w:eastAsia="Arial" w:hAnsi="Arial"/>
                <w:sz w:val="14"/>
                <w:szCs w:val="14"/>
                <w:color w:val="auto"/>
              </w:rPr>
              <w:t>respectively.</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Borrowed funds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9"/>
        </w:trPr>
        <w:tc>
          <w:tcPr>
            <w:tcW w:w="82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interest expense</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4,057</w:t>
            </w:r>
          </w:p>
        </w:tc>
        <w:tc>
          <w:tcPr>
            <w:tcW w:w="0" w:type="dxa"/>
            <w:vAlign w:val="bottom"/>
          </w:tcPr>
          <w:p>
            <w:pPr>
              <w:spacing w:after="0"/>
              <w:rPr>
                <w:sz w:val="1"/>
                <w:szCs w:val="1"/>
                <w:color w:val="auto"/>
              </w:rPr>
            </w:pPr>
          </w:p>
        </w:tc>
      </w:tr>
      <w:tr>
        <w:trPr>
          <w:trHeight w:val="192"/>
        </w:trPr>
        <w:tc>
          <w:tcPr>
            <w:tcW w:w="8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24,444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17,687</w:t>
            </w:r>
          </w:p>
        </w:tc>
        <w:tc>
          <w:tcPr>
            <w:tcW w:w="0" w:type="dxa"/>
            <w:vAlign w:val="bottom"/>
          </w:tcPr>
          <w:p>
            <w:pPr>
              <w:spacing w:after="0"/>
              <w:rPr>
                <w:sz w:val="1"/>
                <w:szCs w:val="1"/>
                <w:color w:val="auto"/>
              </w:rPr>
            </w:pPr>
          </w:p>
        </w:tc>
      </w:tr>
      <w:tr>
        <w:trPr>
          <w:trHeight w:val="185"/>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0" w:type="dxa"/>
            <w:vAlign w:val="bottom"/>
          </w:tcPr>
          <w:p>
            <w:pPr>
              <w:spacing w:after="0"/>
              <w:rPr>
                <w:sz w:val="1"/>
                <w:szCs w:val="1"/>
                <w:color w:val="auto"/>
              </w:rPr>
            </w:pPr>
          </w:p>
        </w:tc>
      </w:tr>
      <w:tr>
        <w:trPr>
          <w:trHeight w:val="17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23,941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15,278</w:t>
            </w:r>
          </w:p>
        </w:tc>
        <w:tc>
          <w:tcPr>
            <w:tcW w:w="0" w:type="dxa"/>
            <w:vAlign w:val="bottom"/>
          </w:tcPr>
          <w:p>
            <w:pPr>
              <w:spacing w:after="0"/>
              <w:rPr>
                <w:sz w:val="1"/>
                <w:szCs w:val="1"/>
                <w:color w:val="auto"/>
              </w:rPr>
            </w:pPr>
          </w:p>
        </w:tc>
      </w:tr>
      <w:tr>
        <w:trPr>
          <w:trHeight w:val="192"/>
        </w:trPr>
        <w:tc>
          <w:tcPr>
            <w:tcW w:w="8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charges on deposits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6"/>
        </w:trPr>
        <w:tc>
          <w:tcPr>
            <w:tcW w:w="8200" w:type="dxa"/>
            <w:vAlign w:val="bottom"/>
          </w:tcPr>
          <w:p>
            <w:pPr>
              <w:ind w:left="140"/>
              <w:spacing w:after="0"/>
              <w:rPr>
                <w:sz w:val="20"/>
                <w:szCs w:val="20"/>
                <w:color w:val="auto"/>
              </w:rPr>
            </w:pPr>
            <w:r>
              <w:rPr>
                <w:rFonts w:ascii="Arial" w:cs="Arial" w:eastAsia="Arial" w:hAnsi="Arial"/>
                <w:sz w:val="14"/>
                <w:szCs w:val="14"/>
                <w:color w:val="auto"/>
              </w:rPr>
              <w:t>Credit card fees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5,940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85"/>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7,743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w:t>
            </w:r>
          </w:p>
        </w:tc>
        <w:tc>
          <w:tcPr>
            <w:tcW w:w="0" w:type="dxa"/>
            <w:vAlign w:val="bottom"/>
          </w:tcPr>
          <w:p>
            <w:pPr>
              <w:spacing w:after="0"/>
              <w:rPr>
                <w:sz w:val="1"/>
                <w:szCs w:val="1"/>
                <w:color w:val="auto"/>
              </w:rPr>
            </w:pPr>
          </w:p>
        </w:tc>
      </w:tr>
      <w:tr>
        <w:trPr>
          <w:trHeight w:val="186"/>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fees and charges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noninterest income</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13,951</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0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8,568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7,413</w:t>
            </w: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Occupancy and equipment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85"/>
        </w:trPr>
        <w:tc>
          <w:tcPr>
            <w:tcW w:w="8200" w:type="dxa"/>
            <w:vAlign w:val="bottom"/>
          </w:tcPr>
          <w:p>
            <w:pPr>
              <w:ind w:left="140"/>
              <w:spacing w:after="0"/>
              <w:rPr>
                <w:sz w:val="20"/>
                <w:szCs w:val="20"/>
                <w:color w:val="auto"/>
              </w:rPr>
            </w:pPr>
            <w:r>
              <w:rPr>
                <w:rFonts w:ascii="Arial" w:cs="Arial" w:eastAsia="Arial" w:hAnsi="Arial"/>
                <w:sz w:val="14"/>
                <w:szCs w:val="14"/>
                <w:color w:val="auto"/>
              </w:rPr>
              <w:t>Professional fees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85"/>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Data processing</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0" w:type="dxa"/>
            <w:vAlign w:val="bottom"/>
          </w:tcPr>
          <w:p>
            <w:pPr>
              <w:spacing w:after="0"/>
              <w:rPr>
                <w:sz w:val="1"/>
                <w:szCs w:val="1"/>
                <w:color w:val="auto"/>
              </w:rPr>
            </w:pPr>
          </w:p>
        </w:tc>
      </w:tr>
      <w:tr>
        <w:trPr>
          <w:trHeight w:val="185"/>
        </w:trPr>
        <w:tc>
          <w:tcPr>
            <w:tcW w:w="8200" w:type="dxa"/>
            <w:vAlign w:val="bottom"/>
          </w:tcPr>
          <w:p>
            <w:pPr>
              <w:ind w:left="140"/>
              <w:spacing w:after="0"/>
              <w:rPr>
                <w:sz w:val="20"/>
                <w:szCs w:val="20"/>
                <w:color w:val="auto"/>
              </w:rPr>
            </w:pPr>
            <w:r>
              <w:rPr>
                <w:rFonts w:ascii="Arial" w:cs="Arial" w:eastAsia="Arial" w:hAnsi="Arial"/>
                <w:sz w:val="14"/>
                <w:szCs w:val="14"/>
                <w:color w:val="auto"/>
              </w:rPr>
              <w:t>Advertising</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85"/>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 processing</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5"/>
        </w:trPr>
        <w:tc>
          <w:tcPr>
            <w:tcW w:w="8200" w:type="dxa"/>
            <w:vAlign w:val="bottom"/>
          </w:tcPr>
          <w:p>
            <w:pPr>
              <w:ind w:left="140"/>
              <w:spacing w:after="0"/>
              <w:rPr>
                <w:sz w:val="20"/>
                <w:szCs w:val="20"/>
                <w:color w:val="auto"/>
              </w:rPr>
            </w:pPr>
            <w:r>
              <w:rPr>
                <w:rFonts w:ascii="Arial" w:cs="Arial" w:eastAsia="Arial" w:hAnsi="Arial"/>
                <w:sz w:val="14"/>
                <w:szCs w:val="14"/>
                <w:color w:val="auto"/>
              </w:rPr>
              <w:t>Foreclosed real estate expenses,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179"/>
        </w:trPr>
        <w:tc>
          <w:tcPr>
            <w:tcW w:w="82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noninterest expenses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25,767</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16,799</w:t>
            </w:r>
          </w:p>
        </w:tc>
        <w:tc>
          <w:tcPr>
            <w:tcW w:w="0" w:type="dxa"/>
            <w:vAlign w:val="bottom"/>
          </w:tcPr>
          <w:p>
            <w:pPr>
              <w:spacing w:after="0"/>
              <w:rPr>
                <w:sz w:val="1"/>
                <w:szCs w:val="1"/>
                <w:color w:val="auto"/>
              </w:rPr>
            </w:pPr>
          </w:p>
        </w:tc>
      </w:tr>
      <w:tr>
        <w:trPr>
          <w:trHeight w:val="17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12,125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4,014</w:t>
            </w:r>
          </w:p>
        </w:tc>
        <w:tc>
          <w:tcPr>
            <w:tcW w:w="0" w:type="dxa"/>
            <w:vAlign w:val="bottom"/>
          </w:tcPr>
          <w:p>
            <w:pPr>
              <w:spacing w:after="0"/>
              <w:rPr>
                <w:sz w:val="1"/>
                <w:szCs w:val="1"/>
                <w:color w:val="auto"/>
              </w:rPr>
            </w:pPr>
          </w:p>
        </w:tc>
      </w:tr>
      <w:tr>
        <w:trPr>
          <w:trHeight w:val="18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0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0.65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tcPr>
          <w:p>
            <w:pPr>
              <w:ind w:left="20"/>
              <w:spacing w:after="0" w:line="159" w:lineRule="exact"/>
              <w:rPr>
                <w:sz w:val="20"/>
                <w:szCs w:val="20"/>
                <w:color w:val="auto"/>
              </w:rPr>
            </w:pPr>
            <w:r>
              <w:rPr>
                <w:rFonts w:ascii="Arial" w:cs="Arial" w:eastAsia="Arial" w:hAnsi="Arial"/>
                <w:sz w:val="14"/>
                <w:szCs w:val="14"/>
                <w:color w:val="auto"/>
              </w:rPr>
              <w:t>Diluted earnings per share</w:t>
            </w:r>
          </w:p>
        </w:tc>
        <w:tc>
          <w:tcPr>
            <w:tcW w:w="340" w:type="dxa"/>
            <w:vAlign w:val="bottom"/>
            <w:tcBorders>
              <w:bottom w:val="single" w:sz="8" w:color="auto"/>
            </w:tcBorders>
          </w:tcPr>
          <w:p>
            <w:pPr>
              <w:jc w:val="right"/>
              <w:ind w:right="169"/>
              <w:spacing w:after="0" w:line="159"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0.65</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169"/>
              <w:spacing w:after="0" w:line="15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2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13,757,006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13,876,428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tcPr>
          <w:p>
            <w:pPr>
              <w:ind w:left="140"/>
              <w:spacing w:after="0" w:line="159" w:lineRule="exact"/>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13,899,201</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14,075,756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6995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340"/>
        <w:spacing w:after="0" w:line="197" w:lineRule="auto"/>
        <w:rPr>
          <w:sz w:val="20"/>
          <w:szCs w:val="20"/>
          <w:color w:val="auto"/>
        </w:rPr>
      </w:pPr>
      <w:r>
        <w:rPr>
          <w:rFonts w:ascii="Arial" w:cs="Arial" w:eastAsia="Arial" w:hAnsi="Arial"/>
          <w:sz w:val="14"/>
          <w:szCs w:val="14"/>
          <w:b w:val="1"/>
          <w:bCs w:val="1"/>
          <w:color w:val="auto"/>
        </w:rPr>
        <w:t>Consolidated Statements of Comprehensive Income</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8700"/>
        <w:spacing w:after="0"/>
        <w:rPr>
          <w:sz w:val="20"/>
          <w:szCs w:val="20"/>
          <w:color w:val="auto"/>
        </w:rPr>
      </w:pPr>
      <w:r>
        <w:rPr>
          <w:rFonts w:ascii="Arial" w:cs="Arial" w:eastAsia="Arial" w:hAnsi="Arial"/>
          <w:sz w:val="12"/>
          <w:szCs w:val="12"/>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6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r>
      <w:tr>
        <w:trPr>
          <w:trHeight w:val="192"/>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income</w:t>
            </w: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8,982</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2"/>
        </w:trPr>
        <w:tc>
          <w:tcPr>
            <w:tcW w:w="7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Other comprehensive income (loss):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gain (loss) on investment securities available for sale</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(2,298)</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7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(2,298)</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1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 relating to the items above</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599</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comprehensive income</w:t>
            </w:r>
          </w:p>
        </w:tc>
        <w:tc>
          <w:tcPr>
            <w:tcW w:w="6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(1,699)</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79"/>
        </w:trPr>
        <w:tc>
          <w:tcPr>
            <w:tcW w:w="7640" w:type="dxa"/>
            <w:vAlign w:val="bottom"/>
          </w:tcPr>
          <w:p>
            <w:pPr>
              <w:ind w:left="340"/>
              <w:spacing w:after="0" w:line="179" w:lineRule="exact"/>
              <w:rPr>
                <w:sz w:val="20"/>
                <w:szCs w:val="20"/>
                <w:color w:val="auto"/>
              </w:rPr>
            </w:pPr>
            <w:r>
              <w:rPr>
                <w:rFonts w:ascii="Arial" w:cs="Arial" w:eastAsia="Arial" w:hAnsi="Arial"/>
                <w:sz w:val="16"/>
                <w:szCs w:val="16"/>
                <w:b w:val="1"/>
                <w:bCs w:val="1"/>
                <w:color w:val="auto"/>
              </w:rPr>
              <w:t>Comprehensive income</w:t>
            </w: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7,283</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7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2"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line="197"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2560" w:type="dxa"/>
            <w:vAlign w:val="bottom"/>
            <w:gridSpan w:val="5"/>
          </w:tcPr>
          <w:p>
            <w:pPr>
              <w:ind w:left="940"/>
              <w:spacing w:after="0"/>
              <w:rPr>
                <w:sz w:val="20"/>
                <w:szCs w:val="20"/>
                <w:color w:val="auto"/>
              </w:rPr>
            </w:pPr>
            <w:r>
              <w:rPr>
                <w:rFonts w:ascii="Arial" w:cs="Arial" w:eastAsia="Arial" w:hAnsi="Arial"/>
                <w:sz w:val="12"/>
                <w:szCs w:val="12"/>
                <w:b w:val="1"/>
                <w:bCs w:val="1"/>
                <w:color w:val="auto"/>
              </w:rPr>
              <w:t>Common Stock</w:t>
            </w:r>
          </w:p>
        </w:tc>
        <w:tc>
          <w:tcPr>
            <w:tcW w:w="4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Additional</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62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Accumulated Other</w:t>
            </w:r>
          </w:p>
        </w:tc>
        <w:tc>
          <w:tcPr>
            <w:tcW w:w="5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1260" w:type="dxa"/>
            <w:vAlign w:val="bottom"/>
            <w:gridSpan w:val="2"/>
            <w:vMerge w:val="restart"/>
          </w:tcPr>
          <w:p>
            <w:pPr>
              <w:ind w:left="54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Paid-in</w:t>
            </w:r>
          </w:p>
        </w:tc>
        <w:tc>
          <w:tcPr>
            <w:tcW w:w="4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320" w:type="dxa"/>
            <w:vAlign w:val="bottom"/>
            <w:gridSpan w:val="2"/>
          </w:tcPr>
          <w:p>
            <w:pPr>
              <w:ind w:left="340"/>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2700" w:type="dxa"/>
            <w:vAlign w:val="bottom"/>
          </w:tcPr>
          <w:p>
            <w:pPr>
              <w:ind w:left="340"/>
              <w:spacing w:after="0"/>
              <w:rPr>
                <w:sz w:val="20"/>
                <w:szCs w:val="20"/>
                <w:color w:val="auto"/>
              </w:rPr>
            </w:pPr>
            <w:r>
              <w:rPr>
                <w:rFonts w:ascii="Arial" w:cs="Arial" w:eastAsia="Arial" w:hAnsi="Arial"/>
                <w:sz w:val="11"/>
                <w:szCs w:val="11"/>
                <w:color w:val="auto"/>
              </w:rPr>
              <w:t>(dollars in thousands)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420" w:type="dxa"/>
            <w:vAlign w:val="bottom"/>
            <w:gridSpan w:val="3"/>
          </w:tcPr>
          <w:p>
            <w:pPr>
              <w:ind w:left="400"/>
              <w:spacing w:after="0"/>
              <w:rPr>
                <w:sz w:val="20"/>
                <w:szCs w:val="20"/>
                <w:color w:val="auto"/>
              </w:rPr>
            </w:pPr>
            <w:r>
              <w:rPr>
                <w:rFonts w:ascii="Arial" w:cs="Arial" w:eastAsia="Arial" w:hAnsi="Arial"/>
                <w:sz w:val="12"/>
                <w:szCs w:val="12"/>
                <w:b w:val="1"/>
                <w:bCs w:val="1"/>
                <w:color w:val="auto"/>
              </w:rPr>
              <w:t>Earnings</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Comprehensive Income</w:t>
            </w:r>
          </w:p>
        </w:tc>
        <w:tc>
          <w:tcPr>
            <w:tcW w:w="500" w:type="dxa"/>
            <w:vAlign w:val="bottom"/>
          </w:tcPr>
          <w:p>
            <w:pPr>
              <w:spacing w:after="0"/>
              <w:rPr>
                <w:sz w:val="14"/>
                <w:szCs w:val="14"/>
                <w:color w:val="auto"/>
              </w:rPr>
            </w:pPr>
          </w:p>
        </w:tc>
        <w:tc>
          <w:tcPr>
            <w:tcW w:w="820" w:type="dxa"/>
            <w:vAlign w:val="bottom"/>
          </w:tcPr>
          <w:p>
            <w:pPr>
              <w:jc w:val="right"/>
              <w:ind w:right="31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84"/>
        </w:trPr>
        <w:tc>
          <w:tcPr>
            <w:tcW w:w="2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Balance, December 31,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13,894,842</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51,561</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81,618</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133,33</w:t>
            </w:r>
          </w:p>
        </w:tc>
        <w:tc>
          <w:tcPr>
            <w:tcW w:w="0" w:type="dxa"/>
            <w:vAlign w:val="bottom"/>
          </w:tcPr>
          <w:p>
            <w:pPr>
              <w:spacing w:after="0"/>
              <w:rPr>
                <w:sz w:val="1"/>
                <w:szCs w:val="1"/>
                <w:color w:val="auto"/>
              </w:rPr>
            </w:pPr>
          </w:p>
        </w:tc>
      </w:tr>
      <w:tr>
        <w:trPr>
          <w:trHeight w:val="185"/>
        </w:trPr>
        <w:tc>
          <w:tcPr>
            <w:tcW w:w="27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1160" w:type="dxa"/>
            <w:vAlign w:val="bottom"/>
          </w:tcPr>
          <w:p>
            <w:pPr>
              <w:jc w:val="right"/>
              <w:spacing w:after="0"/>
              <w:rPr>
                <w:sz w:val="20"/>
                <w:szCs w:val="20"/>
                <w:color w:val="auto"/>
              </w:rPr>
            </w:pPr>
            <w:r>
              <w:rPr>
                <w:rFonts w:ascii="Arial" w:cs="Arial" w:eastAsia="Arial" w:hAnsi="Arial"/>
                <w:sz w:val="14"/>
                <w:szCs w:val="14"/>
                <w:color w:val="auto"/>
              </w:rPr>
              <w:t>34,015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4"/>
                <w:szCs w:val="14"/>
                <w:color w:val="auto"/>
              </w:rPr>
              <w:t>(112,134)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7"/>
        </w:trPr>
        <w:tc>
          <w:tcPr>
            <w:tcW w:w="2700" w:type="dxa"/>
            <w:vAlign w:val="bottom"/>
            <w:tcBorders>
              <w:top w:val="single" w:sz="8" w:color="CCEEFF"/>
              <w:bottom w:val="single" w:sz="8" w:color="CCEEFF"/>
            </w:tcBorders>
            <w:shd w:val="clear" w:color="auto" w:fill="CCEEFF"/>
          </w:tcPr>
          <w:p>
            <w:pPr>
              <w:ind w:left="340"/>
              <w:spacing w:after="0" w:line="152" w:lineRule="exact"/>
              <w:rPr>
                <w:sz w:val="20"/>
                <w:szCs w:val="20"/>
                <w:color w:val="auto"/>
              </w:rPr>
            </w:pPr>
            <w:r>
              <w:rPr>
                <w:rFonts w:ascii="Arial" w:cs="Arial" w:eastAsia="Arial" w:hAnsi="Arial"/>
                <w:sz w:val="14"/>
                <w:szCs w:val="14"/>
                <w:b w:val="1"/>
                <w:bCs w:val="1"/>
                <w:color w:val="auto"/>
              </w:rPr>
              <w:t>Balance, March 31, 2020</w:t>
            </w:r>
          </w:p>
        </w:tc>
        <w:tc>
          <w:tcPr>
            <w:tcW w:w="116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13,816,723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138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50,786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11"/>
              <w:spacing w:after="0" w:line="15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84,389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340"/>
              <w:spacing w:after="0" w:line="15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767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ind w:left="340"/>
              <w:spacing w:after="0" w:line="15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136,08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13,753,529</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50,602</w:t>
            </w:r>
          </w:p>
        </w:tc>
        <w:tc>
          <w:tcPr>
            <w:tcW w:w="12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106,854</w:t>
            </w:r>
          </w:p>
        </w:tc>
        <w:tc>
          <w:tcPr>
            <w:tcW w:w="10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1,717</w:t>
            </w:r>
          </w:p>
        </w:tc>
        <w:tc>
          <w:tcPr>
            <w:tcW w:w="10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159,31</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loss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Balance, March 31, 2021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13,759,218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115,805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2"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800"/>
        <w:spacing w:after="0"/>
        <w:rPr>
          <w:sz w:val="20"/>
          <w:szCs w:val="20"/>
          <w:color w:val="auto"/>
        </w:rPr>
      </w:pPr>
      <w:r>
        <w:rPr>
          <w:rFonts w:ascii="Arial" w:cs="Arial" w:eastAsia="Arial" w:hAnsi="Arial"/>
          <w:sz w:val="12"/>
          <w:szCs w:val="12"/>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19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8,982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2,934</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503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2,409</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losses on mortgage loans sold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off balance sheet credit risk</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investments,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expense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Mortgage banking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(7,743)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407,855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180,469</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(353,774)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(180,421)</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340"/>
              <w:spacing w:after="0"/>
              <w:rPr>
                <w:sz w:val="20"/>
                <w:szCs w:val="20"/>
                <w:color w:val="auto"/>
              </w:rPr>
            </w:pPr>
            <w:r>
              <w:rPr>
                <w:rFonts w:ascii="Arial" w:cs="Arial" w:eastAsia="Arial" w:hAnsi="Arial"/>
                <w:sz w:val="16"/>
                <w:szCs w:val="16"/>
                <w:color w:val="auto"/>
              </w:rPr>
              <w:t>Accrued interest receivable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2"/>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w:t>
            </w:r>
          </w:p>
        </w:tc>
      </w:tr>
      <w:tr>
        <w:trPr>
          <w:trHeight w:val="212"/>
        </w:trPr>
        <w:tc>
          <w:tcPr>
            <w:tcW w:w="8220" w:type="dxa"/>
            <w:vAlign w:val="bottom"/>
          </w:tcPr>
          <w:p>
            <w:pPr>
              <w:ind w:left="340"/>
              <w:spacing w:after="0"/>
              <w:rPr>
                <w:sz w:val="20"/>
                <w:szCs w:val="20"/>
                <w:color w:val="auto"/>
              </w:rPr>
            </w:pPr>
            <w:r>
              <w:rPr>
                <w:rFonts w:ascii="Arial" w:cs="Arial" w:eastAsia="Arial" w:hAnsi="Arial"/>
                <w:sz w:val="16"/>
                <w:szCs w:val="16"/>
                <w:color w:val="auto"/>
              </w:rPr>
              <w:t>Accrued interest payable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2"/>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r>
      <w:tr>
        <w:trPr>
          <w:trHeight w:val="205"/>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54,623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w:t>
            </w:r>
          </w:p>
        </w:tc>
      </w:tr>
      <w:tr>
        <w:trPr>
          <w:trHeight w:val="192"/>
        </w:trPr>
        <w:tc>
          <w:tcPr>
            <w:tcW w:w="8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Maturities, calls and principal paydowns of securities available for sale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4,599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2,276</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(purchases) of restricted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Increase in SBA-PPP loans receivable,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(64,694)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portfolio loans receivable,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(17,892)</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Purchases of premises and equipment, net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5"/>
        </w:trPr>
        <w:tc>
          <w:tcPr>
            <w:tcW w:w="8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(92,574)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w:t>
            </w:r>
          </w:p>
        </w:tc>
      </w:tr>
      <w:tr>
        <w:trPr>
          <w:trHeight w:val="212"/>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20" w:type="dxa"/>
            <w:vAlign w:val="bottom"/>
          </w:tcPr>
          <w:p>
            <w:pPr>
              <w:ind w:left="140"/>
              <w:spacing w:after="0"/>
              <w:rPr>
                <w:sz w:val="20"/>
                <w:szCs w:val="20"/>
                <w:color w:val="auto"/>
              </w:rPr>
            </w:pPr>
            <w:r>
              <w:rPr>
                <w:rFonts w:ascii="Arial" w:cs="Arial" w:eastAsia="Arial" w:hAnsi="Arial"/>
                <w:sz w:val="16"/>
                <w:szCs w:val="16"/>
                <w:color w:val="auto"/>
              </w:rPr>
              <w:t>Net increase (decrease) 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Noninterest-bearing 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163,365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71,646</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Interest-bearing deposits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47,576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5,846</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 Home Loan Bank advances, net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Other borrowed funds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r>
      <w:tr>
        <w:trPr>
          <w:trHeight w:val="212"/>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5"/>
        </w:trPr>
        <w:tc>
          <w:tcPr>
            <w:tcW w:w="8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209,063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72,976</w:t>
            </w:r>
          </w:p>
        </w:tc>
      </w:tr>
    </w:tbl>
    <w:p>
      <w:pPr>
        <w:spacing w:after="0" w:line="194" w:lineRule="exact"/>
        <w:rPr>
          <w:sz w:val="20"/>
          <w:szCs w:val="20"/>
          <w:color w:val="auto"/>
        </w:rPr>
      </w:pPr>
    </w:p>
    <w:p>
      <w:pPr>
        <w:sectPr>
          <w:pgSz w:w="11900" w:h="16838" w:orient="portrait"/>
          <w:cols w:equalWidth="0" w:num="1">
            <w:col w:w="11200"/>
          </w:cols>
          <w:pgMar w:left="340" w:top="254" w:right="35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17715"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13462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17715"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134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7117715"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15113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jc w:val="both"/>
        <w:ind w:left="780"/>
        <w:spacing w:after="0"/>
        <w:tabs>
          <w:tab w:leader="none" w:pos="2400" w:val="left"/>
        </w:tabs>
        <w:rPr>
          <w:sz w:val="20"/>
          <w:szCs w:val="20"/>
          <w:color w:val="auto"/>
        </w:rPr>
      </w:pPr>
      <w:r>
        <w:rPr>
          <w:rFonts w:ascii="Arial" w:cs="Arial" w:eastAsia="Arial" w:hAnsi="Arial"/>
          <w:sz w:val="16"/>
          <w:szCs w:val="16"/>
          <w:b w:val="1"/>
          <w:bCs w:val="1"/>
          <w:color w:val="auto"/>
        </w:rPr>
        <w:t>171,112</w:t>
      </w:r>
      <w:r>
        <w:rPr>
          <w:sz w:val="20"/>
          <w:szCs w:val="20"/>
          <w:color w:val="auto"/>
        </w:rPr>
        <w:tab/>
      </w:r>
      <w:r>
        <w:rPr>
          <w:rFonts w:ascii="Arial" w:cs="Arial" w:eastAsia="Arial" w:hAnsi="Arial"/>
          <w:sz w:val="16"/>
          <w:szCs w:val="16"/>
          <w:color w:val="auto"/>
        </w:rPr>
        <w:t>60,046</w:t>
      </w:r>
    </w:p>
    <w:p>
      <w:pPr>
        <w:spacing w:after="0" w:line="240" w:lineRule="exact"/>
        <w:rPr>
          <w:sz w:val="20"/>
          <w:szCs w:val="20"/>
          <w:color w:val="auto"/>
        </w:rPr>
      </w:pPr>
    </w:p>
    <w:p>
      <w:pPr>
        <w:jc w:val="both"/>
        <w:ind w:left="780"/>
        <w:spacing w:after="0"/>
        <w:tabs>
          <w:tab w:leader="none" w:pos="2300" w:val="left"/>
        </w:tabs>
        <w:rPr>
          <w:sz w:val="20"/>
          <w:szCs w:val="20"/>
          <w:color w:val="auto"/>
        </w:rPr>
      </w:pPr>
      <w:r>
        <w:rPr>
          <w:rFonts w:ascii="Arial" w:cs="Arial" w:eastAsia="Arial" w:hAnsi="Arial"/>
          <w:sz w:val="16"/>
          <w:szCs w:val="16"/>
          <w:b w:val="1"/>
          <w:bCs w:val="1"/>
          <w:color w:val="auto"/>
        </w:rPr>
        <w:t>146,910</w:t>
      </w:r>
      <w:r>
        <w:rPr>
          <w:sz w:val="20"/>
          <w:szCs w:val="20"/>
          <w:color w:val="auto"/>
        </w:rPr>
        <w:tab/>
      </w:r>
      <w:r>
        <w:rPr>
          <w:rFonts w:ascii="Arial" w:cs="Arial" w:eastAsia="Arial" w:hAnsi="Arial"/>
          <w:sz w:val="16"/>
          <w:szCs w:val="16"/>
          <w:color w:val="auto"/>
        </w:rPr>
        <w:t>114,824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8929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220" w:lineRule="exact"/>
        <w:rPr>
          <w:sz w:val="20"/>
          <w:szCs w:val="20"/>
          <w:color w:val="auto"/>
        </w:rPr>
      </w:pPr>
    </w:p>
    <w:p>
      <w:pPr>
        <w:spacing w:after="0"/>
        <w:tabs>
          <w:tab w:leader="none" w:pos="760" w:val="left"/>
          <w:tab w:leader="none" w:pos="1540" w:val="left"/>
          <w:tab w:leader="none" w:pos="23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318,022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174,870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892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520" w:space="720"/>
            <w:col w:w="2960"/>
          </w:cols>
          <w:pgMar w:left="340" w:top="254" w:right="35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right"/>
        <w:ind w:right="50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800"/>
        <w:spacing w:after="0"/>
        <w:rPr>
          <w:sz w:val="20"/>
          <w:szCs w:val="20"/>
          <w:color w:val="auto"/>
        </w:rPr>
      </w:pPr>
      <w:r>
        <w:rPr>
          <w:rFonts w:ascii="Arial" w:cs="Arial" w:eastAsia="Arial" w:hAnsi="Arial"/>
          <w:sz w:val="12"/>
          <w:szCs w:val="12"/>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8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Loans transferred to foreclosed real estate</w:t>
            </w:r>
          </w:p>
        </w:tc>
        <w:tc>
          <w:tcPr>
            <w:tcW w:w="900" w:type="dxa"/>
            <w:vAlign w:val="bottom"/>
          </w:tcPr>
          <w:p>
            <w:pPr>
              <w:jc w:val="right"/>
              <w:ind w:right="702"/>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8220" w:type="dxa"/>
            <w:vAlign w:val="bottom"/>
            <w:tcBorders>
              <w:bottom w:val="single" w:sz="8" w:color="CCEEFF"/>
            </w:tcBorders>
            <w:shd w:val="clear" w:color="auto" w:fill="CCEEFF"/>
          </w:tcPr>
          <w:p>
            <w:pPr>
              <w:ind w:left="140"/>
              <w:spacing w:after="0" w:line="178" w:lineRule="exact"/>
              <w:rPr>
                <w:sz w:val="20"/>
                <w:szCs w:val="20"/>
                <w:color w:val="auto"/>
              </w:rPr>
            </w:pPr>
            <w:r>
              <w:rPr>
                <w:rFonts w:ascii="Arial" w:cs="Arial" w:eastAsia="Arial" w:hAnsi="Arial"/>
                <w:sz w:val="16"/>
                <w:szCs w:val="16"/>
                <w:color w:val="auto"/>
              </w:rPr>
              <w:t>Change in unrealized gains on investments</w:t>
            </w:r>
          </w:p>
        </w:tc>
        <w:tc>
          <w:tcPr>
            <w:tcW w:w="900" w:type="dxa"/>
            <w:vAlign w:val="bottom"/>
            <w:tcBorders>
              <w:bottom w:val="single" w:sz="8" w:color="auto"/>
            </w:tcBorders>
            <w:shd w:val="clear" w:color="auto" w:fill="CCEEFF"/>
          </w:tcPr>
          <w:p>
            <w:pPr>
              <w:jc w:val="right"/>
              <w:ind w:right="702"/>
              <w:spacing w:after="0" w:line="178" w:lineRule="exact"/>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w w:val="98"/>
              </w:rPr>
              <w:t>(2,298)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line="178"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Taxes</w:t>
            </w:r>
          </w:p>
        </w:tc>
        <w:tc>
          <w:tcPr>
            <w:tcW w:w="90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2,118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sectPr>
      </w:pPr>
    </w:p>
    <w:bookmarkStart w:id="9" w:name="page10"/>
    <w:bookmarkEnd w:id="9"/>
    <w:p>
      <w:pPr>
        <w:ind w:left="10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-173990</wp:posOffset>
            </wp:positionV>
            <wp:extent cx="65036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03670" cy="1714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65036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03670" cy="17145"/>
                    </a:xfrm>
                    <a:prstGeom prst="rect">
                      <a:avLst/>
                    </a:prstGeom>
                    <a:noFill/>
                  </pic:spPr>
                </pic:pic>
              </a:graphicData>
            </a:graphic>
          </wp:anchor>
        </w:drawing>
      </w: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27"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22"/>
          <w:szCs w:val="22"/>
          <w:color w:val="auto"/>
          <w:vertAlign w:val="superscript"/>
        </w:rPr>
        <w:t>®</w:t>
      </w:r>
      <w:r>
        <w:rPr>
          <w:rFonts w:ascii="Arial" w:cs="Arial" w:eastAsia="Arial" w:hAnsi="Arial"/>
          <w:sz w:val="18"/>
          <w:szCs w:val="18"/>
          <w:color w:val="auto"/>
        </w:rPr>
        <w:t>, a secured, digitally-driven nationwide credit card platform.</w:t>
      </w:r>
    </w:p>
    <w:p>
      <w:pPr>
        <w:spacing w:after="0" w:line="21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March 31, 2021, Church Street Capital had loans totaling $5.2 million.</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Risks and Uncertainties</w:t>
      </w:r>
    </w:p>
    <w:p>
      <w:pPr>
        <w:spacing w:after="0" w:line="20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has been, and may continue to be, impacted by the COVID-19 pandemic. In recent months, COVID-19 vaccination rates have been increasing and restrictive measures have been eased in certain areas. However, uncertainty remains about the duration of the pandemic and the timing and strength of the global economy’s recovery. To address the economic impact of the pandemic in the U.S., multiple stimulus packages have been enacted to provide economic relief to individuals and businesses, including the Coronavirus Aid, Relief and Economic Security Act (CARES Act), which established the Small Business Administration Paycheck Protection Program (“SBA-PPP”) and the American Rescue Plan Act of 2021 which was enacted in March 2021.</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the pandemic evolves, the Company continues to evaluate processes in place to execute our business continuity plan and promote the health and safety of our employees.</w:t>
      </w:r>
    </w:p>
    <w:p>
      <w:pPr>
        <w:spacing w:after="0" w:line="1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Although the macroeconomic and public health outlooks improved in the U.S. during the first quarter of 2021, the future direct and indirect impact of the pandemic on the Company’s businesses, results of operations and financial condition remains uncertain. Should current economic conditions deteriorate or if the pandemic worsens, including as the result of the spread of the more easily communicable variants of COVID-19, the macroeconomic environment could have an adverse effect on our businesses,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carrying value of certain assets and liabilities that are not readily available from other sources. Estimates are evaluated on an ongoing basis. Actual results may materially differ from these estimates under different assumptions or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w:t>
      </w:r>
    </w:p>
    <w:p>
      <w:pPr>
        <w:spacing w:after="0" w:line="20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207" w:lineRule="exact"/>
        <w:rPr>
          <w:sz w:val="20"/>
          <w:szCs w:val="20"/>
          <w:color w:val="auto"/>
        </w:rPr>
      </w:pPr>
    </w:p>
    <w:p>
      <w:pPr>
        <w:jc w:val="both"/>
        <w:ind w:firstLine="318"/>
        <w:spacing w:after="0" w:line="212"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elected to measure loans held for sale at fair value to better align reported results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economic changes in value of the loans on the Company’s balance sheet.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Small Business Administration Paycheck Protection Program (“SBA-PPP”) is one of the centerpieces of the Coronavirus Aid, Relief, and Economic Security Act (the “CARES Act”), which was passed on March 27, 2020 in response to the outbreak of coronavirus (“COVID-19”) and was supplemented with subsequent legislation. Overseen by the United States (“U.S.”) Treasury Department, the SBA-PPP offered cash-flow assistance to nonprofit and small business employers through guaranteed loans. Borrowers are eligible for forgiveness of principal and accrued interest on SBA-PPP loans to the extent that the proceeds are used to cover eligible payroll costs, interest costs, rent, and utility costs over a period between eight and 24-weeks after the loan is made as long as the borrower retains its employees and their compensation levels. The CARES Act authorized the SBA to fully guarantee these loans.</w:t>
      </w:r>
    </w:p>
    <w:p>
      <w:pPr>
        <w:spacing w:after="0" w:line="1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December 27, 2020, the Consolidated Appropriations Act, 2021 (“CAA”) was signed into law. The CAA provides several amendments to the SBA-PPP, including additional funding for the first and second draws of PPP loans up to March 13, 2021. On March 30, 2021, the PPP Extension Act of 2021 was signed into law, which extends the program to May 31, 2021.</w:t>
      </w:r>
    </w:p>
    <w:p>
      <w:pPr>
        <w:spacing w:after="0" w:line="20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March 31, 2021 totaled $272.1 million with $6.4 million of net unearned fees and generated interest income of $2.2 million for the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and/or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21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provides financial institutions optional temporary relief from TDR and impairment accounting for certain loan modifications related to the COVID-19 pandemic. Under Section 4013 of the CARES Act, banks may suspend (1) the requirement under GAAP for certain modifications that would otherwise be categorized as a TDR and (2) any determination that such loan modifications would be considered a TDR, including the related impairment for accounting purposes. To be eligible, each loan modification must be (1) related to the COVID-19 event; (2) executed on a loan that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not more than 30 days past due as of December 31, 2019; and (3) executed between March 1, 2020, and the earlier of (A) 60 days after the date of termination of the National Emergency or (B) December 31, 2020. The December 31, 2020 deadline was subsequently extended to January 1, 2022, by the CAA.</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or other delays in payment that are insignificant. Borrowers considered current are those that are less than 30 days past due on their contractual payments at the time a modification program is implemented.</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21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 losses, qualitative factors, and the potential COVID-19 impact can be found in Part II, Item 1A - Risk Factors and </w:t>
      </w:r>
      <w:r>
        <w:rPr>
          <w:rFonts w:ascii="Arial" w:cs="Arial" w:eastAsia="Arial" w:hAnsi="Arial"/>
          <w:sz w:val="17"/>
          <w:szCs w:val="17"/>
          <w:i w:val="1"/>
          <w:iCs w:val="1"/>
          <w:color w:val="auto"/>
        </w:rPr>
        <w:t>Note 5 - Portfolio Loans Receivable</w:t>
      </w:r>
      <w:r>
        <w:rPr>
          <w:rFonts w:ascii="Arial" w:cs="Arial" w:eastAsia="Arial" w:hAnsi="Arial"/>
          <w:sz w:val="17"/>
          <w:szCs w:val="17"/>
          <w:color w:val="auto"/>
        </w:rPr>
        <w:t>.</w:t>
      </w:r>
    </w:p>
    <w:p>
      <w:pPr>
        <w:spacing w:after="0" w:line="19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allowance for loan losses for SBA-PPP loans were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useful lives of the improvements, approximately ten years, or the term of the lease, whichever is less. Expenditures for maintenance, repairs, and minor replacements are charged to noninterest expenses as incurred.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17"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hierarchy defines Level 1 valuations as those based on quoted prices (unadjusted)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For the three months ended March 31, 2021 there were not any and for the three months ended March 31, 2020, there were 251,251 stock options, that were not included in the calculation as their effect would have been anti-dilutive.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only component of other comprehensive income is unrealized gains and losses on investment securities available for sale, net of income taxes. Information concerning the Company's accumulated other comprehensive income as of March 31, 2021 and December 31, 2020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December 31, 2020</w:t>
            </w:r>
          </w:p>
        </w:tc>
      </w:tr>
      <w:tr>
        <w:trPr>
          <w:trHeight w:val="208"/>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on securities available for sale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880" w:type="dxa"/>
            <w:vAlign w:val="bottom"/>
            <w:shd w:val="clear" w:color="auto" w:fill="CCEEFF"/>
          </w:tcPr>
          <w:p>
            <w:pPr>
              <w:jc w:val="center"/>
              <w:ind w:left="1501"/>
              <w:spacing w:after="0"/>
              <w:rPr>
                <w:sz w:val="20"/>
                <w:szCs w:val="20"/>
                <w:color w:val="auto"/>
              </w:rPr>
            </w:pPr>
            <w:r>
              <w:rPr>
                <w:rFonts w:ascii="Arial" w:cs="Arial" w:eastAsia="Arial" w:hAnsi="Arial"/>
                <w:sz w:val="16"/>
                <w:szCs w:val="16"/>
                <w:b w:val="1"/>
                <w:bCs w:val="1"/>
                <w:color w:val="auto"/>
              </w:rPr>
              <w:t>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r>
      <w:tr>
        <w:trPr>
          <w:trHeight w:val="212"/>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(benefit)</w:t>
            </w: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1481"/>
              <w:spacing w:after="0"/>
              <w:rPr>
                <w:sz w:val="20"/>
                <w:szCs w:val="20"/>
                <w:color w:val="auto"/>
              </w:rPr>
            </w:pPr>
            <w:r>
              <w:rPr>
                <w:rFonts w:ascii="Arial" w:cs="Arial" w:eastAsia="Arial" w:hAnsi="Arial"/>
                <w:sz w:val="16"/>
                <w:szCs w:val="16"/>
                <w:b w:val="1"/>
                <w:bCs w:val="1"/>
                <w:color w:val="auto"/>
                <w:w w:val="98"/>
              </w:rPr>
              <w:t>(21)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30"/>
        </w:trPr>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income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auto"/>
            </w:tcBorders>
            <w:shd w:val="clear" w:color="auto" w:fill="CCEEFF"/>
          </w:tcPr>
          <w:p>
            <w:pPr>
              <w:jc w:val="center"/>
              <w:ind w:left="1501"/>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The FASB subsequently revised ASU 2019-10, which delayed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reserve for credit losses. The Company is continuing to evaluate the extent of the potential impact and expects that portfolio composition and economic conditions at the time of adoption will be a factor.</w:t>
      </w:r>
    </w:p>
    <w:p>
      <w:pPr>
        <w:spacing w:after="0" w:line="20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to apply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 the amendments in ASU 2016-13. While the Company does not expect these amendments to have a material effect on its financial statements, the Company is continuing to evaluate the extent of the potential impact and expects that portfolio composition and economic conditions at the time of adoption will be a factor.</w:t>
      </w:r>
    </w:p>
    <w:p>
      <w:pPr>
        <w:spacing w:after="0" w:line="21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will apply the ASU through a cumulative-effect adjustment to beginning retained earnings in the year of adoption. While early adoption has been permitted since first quarter 2019, the Company does not expect to early adopt. In addition to the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The Company adopted the guidance during the first quarter of 2021 and it did not have a material impact on the Company’s financial statements.</w:t>
      </w:r>
    </w:p>
    <w:p>
      <w:pPr>
        <w:spacing w:after="0" w:line="20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the London Interbank Offered Rate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the ability to elect its temporary optional expedients and exceptions are effective for the Company as of March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2020 through December 31, 2022. The adoption of ASU 2020-04 Topic 848 is not expected to have a material impact on the Company’s financial statements.</w:t>
      </w:r>
    </w:p>
    <w:p>
      <w:pPr>
        <w:spacing w:after="0" w:line="20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or other delays in payment that are deemed insignificant. Borrowers considered current are those that are less than 30 days past due on their contractual payments at the time a modification program is implemented. As of March 31, 2021, the Company has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 It is not expected that this interagency guidance will have a material impact on the Company’s financial statements; however, this impact cannot be quantified at this time.</w:t>
      </w:r>
    </w:p>
    <w:p>
      <w:pPr>
        <w:spacing w:after="0" w:line="2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Cash and cash equivalents include cash and amounts due from banks, interest bearing deposits and federal funds sold. The Bank is required by regulations to maintain an average cash reserve balance based on a percentage of deposits. At March 31, 2021 and December 31, 2020, the requirements were satisfied by amounts on deposit with the Federal Reserve Bank and cash on hand.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-173990</wp:posOffset>
            </wp:positionV>
            <wp:extent cx="6537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653732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amortized cost and estimated fair value of investment securities at March 31, 2021 and December 31, 2020 are summarized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 thousands)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89"/>
              <w:spacing w:after="0" w:line="159"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20"/>
              <w:spacing w:after="0" w:line="15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89"/>
              <w:spacing w:after="0" w:line="15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09"/>
              <w:spacing w:after="0" w:line="15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35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ind w:left="180"/>
              <w:spacing w:after="0" w:line="146" w:lineRule="exact"/>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2"/>
                <w:szCs w:val="12"/>
                <w:color w:val="auto"/>
              </w:rPr>
            </w:pPr>
          </w:p>
        </w:tc>
        <w:tc>
          <w:tcPr>
            <w:tcW w:w="130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2"/>
                <w:szCs w:val="12"/>
                <w:color w:val="auto"/>
              </w:rPr>
            </w:pPr>
          </w:p>
        </w:tc>
        <w:tc>
          <w:tcPr>
            <w:tcW w:w="1340" w:type="dxa"/>
            <w:vAlign w:val="bottom"/>
            <w:gridSpan w:val="2"/>
          </w:tcPr>
          <w:p>
            <w:pPr>
              <w:ind w:left="100"/>
              <w:spacing w:after="0" w:line="146" w:lineRule="exact"/>
              <w:rPr>
                <w:sz w:val="20"/>
                <w:szCs w:val="20"/>
                <w:color w:val="auto"/>
              </w:rPr>
            </w:pPr>
            <w:r>
              <w:rPr>
                <w:rFonts w:ascii="Arial" w:cs="Arial" w:eastAsia="Arial" w:hAnsi="Arial"/>
                <w:sz w:val="14"/>
                <w:szCs w:val="14"/>
                <w:b w:val="1"/>
                <w:bCs w:val="1"/>
                <w:color w:val="auto"/>
              </w:rPr>
              <w:t>Losses</w:t>
            </w:r>
          </w:p>
        </w:tc>
        <w:tc>
          <w:tcPr>
            <w:tcW w:w="560" w:type="dxa"/>
            <w:vAlign w:val="bottom"/>
          </w:tcPr>
          <w:p>
            <w:pPr>
              <w:spacing w:after="0"/>
              <w:rPr>
                <w:sz w:val="12"/>
                <w:szCs w:val="12"/>
                <w:color w:val="auto"/>
              </w:rPr>
            </w:pPr>
          </w:p>
        </w:tc>
        <w:tc>
          <w:tcPr>
            <w:tcW w:w="980" w:type="dxa"/>
            <w:vAlign w:val="bottom"/>
          </w:tcPr>
          <w:p>
            <w:pPr>
              <w:jc w:val="right"/>
              <w:ind w:right="409"/>
              <w:spacing w:after="0" w:line="146"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35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b w:val="1"/>
                <w:bCs w:val="1"/>
                <w:i w:val="1"/>
                <w:iCs w:val="1"/>
                <w:color w:val="auto"/>
              </w:rPr>
              <w:t>Available for sale</w:t>
            </w:r>
          </w:p>
        </w:tc>
        <w:tc>
          <w:tcPr>
            <w:tcW w:w="5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10,834</w:t>
            </w:r>
          </w:p>
        </w:tc>
        <w:tc>
          <w:tcPr>
            <w:tcW w:w="12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12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10,670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100,980</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1,396</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(983)</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101,3</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358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127,984</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1,524</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(1,485)</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4"/>
                <w:szCs w:val="14"/>
                <w:i w:val="1"/>
                <w:iCs w:val="1"/>
                <w:color w:val="auto"/>
              </w:rPr>
              <w:t>Available for sale</w:t>
            </w: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10,836</w:t>
            </w:r>
          </w:p>
        </w:tc>
        <w:tc>
          <w:tcPr>
            <w:tcW w:w="12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10,839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70,016</w:t>
            </w:r>
          </w:p>
        </w:tc>
        <w:tc>
          <w:tcPr>
            <w:tcW w:w="1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358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97,450</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securities sold during the three months ended March 31, 2021.</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Information related to unrealized losses in the investment portfolio as of March 31, 2021 and December 31, 2020 is summarized as follows: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200" w:type="dxa"/>
            <w:vAlign w:val="bottom"/>
            <w:gridSpan w:val="4"/>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6"/>
                <w:szCs w:val="16"/>
                <w:color w:val="auto"/>
              </w:rPr>
            </w:pPr>
          </w:p>
        </w:tc>
        <w:tc>
          <w:tcPr>
            <w:tcW w:w="2460" w:type="dxa"/>
            <w:vAlign w:val="bottom"/>
            <w:gridSpan w:val="5"/>
          </w:tcPr>
          <w:p>
            <w:pPr>
              <w:ind w:left="400"/>
              <w:spacing w:after="0"/>
              <w:rPr>
                <w:sz w:val="20"/>
                <w:szCs w:val="20"/>
                <w:color w:val="auto"/>
              </w:rPr>
            </w:pPr>
            <w:r>
              <w:rPr>
                <w:rFonts w:ascii="Arial" w:cs="Arial" w:eastAsia="Arial" w:hAnsi="Arial"/>
                <w:sz w:val="14"/>
                <w:szCs w:val="14"/>
                <w:b w:val="1"/>
                <w:bCs w:val="1"/>
                <w:color w:val="auto"/>
              </w:rPr>
              <w:t>Less than 12 months</w:t>
            </w:r>
          </w:p>
        </w:tc>
        <w:tc>
          <w:tcPr>
            <w:tcW w:w="420" w:type="dxa"/>
            <w:vAlign w:val="bottom"/>
          </w:tcPr>
          <w:p>
            <w:pPr>
              <w:spacing w:after="0"/>
              <w:rPr>
                <w:sz w:val="16"/>
                <w:szCs w:val="16"/>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longer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240"/>
              <w:spacing w:after="0" w:line="139" w:lineRule="exact"/>
              <w:rPr>
                <w:sz w:val="20"/>
                <w:szCs w:val="20"/>
                <w:color w:val="auto"/>
              </w:rPr>
            </w:pPr>
            <w:r>
              <w:rPr>
                <w:rFonts w:ascii="Arial" w:cs="Arial" w:eastAsia="Arial" w:hAnsi="Arial"/>
                <w:sz w:val="14"/>
                <w:szCs w:val="14"/>
                <w:b w:val="1"/>
                <w:bCs w:val="1"/>
                <w:color w:val="auto"/>
              </w:rPr>
              <w:t>Fair</w:t>
            </w: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09"/>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20"/>
              <w:spacing w:after="0" w:line="139" w:lineRule="exact"/>
              <w:rPr>
                <w:sz w:val="20"/>
                <w:szCs w:val="20"/>
                <w:color w:val="auto"/>
              </w:rPr>
            </w:pPr>
            <w:r>
              <w:rPr>
                <w:rFonts w:ascii="Arial" w:cs="Arial" w:eastAsia="Arial" w:hAnsi="Arial"/>
                <w:sz w:val="14"/>
                <w:szCs w:val="14"/>
                <w:b w:val="1"/>
                <w:bCs w:val="1"/>
                <w:color w:val="auto"/>
              </w:rPr>
              <w:t>Fair</w:t>
            </w: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100"/>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2"/>
                <w:szCs w:val="12"/>
                <w:color w:val="auto"/>
              </w:rPr>
            </w:pPr>
          </w:p>
        </w:tc>
        <w:tc>
          <w:tcPr>
            <w:tcW w:w="10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2"/>
                <w:szCs w:val="12"/>
                <w:color w:val="auto"/>
              </w:rPr>
            </w:pPr>
          </w:p>
        </w:tc>
        <w:tc>
          <w:tcPr>
            <w:tcW w:w="9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2"/>
                <w:szCs w:val="12"/>
                <w:color w:val="auto"/>
              </w:rPr>
            </w:pPr>
          </w:p>
        </w:tc>
        <w:tc>
          <w:tcPr>
            <w:tcW w:w="114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2"/>
                <w:szCs w:val="12"/>
                <w:color w:val="auto"/>
              </w:rPr>
            </w:pPr>
          </w:p>
        </w:tc>
        <w:tc>
          <w:tcPr>
            <w:tcW w:w="860" w:type="dxa"/>
            <w:vAlign w:val="bottom"/>
          </w:tcPr>
          <w:p>
            <w:pPr>
              <w:jc w:val="right"/>
              <w:ind w:right="389"/>
              <w:spacing w:after="0" w:line="146"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09"/>
              <w:spacing w:after="0" w:line="146" w:lineRule="exact"/>
              <w:rPr>
                <w:sz w:val="20"/>
                <w:szCs w:val="20"/>
                <w:color w:val="auto"/>
              </w:rPr>
            </w:pPr>
            <w:r>
              <w:rPr>
                <w:rFonts w:ascii="Arial" w:cs="Arial" w:eastAsia="Arial" w:hAnsi="Arial"/>
                <w:sz w:val="14"/>
                <w:szCs w:val="14"/>
                <w:b w:val="1"/>
                <w:bCs w:val="1"/>
                <w:color w:val="auto"/>
                <w:w w:val="99"/>
              </w:rPr>
              <w:t>Losses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2200" w:type="dxa"/>
            <w:vAlign w:val="bottom"/>
            <w:gridSpan w:val="4"/>
          </w:tcPr>
          <w:p>
            <w:pPr>
              <w:spacing w:after="0"/>
              <w:rPr>
                <w:sz w:val="20"/>
                <w:szCs w:val="20"/>
                <w:color w:val="auto"/>
              </w:rPr>
            </w:pPr>
            <w:r>
              <w:rPr>
                <w:rFonts w:ascii="Arial" w:cs="Arial" w:eastAsia="Arial" w:hAnsi="Arial"/>
                <w:sz w:val="14"/>
                <w:szCs w:val="14"/>
                <w:color w:val="auto"/>
              </w:rPr>
              <w:t>Municipal</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9,900</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69"/>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9,900</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Corporate</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3,427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200" w:type="dxa"/>
            <w:vAlign w:val="bottom"/>
            <w:gridSpan w:val="4"/>
          </w:tcPr>
          <w:p>
            <w:pPr>
              <w:spacing w:after="0"/>
              <w:rPr>
                <w:sz w:val="20"/>
                <w:szCs w:val="20"/>
                <w:color w:val="auto"/>
              </w:rPr>
            </w:pPr>
            <w:r>
              <w:rPr>
                <w:rFonts w:ascii="Arial" w:cs="Arial" w:eastAsia="Arial" w:hAnsi="Arial"/>
                <w:sz w:val="14"/>
                <w:szCs w:val="14"/>
                <w:color w:val="auto"/>
              </w:rPr>
              <w:t>Asset-backed securities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4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Mortgage-backed securities</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58,008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58,008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200" w:type="dxa"/>
            <w:vAlign w:val="bottom"/>
            <w:gridSpan w:val="4"/>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75,023</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(1,485)</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center"/>
              <w:ind w:left="669"/>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75,023</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Municipal</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200" w:type="dxa"/>
            <w:vAlign w:val="bottom"/>
            <w:gridSpan w:val="4"/>
          </w:tcPr>
          <w:p>
            <w:pPr>
              <w:spacing w:after="0"/>
              <w:rPr>
                <w:sz w:val="20"/>
                <w:szCs w:val="20"/>
                <w:color w:val="auto"/>
              </w:rPr>
            </w:pPr>
            <w:r>
              <w:rPr>
                <w:rFonts w:ascii="Arial" w:cs="Arial" w:eastAsia="Arial" w:hAnsi="Arial"/>
                <w:sz w:val="14"/>
                <w:szCs w:val="14"/>
                <w:color w:val="auto"/>
              </w:rPr>
              <w:t>Corporate</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center"/>
              <w:ind w:left="649"/>
              <w:spacing w:after="0"/>
              <w:rPr>
                <w:sz w:val="20"/>
                <w:szCs w:val="20"/>
                <w:color w:val="auto"/>
              </w:rPr>
            </w:pPr>
            <w:r>
              <w:rPr>
                <w:rFonts w:ascii="Arial" w:cs="Arial" w:eastAsia="Arial" w:hAnsi="Arial"/>
                <w:sz w:val="14"/>
                <w:szCs w:val="14"/>
                <w:color w:val="auto"/>
                <w:w w:val="96"/>
              </w:rPr>
              <w:t>(16)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254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Mortgage-backed securities</w:t>
            </w: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200" w:type="dxa"/>
            <w:vAlign w:val="bottom"/>
            <w:gridSpan w:val="4"/>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7,555</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649"/>
              <w:spacing w:after="0"/>
              <w:rPr>
                <w:sz w:val="20"/>
                <w:szCs w:val="20"/>
                <w:color w:val="auto"/>
              </w:rPr>
            </w:pPr>
            <w:r>
              <w:rPr>
                <w:rFonts w:ascii="Arial" w:cs="Arial" w:eastAsia="Arial" w:hAnsi="Arial"/>
                <w:sz w:val="14"/>
                <w:szCs w:val="14"/>
                <w:color w:val="auto"/>
                <w:w w:val="96"/>
              </w:rPr>
              <w:t>(16)</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7,799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At March 31, 2021 and December 31, 2020, there were no securities that had been in an unrealized loss position for greater than twelve months. Management believes that the unrealized loss at March 31, 2021 resulted from changes in the interest rates and current market conditions and not as a result of credit deterioration. Management has the ability and the intent to hold these investment securities until maturity or until they recover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18" w:name="page19"/>
    <w:bookmarkEnd w:id="18"/>
    <w:p>
      <w:pPr>
        <w:ind w:left="6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-173990</wp:posOffset>
            </wp:positionV>
            <wp:extent cx="653732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6350</wp:posOffset>
            </wp:positionV>
            <wp:extent cx="6537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pledged securities at March 31, 2021 and December 31, 2020 is shown below:</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Pledged Securities</w:t>
      </w:r>
    </w:p>
    <w:p>
      <w:pPr>
        <w:spacing w:after="0" w:line="3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60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2400" w:type="dxa"/>
            <w:vAlign w:val="bottom"/>
            <w:gridSpan w:val="4"/>
          </w:tcPr>
          <w:p>
            <w:pPr>
              <w:jc w:val="right"/>
              <w:ind w:right="589"/>
              <w:spacing w:after="0"/>
              <w:rPr>
                <w:sz w:val="20"/>
                <w:szCs w:val="20"/>
                <w:color w:val="auto"/>
              </w:rPr>
            </w:pPr>
            <w:r>
              <w:rPr>
                <w:rFonts w:ascii="Arial" w:cs="Arial" w:eastAsia="Arial" w:hAnsi="Arial"/>
                <w:sz w:val="14"/>
                <w:szCs w:val="14"/>
                <w:b w:val="1"/>
                <w:bCs w:val="1"/>
                <w:color w:val="auto"/>
              </w:rPr>
              <w:t>December 31, 2020</w:t>
            </w:r>
          </w:p>
        </w:tc>
      </w:tr>
      <w:tr>
        <w:trPr>
          <w:trHeight w:val="139"/>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89"/>
              <w:spacing w:after="0" w:line="13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9"/>
              </w:rPr>
              <w:t>Amortized</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89"/>
              <w:spacing w:after="0" w:line="139" w:lineRule="exact"/>
              <w:rPr>
                <w:sz w:val="20"/>
                <w:szCs w:val="20"/>
                <w:color w:val="auto"/>
              </w:rPr>
            </w:pPr>
            <w:r>
              <w:rPr>
                <w:rFonts w:ascii="Arial" w:cs="Arial" w:eastAsia="Arial" w:hAnsi="Arial"/>
                <w:sz w:val="14"/>
                <w:szCs w:val="14"/>
                <w:b w:val="1"/>
                <w:bCs w:val="1"/>
                <w:color w:val="auto"/>
              </w:rPr>
              <w:t>Fair</w:t>
            </w:r>
          </w:p>
        </w:tc>
      </w:tr>
      <w:tr>
        <w:trPr>
          <w:trHeight w:val="17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Value</w:t>
            </w:r>
          </w:p>
        </w:tc>
      </w:tr>
      <w:tr>
        <w:trPr>
          <w:trHeight w:val="17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Home Loan Bank</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1,189</w:t>
            </w:r>
          </w:p>
        </w:tc>
      </w:tr>
    </w:tbl>
    <w:p>
      <w:pPr>
        <w:spacing w:after="0" w:line="304" w:lineRule="exact"/>
        <w:rPr>
          <w:sz w:val="20"/>
          <w:szCs w:val="20"/>
          <w:color w:val="auto"/>
        </w:rPr>
      </w:pPr>
    </w:p>
    <w:p>
      <w:pPr>
        <w:jc w:val="both"/>
        <w:ind w:left="100" w:firstLine="318"/>
        <w:spacing w:after="0" w:line="248" w:lineRule="auto"/>
        <w:rPr>
          <w:sz w:val="20"/>
          <w:szCs w:val="20"/>
          <w:color w:val="auto"/>
        </w:rPr>
      </w:pPr>
      <w:r>
        <w:rPr>
          <w:rFonts w:ascii="Arial" w:cs="Arial" w:eastAsia="Arial" w:hAnsi="Arial"/>
          <w:sz w:val="18"/>
          <w:szCs w:val="18"/>
          <w:color w:val="auto"/>
        </w:rPr>
        <w:t>Contractual maturities of U.S. government-sponsored enterprises, municipals and corporate securities at March 31, 2021 and December 31, 2020 are shown below. Actual maturities will differ from contractual maturities because borrowers may have the right to call or prepay obligations with or without call premiums or prepayment penalties.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ntractual Maturities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8"/>
              </w:rPr>
              <w:t>March 31, 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ind w:left="100"/>
              <w:spacing w:after="0" w:line="139" w:lineRule="exact"/>
              <w:rPr>
                <w:sz w:val="20"/>
                <w:szCs w:val="20"/>
                <w:color w:val="auto"/>
              </w:rPr>
            </w:pPr>
            <w:r>
              <w:rPr>
                <w:rFonts w:ascii="Arial" w:cs="Arial" w:eastAsia="Arial" w:hAnsi="Arial"/>
                <w:sz w:val="14"/>
                <w:szCs w:val="14"/>
                <w:b w:val="1"/>
                <w:bCs w:val="1"/>
                <w:color w:val="auto"/>
              </w:rPr>
              <w:t>Amortized</w:t>
            </w:r>
          </w:p>
        </w:tc>
        <w:tc>
          <w:tcPr>
            <w:tcW w:w="900" w:type="dxa"/>
            <w:vAlign w:val="bottom"/>
          </w:tcPr>
          <w:p>
            <w:pPr>
              <w:jc w:val="right"/>
              <w:ind w:right="549"/>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0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Amortized</w:t>
            </w:r>
          </w:p>
        </w:tc>
        <w:tc>
          <w:tcPr>
            <w:tcW w:w="1200" w:type="dxa"/>
            <w:vAlign w:val="bottom"/>
          </w:tcPr>
          <w:p>
            <w:pPr>
              <w:jc w:val="right"/>
              <w:ind w:right="549"/>
              <w:spacing w:after="0" w:line="13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Arial" w:cs="Arial" w:eastAsia="Arial" w:hAnsi="Arial"/>
                <w:sz w:val="11"/>
                <w:szCs w:val="11"/>
                <w:color w:val="auto"/>
              </w:rPr>
              <w:t>housands)</w:t>
            </w: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ind w:left="4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Cost</w:t>
            </w:r>
          </w:p>
        </w:tc>
        <w:tc>
          <w:tcPr>
            <w:tcW w:w="1200" w:type="dxa"/>
            <w:vAlign w:val="bottom"/>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gridSpan w:val="2"/>
          </w:tcPr>
          <w:p>
            <w:pPr>
              <w:spacing w:after="0"/>
              <w:rPr>
                <w:sz w:val="20"/>
                <w:szCs w:val="20"/>
                <w:color w:val="auto"/>
              </w:rPr>
            </w:pPr>
            <w:r>
              <w:rPr>
                <w:rFonts w:ascii="Arial" w:cs="Arial" w:eastAsia="Arial" w:hAnsi="Arial"/>
                <w:sz w:val="14"/>
                <w:szCs w:val="14"/>
                <w:color w:val="auto"/>
              </w:rPr>
              <w:t>hin one year</w:t>
            </w:r>
          </w:p>
        </w:tc>
        <w:tc>
          <w:tcPr>
            <w:tcW w:w="2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40" w:type="dxa"/>
            <w:vAlign w:val="bottom"/>
            <w:vMerge w:val="continue"/>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vMerge w:val="continue"/>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one to five years</w:t>
            </w: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40" w:type="dxa"/>
            <w:vAlign w:val="bottom"/>
            <w:gridSpan w:val="2"/>
          </w:tcPr>
          <w:p>
            <w:pPr>
              <w:spacing w:after="0"/>
              <w:rPr>
                <w:sz w:val="20"/>
                <w:szCs w:val="20"/>
                <w:color w:val="auto"/>
              </w:rPr>
            </w:pPr>
            <w:r>
              <w:rPr>
                <w:rFonts w:ascii="Arial" w:cs="Arial" w:eastAsia="Arial" w:hAnsi="Arial"/>
                <w:sz w:val="14"/>
                <w:szCs w:val="14"/>
                <w:color w:val="auto"/>
              </w:rPr>
              <w:t>er five to ten years</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5,500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5,444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ten years</w:t>
            </w: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21,186</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22,051</w:t>
            </w: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line="186" w:lineRule="exact"/>
              <w:rPr>
                <w:sz w:val="20"/>
                <w:szCs w:val="20"/>
                <w:color w:val="auto"/>
              </w:rPr>
            </w:pPr>
            <w:r>
              <w:rPr>
                <w:rFonts w:ascii="Arial" w:cs="Arial" w:eastAsia="Arial" w:hAnsi="Arial"/>
                <w:sz w:val="14"/>
                <w:szCs w:val="14"/>
                <w:color w:val="auto"/>
              </w:rPr>
              <w:t>rtgage-backed securities</w:t>
            </w:r>
            <w:r>
              <w:rPr>
                <w:rFonts w:ascii="Arial" w:cs="Arial" w:eastAsia="Arial" w:hAnsi="Arial"/>
                <w:sz w:val="18"/>
                <w:szCs w:val="18"/>
                <w:color w:val="auto"/>
                <w:vertAlign w:val="superscript"/>
              </w:rPr>
              <w:t>(1)</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100,980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101,393</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0" w:type="dxa"/>
            <w:vAlign w:val="bottom"/>
          </w:tcPr>
          <w:p>
            <w:pPr>
              <w:spacing w:after="0"/>
              <w:rPr>
                <w:sz w:val="1"/>
                <w:szCs w:val="1"/>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4"/>
                <w:szCs w:val="14"/>
                <w:color w:val="auto"/>
              </w:rPr>
              <w:t>otal</w:t>
            </w:r>
          </w:p>
        </w:tc>
        <w:tc>
          <w:tcPr>
            <w:tcW w:w="2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127,984$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128,023</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97,450$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-159385</wp:posOffset>
            </wp:positionV>
            <wp:extent cx="6915785"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15785" cy="142875"/>
                    </a:xfrm>
                    <a:prstGeom prst="rect">
                      <a:avLst/>
                    </a:prstGeom>
                    <a:noFill/>
                  </pic:spPr>
                </pic:pic>
              </a:graphicData>
            </a:graphic>
          </wp:anchor>
        </w:drawing>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w:t>
      </w:r>
    </w:p>
    <w:p>
      <w:pPr>
        <w:ind w:left="260" w:hanging="154"/>
        <w:spacing w:after="0"/>
        <w:tabs>
          <w:tab w:leader="none" w:pos="260" w:val="left"/>
        </w:tabs>
        <w:numPr>
          <w:ilvl w:val="0"/>
          <w:numId w:val="3"/>
        </w:numPr>
        <w:rPr>
          <w:rFonts w:ascii="Arial" w:cs="Arial" w:eastAsia="Arial" w:hAnsi="Arial"/>
          <w:sz w:val="7"/>
          <w:szCs w:val="7"/>
          <w:color w:val="auto"/>
        </w:rPr>
      </w:pPr>
      <w:r>
        <w:rPr>
          <w:rFonts w:ascii="Arial" w:cs="Arial" w:eastAsia="Arial" w:hAnsi="Arial"/>
          <w:sz w:val="11"/>
          <w:szCs w:val="11"/>
          <w:color w:val="auto"/>
        </w:rPr>
        <w:t>Mortgage-backed securities contractually repay in monthly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243205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220" w:top="604"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two and five year terms, and carry a 100% guarantee of the SBA.</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19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SBA-PPP loans receivable, totaled $272.1 million at March 31, 2021, and $204.9 million at December 31, 2020, and were all rated as pass credits, not past due, nonaccrual, TDR, or otherwise impaired. Unearned net fees associated with the SBA-PPP loans amounted to $6.4 million at March 31, 2021 compared to $3.9 million at December 31, 2020. There were no outstanding commitments to extend additional SBA-PPP loans at March 31,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Portfolio Loan Categories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600" w:type="dxa"/>
            <w:vAlign w:val="bottom"/>
          </w:tcPr>
          <w:p>
            <w:pPr>
              <w:spacing w:after="0"/>
              <w:rPr>
                <w:sz w:val="16"/>
                <w:szCs w:val="16"/>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tcPr>
          <w:p>
            <w:pPr>
              <w:spacing w:after="0"/>
              <w:rPr>
                <w:sz w:val="16"/>
                <w:szCs w:val="16"/>
                <w:color w:val="auto"/>
              </w:rPr>
            </w:pPr>
          </w:p>
        </w:tc>
        <w:tc>
          <w:tcPr>
            <w:tcW w:w="1560" w:type="dxa"/>
            <w:vAlign w:val="bottom"/>
          </w:tcPr>
          <w:p>
            <w:pPr>
              <w:jc w:val="right"/>
              <w:ind w:right="10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6580" w:type="dxa"/>
            <w:vAlign w:val="bottom"/>
          </w:tcPr>
          <w:p>
            <w:pPr>
              <w:ind w:left="340"/>
              <w:spacing w:after="0"/>
              <w:rPr>
                <w:sz w:val="20"/>
                <w:szCs w:val="20"/>
                <w:color w:val="auto"/>
              </w:rPr>
            </w:pPr>
            <w:r>
              <w:rPr>
                <w:rFonts w:ascii="Arial" w:cs="Arial" w:eastAsia="Arial" w:hAnsi="Arial"/>
                <w:sz w:val="16"/>
                <w:szCs w:val="16"/>
                <w:color w:val="auto"/>
              </w:rPr>
              <w:t>Real estate:</w:t>
            </w:r>
          </w:p>
        </w:tc>
        <w:tc>
          <w:tcPr>
            <w:tcW w:w="6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5"/>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Residential</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420,461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437,86</w:t>
            </w:r>
          </w:p>
        </w:tc>
      </w:tr>
      <w:tr>
        <w:trPr>
          <w:trHeight w:val="212"/>
        </w:trPr>
        <w:tc>
          <w:tcPr>
            <w:tcW w:w="6580" w:type="dxa"/>
            <w:vAlign w:val="bottom"/>
          </w:tcPr>
          <w:p>
            <w:pPr>
              <w:ind w:left="46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433,336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392,55</w:t>
            </w:r>
          </w:p>
        </w:tc>
      </w:tr>
      <w:tr>
        <w:trPr>
          <w:trHeight w:val="212"/>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Construction</w:t>
            </w: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221,277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w:t>
            </w:r>
          </w:p>
        </w:tc>
      </w:tr>
      <w:tr>
        <w:trPr>
          <w:trHeight w:val="212"/>
        </w:trPr>
        <w:tc>
          <w:tcPr>
            <w:tcW w:w="6580" w:type="dxa"/>
            <w:vAlign w:val="bottom"/>
          </w:tcPr>
          <w:p>
            <w:pPr>
              <w:ind w:left="34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Arial" w:cs="Arial" w:eastAsia="Arial" w:hAnsi="Arial"/>
                <w:sz w:val="16"/>
                <w:szCs w:val="16"/>
                <w:b w:val="1"/>
                <w:bCs w:val="1"/>
                <w:color w:val="auto"/>
              </w:rPr>
              <w:t>149,914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157,12</w:t>
            </w:r>
          </w:p>
        </w:tc>
      </w:tr>
      <w:tr>
        <w:trPr>
          <w:trHeight w:val="212"/>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Credit card</w:t>
            </w: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83,740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w:t>
            </w:r>
          </w:p>
        </w:tc>
      </w:tr>
      <w:tr>
        <w:trPr>
          <w:trHeight w:val="212"/>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consumer</w:t>
            </w:r>
          </w:p>
        </w:tc>
        <w:tc>
          <w:tcPr>
            <w:tcW w:w="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4,487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05"/>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Portfolio loans receivable, gross</w:t>
            </w:r>
          </w:p>
        </w:tc>
        <w:tc>
          <w:tcPr>
            <w:tcW w:w="6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1,313,215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1,316,27</w:t>
            </w:r>
          </w:p>
        </w:tc>
      </w:tr>
      <w:tr>
        <w:trPr>
          <w:trHeight w:val="212"/>
        </w:trPr>
        <w:tc>
          <w:tcPr>
            <w:tcW w:w="6580" w:type="dxa"/>
            <w:vAlign w:val="bottom"/>
          </w:tcPr>
          <w:p>
            <w:pPr>
              <w:ind w:left="340"/>
              <w:spacing w:after="0"/>
              <w:rPr>
                <w:sz w:val="20"/>
                <w:szCs w:val="20"/>
                <w:color w:val="auto"/>
              </w:rPr>
            </w:pPr>
            <w:r>
              <w:rPr>
                <w:rFonts w:ascii="Arial" w:cs="Arial" w:eastAsia="Arial" w:hAnsi="Arial"/>
                <w:sz w:val="16"/>
                <w:szCs w:val="16"/>
                <w:color w:val="auto"/>
              </w:rPr>
              <w:t>Deferred origination fees, net</w:t>
            </w:r>
          </w:p>
        </w:tc>
        <w:tc>
          <w:tcPr>
            <w:tcW w:w="6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(840)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2"/>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loan losses</w:t>
            </w:r>
          </w:p>
        </w:tc>
        <w:tc>
          <w:tcPr>
            <w:tcW w:w="6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(23,550)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r>
      <w:tr>
        <w:trPr>
          <w:trHeight w:val="205"/>
        </w:trPr>
        <w:tc>
          <w:tcPr>
            <w:tcW w:w="6580" w:type="dxa"/>
            <w:vAlign w:val="bottom"/>
          </w:tcPr>
          <w:p>
            <w:pPr>
              <w:ind w:left="460"/>
              <w:spacing w:after="0"/>
              <w:rPr>
                <w:sz w:val="20"/>
                <w:szCs w:val="20"/>
                <w:color w:val="auto"/>
              </w:rPr>
            </w:pPr>
            <w:r>
              <w:rPr>
                <w:rFonts w:ascii="Arial" w:cs="Arial" w:eastAsia="Arial" w:hAnsi="Arial"/>
                <w:sz w:val="16"/>
                <w:szCs w:val="16"/>
                <w:color w:val="auto"/>
              </w:rPr>
              <w:t>Portfolio loans receivable, net</w:t>
            </w: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1,288,825</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1,292,06</w:t>
            </w:r>
          </w:p>
        </w:tc>
      </w:tr>
      <w:tr>
        <w:trPr>
          <w:trHeight w:val="20"/>
        </w:trPr>
        <w:tc>
          <w:tcPr>
            <w:tcW w:w="6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8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Residential real estate loans have represented a stable and growing portion of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March 31, 2021, there were approximately $236.4 million of owner-occupied commercial real estate loans, representing approximately 54.6% of the commercial real estate portfolio.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somewhat diverse in terms and type. This diversity may help reduce the exposure to adverse economic events that affect any single industry.</w:t>
      </w:r>
    </w:p>
    <w:p>
      <w:pPr>
        <w:spacing w:after="0" w:line="19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monitored as well as trends of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5"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provides credit cards on a nationwide basis to under-banked populations and those looking</w:t>
      </w:r>
      <w:r>
        <w:rPr>
          <w:rFonts w:ascii="Arial" w:cs="Arial" w:eastAsia="Arial" w:hAnsi="Arial"/>
          <w:sz w:val="18"/>
          <w:szCs w:val="18"/>
          <w:i w:val="1"/>
          <w:iCs w:val="1"/>
          <w:color w:val="auto"/>
        </w:rPr>
        <w:t xml:space="preserve"> </w:t>
      </w:r>
      <w:r>
        <w:rPr>
          <w:rFonts w:ascii="Arial" w:cs="Arial" w:eastAsia="Arial" w:hAnsi="Arial"/>
          <w:sz w:val="18"/>
          <w:szCs w:val="18"/>
          <w:color w:val="auto"/>
        </w:rPr>
        <w:t>to rebuild their credit scores through a fully digital and mobile platform. Most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$83.1 million and $98.5 million of the credit card balances were secured by savings deposits held by the Company as of March 31, 2021 and December 31, 2020, respectively.</w:t>
      </w:r>
    </w:p>
    <w:p>
      <w:pPr>
        <w:spacing w:after="0" w:line="195"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term loans, car loans or boat loans are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was $285 thousand as of March 31, 2021 and December 31, 2020. Loans with nonaccretable discounts had carrying values of $831 thousand and $836 thousand as of March 31, 2021 and December 31, 2020,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For the Three Months Ended</w:t>
            </w:r>
          </w:p>
        </w:tc>
      </w:tr>
      <w:tr>
        <w:trPr>
          <w:trHeight w:val="179"/>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5"/>
                <w:szCs w:val="15"/>
                <w:color w:val="auto"/>
              </w:rPr>
            </w:pPr>
          </w:p>
        </w:tc>
        <w:tc>
          <w:tcPr>
            <w:tcW w:w="1300" w:type="dxa"/>
            <w:vAlign w:val="bottom"/>
          </w:tcPr>
          <w:p>
            <w:pPr>
              <w:ind w:left="80"/>
              <w:spacing w:after="0"/>
              <w:rPr>
                <w:sz w:val="20"/>
                <w:szCs w:val="20"/>
                <w:color w:val="auto"/>
              </w:rPr>
            </w:pPr>
            <w:r>
              <w:rPr>
                <w:rFonts w:ascii="Arial" w:cs="Arial" w:eastAsia="Arial" w:hAnsi="Arial"/>
                <w:sz w:val="14"/>
                <w:szCs w:val="14"/>
                <w:b w:val="1"/>
                <w:bCs w:val="1"/>
                <w:color w:val="auto"/>
              </w:rPr>
              <w:t>March 31, 2020</w:t>
            </w:r>
          </w:p>
        </w:tc>
      </w:tr>
      <w:tr>
        <w:trPr>
          <w:trHeight w:val="17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center"/>
              <w:ind w:left="869"/>
              <w:spacing w:after="0"/>
              <w:rPr>
                <w:sz w:val="20"/>
                <w:szCs w:val="20"/>
                <w:color w:val="auto"/>
              </w:rPr>
            </w:pPr>
            <w:r>
              <w:rPr>
                <w:rFonts w:ascii="Arial" w:cs="Arial" w:eastAsia="Arial" w:hAnsi="Arial"/>
                <w:sz w:val="14"/>
                <w:szCs w:val="14"/>
                <w:color w:val="auto"/>
              </w:rPr>
              <w:t>429</w:t>
            </w:r>
          </w:p>
        </w:tc>
      </w:tr>
      <w:tr>
        <w:trPr>
          <w:trHeight w:val="186"/>
        </w:trPr>
        <w:tc>
          <w:tcPr>
            <w:tcW w:w="8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Accretion and payoff of loans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849"/>
              <w:spacing w:after="0"/>
              <w:rPr>
                <w:sz w:val="20"/>
                <w:szCs w:val="20"/>
                <w:color w:val="auto"/>
              </w:rPr>
            </w:pPr>
            <w:r>
              <w:rPr>
                <w:rFonts w:ascii="Arial" w:cs="Arial" w:eastAsia="Arial" w:hAnsi="Arial"/>
                <w:sz w:val="14"/>
                <w:szCs w:val="14"/>
                <w:color w:val="auto"/>
              </w:rPr>
              <w:t>(196)</w:t>
            </w:r>
          </w:p>
        </w:tc>
      </w:tr>
      <w:tr>
        <w:trPr>
          <w:trHeight w:val="20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center"/>
              <w:ind w:left="869"/>
              <w:spacing w:after="0"/>
              <w:rPr>
                <w:sz w:val="20"/>
                <w:szCs w:val="20"/>
                <w:color w:val="auto"/>
              </w:rPr>
            </w:pPr>
            <w:r>
              <w:rPr>
                <w:rFonts w:ascii="Arial" w:cs="Arial" w:eastAsia="Arial" w:hAnsi="Arial"/>
                <w:sz w:val="14"/>
                <w:szCs w:val="14"/>
                <w:color w:val="auto"/>
              </w:rPr>
              <w:t>233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months ended March 31, 2021 and March 31, 2020.</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Allowance for Loan Losses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 thousands)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9"/>
              </w:rPr>
              <w:t>Three Months Ended March 31, 2021</w:t>
            </w:r>
          </w:p>
        </w:tc>
        <w:tc>
          <w:tcPr>
            <w:tcW w:w="9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Beginning</w:t>
            </w:r>
          </w:p>
        </w:tc>
        <w:tc>
          <w:tcPr>
            <w:tcW w:w="4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Provision for</w:t>
            </w:r>
          </w:p>
        </w:tc>
        <w:tc>
          <w:tcPr>
            <w:tcW w:w="4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Charge-Offs</w:t>
            </w:r>
          </w:p>
        </w:tc>
        <w:tc>
          <w:tcPr>
            <w:tcW w:w="4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4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2440" w:type="dxa"/>
            <w:vAlign w:val="bottom"/>
            <w:tcBorders>
              <w:bottom w:val="single" w:sz="8" w:color="auto"/>
            </w:tcBorders>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Balance</w:t>
            </w:r>
          </w:p>
        </w:tc>
        <w:tc>
          <w:tcPr>
            <w:tcW w:w="1480" w:type="dxa"/>
            <w:vAlign w:val="bottom"/>
            <w:gridSpan w:val="3"/>
          </w:tcPr>
          <w:p>
            <w:pPr>
              <w:ind w:left="260"/>
              <w:spacing w:after="0" w:line="146" w:lineRule="exact"/>
              <w:rPr>
                <w:sz w:val="20"/>
                <w:szCs w:val="20"/>
                <w:color w:val="auto"/>
              </w:rPr>
            </w:pPr>
            <w:r>
              <w:rPr>
                <w:rFonts w:ascii="Arial" w:cs="Arial" w:eastAsia="Arial" w:hAnsi="Arial"/>
                <w:sz w:val="14"/>
                <w:szCs w:val="14"/>
                <w:b w:val="1"/>
                <w:bCs w:val="1"/>
                <w:color w:val="auto"/>
              </w:rPr>
              <w:t>Loan Losses</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14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color w:val="auto"/>
              </w:rPr>
              <w:t>Real estate:</w:t>
            </w: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6,786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4,595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2,417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ind w:left="600"/>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card</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(300)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Other consumer</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b w:val="1"/>
                <w:bCs w:val="1"/>
                <w:color w:val="auto"/>
              </w:rPr>
              <w:t>(404)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69665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6658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9"/>
              </w:rPr>
              <w:t>Three Months Ended March 31, 2020</w:t>
            </w:r>
          </w:p>
        </w:tc>
        <w:tc>
          <w:tcPr>
            <w:tcW w:w="88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Beginning</w:t>
            </w:r>
          </w:p>
        </w:tc>
        <w:tc>
          <w:tcPr>
            <w:tcW w:w="4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Provision for</w:t>
            </w:r>
          </w:p>
        </w:tc>
        <w:tc>
          <w:tcPr>
            <w:tcW w:w="4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Charge-Offs</w:t>
            </w:r>
          </w:p>
        </w:tc>
        <w:tc>
          <w:tcPr>
            <w:tcW w:w="4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4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2440" w:type="dxa"/>
            <w:vAlign w:val="bottom"/>
            <w:tcBorders>
              <w:bottom w:val="single" w:sz="8" w:color="auto"/>
            </w:tcBorders>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Balance</w:t>
            </w:r>
          </w:p>
        </w:tc>
        <w:tc>
          <w:tcPr>
            <w:tcW w:w="1500" w:type="dxa"/>
            <w:vAlign w:val="bottom"/>
            <w:gridSpan w:val="3"/>
          </w:tcPr>
          <w:p>
            <w:pPr>
              <w:ind w:left="260"/>
              <w:spacing w:after="0" w:line="146" w:lineRule="exact"/>
              <w:rPr>
                <w:sz w:val="20"/>
                <w:szCs w:val="20"/>
                <w:color w:val="auto"/>
              </w:rPr>
            </w:pPr>
            <w:r>
              <w:rPr>
                <w:rFonts w:ascii="Arial" w:cs="Arial" w:eastAsia="Arial" w:hAnsi="Arial"/>
                <w:sz w:val="14"/>
                <w:szCs w:val="14"/>
                <w:b w:val="1"/>
                <w:bCs w:val="1"/>
                <w:color w:val="auto"/>
              </w:rPr>
              <w:t>Loan Losses</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14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Real estate:</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13,301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0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Allowance for Loan Loss Composition</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60" w:type="dxa"/>
            <w:vAlign w:val="bottom"/>
            <w:gridSpan w:val="5"/>
          </w:tcPr>
          <w:p>
            <w:pPr>
              <w:ind w:left="520"/>
              <w:spacing w:after="0"/>
              <w:rPr>
                <w:sz w:val="20"/>
                <w:szCs w:val="20"/>
                <w:color w:val="auto"/>
              </w:rPr>
            </w:pPr>
            <w:r>
              <w:rPr>
                <w:rFonts w:ascii="Arial" w:cs="Arial" w:eastAsia="Arial" w:hAnsi="Arial"/>
                <w:sz w:val="12"/>
                <w:szCs w:val="12"/>
                <w:b w:val="1"/>
                <w:bCs w:val="1"/>
                <w:color w:val="auto"/>
              </w:rPr>
              <w:t>Allowance for Loan Losses</w:t>
            </w:r>
          </w:p>
        </w:tc>
        <w:tc>
          <w:tcPr>
            <w:tcW w:w="520" w:type="dxa"/>
            <w:vAlign w:val="bottom"/>
          </w:tcPr>
          <w:p>
            <w:pPr>
              <w:spacing w:after="0"/>
              <w:rPr>
                <w:sz w:val="12"/>
                <w:szCs w:val="12"/>
                <w:color w:val="auto"/>
              </w:rPr>
            </w:pPr>
          </w:p>
        </w:tc>
        <w:tc>
          <w:tcPr>
            <w:tcW w:w="2680" w:type="dxa"/>
            <w:vAlign w:val="bottom"/>
            <w:gridSpan w:val="4"/>
          </w:tcPr>
          <w:p>
            <w:pPr>
              <w:jc w:val="right"/>
              <w:ind w:right="650"/>
              <w:spacing w:after="0"/>
              <w:rPr>
                <w:sz w:val="20"/>
                <w:szCs w:val="20"/>
                <w:color w:val="auto"/>
              </w:rPr>
            </w:pPr>
            <w:r>
              <w:rPr>
                <w:rFonts w:ascii="Arial" w:cs="Arial" w:eastAsia="Arial" w:hAnsi="Arial"/>
                <w:sz w:val="12"/>
                <w:szCs w:val="12"/>
                <w:b w:val="1"/>
                <w:bCs w:val="1"/>
                <w:color w:val="auto"/>
              </w:rPr>
              <w:t>Outstanding Portfolio</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60" w:type="dxa"/>
            <w:vAlign w:val="bottom"/>
            <w:gridSpan w:val="5"/>
          </w:tcPr>
          <w:p>
            <w:pPr>
              <w:ind w:left="400"/>
              <w:spacing w:after="0" w:line="120" w:lineRule="exact"/>
              <w:rPr>
                <w:sz w:val="20"/>
                <w:szCs w:val="20"/>
                <w:color w:val="auto"/>
              </w:rPr>
            </w:pPr>
            <w:r>
              <w:rPr>
                <w:rFonts w:ascii="Arial" w:cs="Arial" w:eastAsia="Arial" w:hAnsi="Arial"/>
                <w:sz w:val="12"/>
                <w:szCs w:val="12"/>
                <w:b w:val="1"/>
                <w:bCs w:val="1"/>
                <w:color w:val="auto"/>
              </w:rPr>
              <w:t>Ending Balance Evaluated</w:t>
            </w:r>
          </w:p>
        </w:tc>
        <w:tc>
          <w:tcPr>
            <w:tcW w:w="520" w:type="dxa"/>
            <w:vAlign w:val="bottom"/>
          </w:tcPr>
          <w:p>
            <w:pPr>
              <w:spacing w:after="0"/>
              <w:rPr>
                <w:sz w:val="10"/>
                <w:szCs w:val="10"/>
                <w:color w:val="auto"/>
              </w:rPr>
            </w:pPr>
          </w:p>
        </w:tc>
        <w:tc>
          <w:tcPr>
            <w:tcW w:w="2680" w:type="dxa"/>
            <w:vAlign w:val="bottom"/>
            <w:gridSpan w:val="4"/>
          </w:tcPr>
          <w:p>
            <w:pPr>
              <w:jc w:val="right"/>
              <w:ind w:right="670"/>
              <w:spacing w:after="0" w:line="120" w:lineRule="exact"/>
              <w:rPr>
                <w:sz w:val="20"/>
                <w:szCs w:val="20"/>
                <w:color w:val="auto"/>
              </w:rPr>
            </w:pPr>
            <w:r>
              <w:rPr>
                <w:rFonts w:ascii="Arial" w:cs="Arial" w:eastAsia="Arial" w:hAnsi="Arial"/>
                <w:sz w:val="12"/>
                <w:szCs w:val="12"/>
                <w:b w:val="1"/>
                <w:bCs w:val="1"/>
                <w:color w:val="auto"/>
              </w:rPr>
              <w:t>Loan Balances Evaluated</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400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2"/>
                <w:szCs w:val="12"/>
                <w:b w:val="1"/>
                <w:bCs w:val="1"/>
                <w:color w:val="auto"/>
              </w:rPr>
              <w:t>for Impairment:</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for Impairment:</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Individually</w:t>
            </w:r>
          </w:p>
        </w:tc>
        <w:tc>
          <w:tcPr>
            <w:tcW w:w="5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Collectively</w:t>
            </w:r>
          </w:p>
        </w:tc>
        <w:tc>
          <w:tcPr>
            <w:tcW w:w="5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Individually</w:t>
            </w:r>
          </w:p>
        </w:tc>
        <w:tc>
          <w:tcPr>
            <w:tcW w:w="54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Arial" w:cs="Arial" w:eastAsia="Arial" w:hAnsi="Arial"/>
                <w:sz w:val="12"/>
                <w:szCs w:val="12"/>
                <w:b w:val="1"/>
                <w:bCs w:val="1"/>
                <w:color w:val="auto"/>
              </w:rPr>
              <w:t>Collectively</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3000" w:type="dxa"/>
            <w:vAlign w:val="bottom"/>
            <w:gridSpan w:val="2"/>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6,816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415,7</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7,362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1,097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432,2</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219,6</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2,203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1,170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148,7</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8,592</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1,304,6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7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400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390,1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5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400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5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000" w:type="dxa"/>
            <w:vAlign w:val="bottom"/>
            <w:tcBorders>
              <w:top w:val="single" w:sz="8" w:color="CCEEFF"/>
              <w:bottom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March 31, 2021 and December 31, 2020 were as follows:</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Portfolio Loans Past Due</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360" w:type="dxa"/>
            <w:vAlign w:val="bottom"/>
            <w:gridSpan w:val="3"/>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restart"/>
          </w:tcPr>
          <w:p>
            <w:pPr>
              <w:jc w:val="center"/>
              <w:ind w:right="300"/>
              <w:spacing w:after="0" w:line="12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60"/>
              <w:spacing w:after="0" w:line="120" w:lineRule="exact"/>
              <w:rPr>
                <w:sz w:val="20"/>
                <w:szCs w:val="20"/>
                <w:color w:val="auto"/>
              </w:rPr>
            </w:pPr>
            <w:r>
              <w:rPr>
                <w:rFonts w:ascii="Arial" w:cs="Arial" w:eastAsia="Arial" w:hAnsi="Arial"/>
                <w:sz w:val="12"/>
                <w:szCs w:val="12"/>
                <w:b w:val="1"/>
                <w:bCs w:val="1"/>
                <w:color w:val="auto"/>
              </w:rPr>
              <w:t>Loans 90 or</w:t>
            </w: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Total Past</w:t>
            </w:r>
          </w:p>
        </w:tc>
        <w:tc>
          <w:tcPr>
            <w:tcW w:w="200" w:type="dxa"/>
            <w:vAlign w:val="bottom"/>
          </w:tcPr>
          <w:p>
            <w:pPr>
              <w:spacing w:after="0"/>
              <w:rPr>
                <w:sz w:val="2"/>
                <w:szCs w:val="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rPr>
              <w:t>Current</w:t>
            </w: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line="20" w:lineRule="exact"/>
              <w:rPr>
                <w:sz w:val="1"/>
                <w:szCs w:val="1"/>
                <w:color w:val="auto"/>
              </w:rPr>
            </w:pPr>
          </w:p>
        </w:tc>
      </w:tr>
      <w:tr>
        <w:trPr>
          <w:trHeight w:val="119"/>
        </w:trPr>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March 31, 2021</w:t>
            </w:r>
          </w:p>
        </w:tc>
        <w:tc>
          <w:tcPr>
            <w:tcW w:w="234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30-89 Days</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rPr>
              <w:t>Portfolio</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rPr>
              <w:t>More Days</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020" w:type="dxa"/>
            <w:vAlign w:val="bottom"/>
            <w:tcBorders>
              <w:bottom w:val="single" w:sz="8" w:color="auto"/>
            </w:tcBorders>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Due Loans</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Past Due</w:t>
            </w:r>
          </w:p>
        </w:tc>
        <w:tc>
          <w:tcPr>
            <w:tcW w:w="140" w:type="dxa"/>
            <w:vAlign w:val="bottom"/>
          </w:tcPr>
          <w:p>
            <w:pPr>
              <w:spacing w:after="0"/>
              <w:rPr>
                <w:sz w:val="12"/>
                <w:szCs w:val="12"/>
                <w:color w:val="auto"/>
              </w:rPr>
            </w:pP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415,800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420,461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4,697</w:t>
            </w:r>
          </w:p>
        </w:tc>
        <w:tc>
          <w:tcPr>
            <w:tcW w:w="0" w:type="dxa"/>
            <w:vAlign w:val="bottom"/>
          </w:tcPr>
          <w:p>
            <w:pPr>
              <w:spacing w:after="0"/>
              <w:rPr>
                <w:sz w:val="1"/>
                <w:szCs w:val="1"/>
                <w:color w:val="auto"/>
              </w:rPr>
            </w:pPr>
          </w:p>
        </w:tc>
      </w:tr>
      <w:tr>
        <w:trPr>
          <w:trHeight w:val="186"/>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432,229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433,336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221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1,097</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218,289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221,277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1,626</w:t>
            </w: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148,801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149,914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1,170</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76,097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4,487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4,487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1,295,703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1,313,215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8,590</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2020</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Real estate:</w:t>
            </w:r>
          </w:p>
        </w:tc>
        <w:tc>
          <w:tcPr>
            <w:tcW w:w="20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433,292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0" w:type="dxa"/>
            <w:vAlign w:val="bottom"/>
          </w:tcPr>
          <w:p>
            <w:pPr>
              <w:spacing w:after="0"/>
              <w:rPr>
                <w:sz w:val="1"/>
                <w:szCs w:val="1"/>
                <w:color w:val="auto"/>
              </w:rPr>
            </w:pPr>
          </w:p>
        </w:tc>
      </w:tr>
      <w:tr>
        <w:trPr>
          <w:trHeight w:val="185"/>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389,931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223,018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5"/>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155,900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88,369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1,292,159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1,316,276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Loans secured by a one -to-four family residential property in the process of foreclosure at March 31, 2021 and December 31, 2020 amounted to $174 thousand and $175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24"/>
          <w:szCs w:val="24"/>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69665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665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ectPr>
          <w:pgSz w:w="11900" w:h="16838" w:orient="portrait"/>
          <w:cols w:equalWidth="0" w:num="1">
            <w:col w:w="11020"/>
          </w:cols>
          <w:pgMar w:left="640" w:top="6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Impaired loans were as follows: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Impaired Loans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March 31, 2021</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Residential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Commercial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Construction</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b w:val="1"/>
                <w:bCs w:val="1"/>
                <w:color w:val="auto"/>
              </w:rPr>
              <w:t>Unpaid</w:t>
            </w:r>
          </w:p>
        </w:tc>
        <w:tc>
          <w:tcPr>
            <w:tcW w:w="440" w:type="dxa"/>
            <w:vAlign w:val="bottom"/>
          </w:tcPr>
          <w:p>
            <w:pPr>
              <w:spacing w:after="0"/>
              <w:rPr>
                <w:sz w:val="12"/>
                <w:szCs w:val="12"/>
                <w:color w:val="auto"/>
              </w:rPr>
            </w:pPr>
          </w:p>
        </w:tc>
        <w:tc>
          <w:tcPr>
            <w:tcW w:w="1100" w:type="dxa"/>
            <w:vAlign w:val="bottom"/>
            <w:gridSpan w:val="2"/>
          </w:tcPr>
          <w:p>
            <w:pPr>
              <w:ind w:left="140"/>
              <w:spacing w:after="0"/>
              <w:rPr>
                <w:sz w:val="20"/>
                <w:szCs w:val="20"/>
                <w:color w:val="auto"/>
              </w:rPr>
            </w:pPr>
            <w:r>
              <w:rPr>
                <w:rFonts w:ascii="Arial" w:cs="Arial" w:eastAsia="Arial" w:hAnsi="Arial"/>
                <w:sz w:val="12"/>
                <w:szCs w:val="12"/>
                <w:b w:val="1"/>
                <w:bCs w:val="1"/>
                <w:color w:val="auto"/>
              </w:rPr>
              <w:t>Recorded</w:t>
            </w:r>
          </w:p>
        </w:tc>
        <w:tc>
          <w:tcPr>
            <w:tcW w:w="1500" w:type="dxa"/>
            <w:vAlign w:val="bottom"/>
            <w:gridSpan w:val="3"/>
          </w:tcPr>
          <w:p>
            <w:pPr>
              <w:ind w:left="560"/>
              <w:spacing w:after="0"/>
              <w:rPr>
                <w:sz w:val="20"/>
                <w:szCs w:val="20"/>
                <w:color w:val="auto"/>
              </w:rPr>
            </w:pPr>
            <w:r>
              <w:rPr>
                <w:rFonts w:ascii="Arial" w:cs="Arial" w:eastAsia="Arial" w:hAnsi="Arial"/>
                <w:sz w:val="12"/>
                <w:szCs w:val="12"/>
                <w:b w:val="1"/>
                <w:bCs w:val="1"/>
                <w:color w:val="auto"/>
              </w:rPr>
              <w:t>Recorded</w:t>
            </w:r>
          </w:p>
        </w:tc>
        <w:tc>
          <w:tcPr>
            <w:tcW w:w="42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Total</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Contractual</w:t>
            </w:r>
          </w:p>
        </w:tc>
        <w:tc>
          <w:tcPr>
            <w:tcW w:w="15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Investment</w:t>
            </w:r>
          </w:p>
        </w:tc>
        <w:tc>
          <w:tcPr>
            <w:tcW w:w="1040" w:type="dxa"/>
            <w:vAlign w:val="bottom"/>
          </w:tcPr>
          <w:p>
            <w:pPr>
              <w:jc w:val="center"/>
              <w:ind w:left="256"/>
              <w:spacing w:after="0" w:line="120" w:lineRule="exact"/>
              <w:rPr>
                <w:sz w:val="20"/>
                <w:szCs w:val="20"/>
                <w:color w:val="auto"/>
              </w:rPr>
            </w:pPr>
            <w:r>
              <w:rPr>
                <w:rFonts w:ascii="Arial" w:cs="Arial" w:eastAsia="Arial" w:hAnsi="Arial"/>
                <w:sz w:val="12"/>
                <w:szCs w:val="12"/>
                <w:b w:val="1"/>
                <w:bCs w:val="1"/>
                <w:color w:val="auto"/>
              </w:rPr>
              <w:t>Investment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100" w:type="dxa"/>
            <w:vAlign w:val="bottom"/>
            <w:gridSpan w:val="2"/>
          </w:tcPr>
          <w:p>
            <w:pPr>
              <w:jc w:val="center"/>
              <w:ind w:right="560"/>
              <w:spacing w:after="0" w:line="120" w:lineRule="exact"/>
              <w:rPr>
                <w:sz w:val="20"/>
                <w:szCs w:val="20"/>
                <w:color w:val="auto"/>
              </w:rPr>
            </w:pPr>
            <w:r>
              <w:rPr>
                <w:rFonts w:ascii="Arial" w:cs="Arial" w:eastAsia="Arial" w:hAnsi="Arial"/>
                <w:sz w:val="12"/>
                <w:szCs w:val="12"/>
                <w:b w:val="1"/>
                <w:bCs w:val="1"/>
                <w:color w:val="auto"/>
              </w:rPr>
              <w:t>Principal</w:t>
            </w:r>
          </w:p>
        </w:tc>
        <w:tc>
          <w:tcPr>
            <w:tcW w:w="440" w:type="dxa"/>
            <w:vAlign w:val="bottom"/>
          </w:tcPr>
          <w:p>
            <w:pPr>
              <w:spacing w:after="0"/>
              <w:rPr>
                <w:sz w:val="10"/>
                <w:szCs w:val="10"/>
                <w:color w:val="auto"/>
              </w:rPr>
            </w:pPr>
          </w:p>
        </w:tc>
        <w:tc>
          <w:tcPr>
            <w:tcW w:w="1100" w:type="dxa"/>
            <w:vAlign w:val="bottom"/>
            <w:gridSpan w:val="2"/>
          </w:tcPr>
          <w:p>
            <w:pPr>
              <w:jc w:val="center"/>
              <w:ind w:right="560"/>
              <w:spacing w:after="0" w:line="120" w:lineRule="exact"/>
              <w:rPr>
                <w:sz w:val="20"/>
                <w:szCs w:val="20"/>
                <w:color w:val="auto"/>
              </w:rPr>
            </w:pPr>
            <w:r>
              <w:rPr>
                <w:rFonts w:ascii="Arial" w:cs="Arial" w:eastAsia="Arial" w:hAnsi="Arial"/>
                <w:sz w:val="12"/>
                <w:szCs w:val="12"/>
                <w:b w:val="1"/>
                <w:bCs w:val="1"/>
                <w:color w:val="auto"/>
              </w:rPr>
              <w:t>With No</w:t>
            </w:r>
          </w:p>
        </w:tc>
        <w:tc>
          <w:tcPr>
            <w:tcW w:w="1040" w:type="dxa"/>
            <w:vAlign w:val="bottom"/>
          </w:tcPr>
          <w:p>
            <w:pPr>
              <w:jc w:val="center"/>
              <w:ind w:left="276"/>
              <w:spacing w:after="0" w:line="120" w:lineRule="exact"/>
              <w:rPr>
                <w:sz w:val="20"/>
                <w:szCs w:val="20"/>
                <w:color w:val="auto"/>
              </w:rPr>
            </w:pPr>
            <w:r>
              <w:rPr>
                <w:rFonts w:ascii="Arial" w:cs="Arial" w:eastAsia="Arial" w:hAnsi="Arial"/>
                <w:sz w:val="12"/>
                <w:szCs w:val="12"/>
                <w:b w:val="1"/>
                <w:bCs w:val="1"/>
                <w:color w:val="auto"/>
                <w:w w:val="99"/>
              </w:rPr>
              <w:t>With</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Recorded</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3"/>
              <w:spacing w:after="0"/>
              <w:rPr>
                <w:sz w:val="20"/>
                <w:szCs w:val="20"/>
                <w:color w:val="auto"/>
              </w:rPr>
            </w:pPr>
            <w:r>
              <w:rPr>
                <w:rFonts w:ascii="Arial" w:cs="Arial" w:eastAsia="Arial" w:hAnsi="Arial"/>
                <w:sz w:val="12"/>
                <w:szCs w:val="12"/>
                <w:b w:val="1"/>
                <w:bCs w:val="1"/>
                <w:color w:val="auto"/>
                <w:w w:val="99"/>
              </w:rPr>
              <w:t>Balance</w:t>
            </w:r>
          </w:p>
        </w:tc>
        <w:tc>
          <w:tcPr>
            <w:tcW w:w="12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center"/>
              <w:ind w:left="256"/>
              <w:spacing w:after="0"/>
              <w:rPr>
                <w:sz w:val="20"/>
                <w:szCs w:val="20"/>
                <w:color w:val="auto"/>
              </w:rPr>
            </w:pPr>
            <w:r>
              <w:rPr>
                <w:rFonts w:ascii="Arial" w:cs="Arial" w:eastAsia="Arial" w:hAnsi="Arial"/>
                <w:sz w:val="12"/>
                <w:szCs w:val="12"/>
                <w:b w:val="1"/>
                <w:bCs w:val="1"/>
                <w:color w:val="auto"/>
              </w:rPr>
              <w:t>Allowance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Allowance</w:t>
            </w:r>
          </w:p>
        </w:tc>
        <w:tc>
          <w:tcPr>
            <w:tcW w:w="0" w:type="dxa"/>
            <w:vAlign w:val="bottom"/>
          </w:tcPr>
          <w:p>
            <w:pPr>
              <w:spacing w:after="0"/>
              <w:rPr>
                <w:sz w:val="1"/>
                <w:szCs w:val="1"/>
                <w:color w:val="auto"/>
              </w:rPr>
            </w:pPr>
          </w:p>
        </w:tc>
      </w:tr>
      <w:tr>
        <w:trPr>
          <w:trHeight w:val="356"/>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4,891</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4,697</w:t>
            </w:r>
          </w:p>
        </w:tc>
        <w:tc>
          <w:tcPr>
            <w:tcW w:w="120" w:type="dxa"/>
            <w:vAlign w:val="bottom"/>
          </w:tcPr>
          <w:p>
            <w:pPr>
              <w:spacing w:after="0"/>
              <w:rPr>
                <w:sz w:val="24"/>
                <w:szCs w:val="24"/>
                <w:color w:val="auto"/>
              </w:rPr>
            </w:pPr>
          </w:p>
        </w:tc>
        <w:tc>
          <w:tcPr>
            <w:tcW w:w="10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4,697</w:t>
            </w:r>
          </w:p>
        </w:tc>
        <w:tc>
          <w:tcPr>
            <w:tcW w:w="120" w:type="dxa"/>
            <w:vAlign w:val="bottom"/>
          </w:tcPr>
          <w:p>
            <w:pPr>
              <w:spacing w:after="0"/>
              <w:rPr>
                <w:sz w:val="24"/>
                <w:szCs w:val="24"/>
                <w:color w:val="auto"/>
              </w:rPr>
            </w:pPr>
          </w:p>
        </w:tc>
        <w:tc>
          <w:tcPr>
            <w:tcW w:w="1180" w:type="dxa"/>
            <w:vAlign w:val="bottom"/>
          </w:tcPr>
          <w:p>
            <w:pPr>
              <w:jc w:val="right"/>
              <w:ind w:right="6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1,243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1,097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1,097</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1,737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1,626</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1,626</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1,340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787</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b w:val="1"/>
                <w:bCs w:val="1"/>
                <w:color w:val="auto"/>
              </w:rPr>
              <w:t>383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1,170</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-469265</wp:posOffset>
            </wp:positionV>
            <wp:extent cx="6995160" cy="1174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1747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-233680</wp:posOffset>
            </wp:positionV>
            <wp:extent cx="6995160" cy="118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181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20" w:space="720"/>
            <w:col w:w="7280"/>
          </w:cols>
          <w:pgMar w:left="640" w:top="614"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70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8,207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7"/>
                <w:szCs w:val="17"/>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r>
      <w:tr>
        <w:trPr>
          <w:trHeight w:val="185"/>
        </w:trPr>
        <w:tc>
          <w:tcPr>
            <w:tcW w:w="34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34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3,726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340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7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34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Commercial and Industrial</w:t>
            </w:r>
          </w:p>
        </w:tc>
        <w:tc>
          <w:tcPr>
            <w:tcW w:w="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791</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9,790</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8,761</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9,152</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22"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For the Three Months Ended March 3</w:t>
      </w:r>
    </w:p>
    <w:tbl>
      <w:tblPr>
        <w:tblLayout w:type="fixed"/>
        <w:tblInd w:w="0" w:type="dxa"/>
        <w:tblCellMar>
          <w:top w:w="0" w:type="dxa"/>
          <w:left w:w="0" w:type="dxa"/>
          <w:bottom w:w="0" w:type="dxa"/>
          <w:right w:w="0" w:type="dxa"/>
        </w:tblCellMar>
      </w:tblPr>
      <w:tr>
        <w:trPr>
          <w:trHeight w:val="168"/>
        </w:trPr>
        <w:tc>
          <w:tcPr>
            <w:tcW w:w="8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gridSpan w:val="3"/>
          </w:tcPr>
          <w:p>
            <w:pPr>
              <w:jc w:val="right"/>
              <w:ind w:right="660"/>
              <w:spacing w:after="0" w:line="113" w:lineRule="exact"/>
              <w:rPr>
                <w:sz w:val="20"/>
                <w:szCs w:val="20"/>
                <w:color w:val="auto"/>
              </w:rPr>
            </w:pPr>
            <w:r>
              <w:rPr>
                <w:rFonts w:ascii="Arial" w:cs="Arial" w:eastAsia="Arial" w:hAnsi="Arial"/>
                <w:sz w:val="12"/>
                <w:szCs w:val="12"/>
                <w:b w:val="1"/>
                <w:bCs w:val="1"/>
                <w:color w:val="auto"/>
              </w:rPr>
              <w:t>Average</w:t>
            </w: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Interest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8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3"/>
          </w:tcPr>
          <w:p>
            <w:pPr>
              <w:jc w:val="center"/>
              <w:ind w:right="740"/>
              <w:spacing w:after="0" w:line="120" w:lineRule="exact"/>
              <w:rPr>
                <w:sz w:val="20"/>
                <w:szCs w:val="20"/>
                <w:color w:val="auto"/>
              </w:rPr>
            </w:pPr>
            <w:r>
              <w:rPr>
                <w:rFonts w:ascii="Arial" w:cs="Arial" w:eastAsia="Arial" w:hAnsi="Arial"/>
                <w:sz w:val="12"/>
                <w:szCs w:val="12"/>
                <w:b w:val="1"/>
                <w:bCs w:val="1"/>
                <w:color w:val="auto"/>
              </w:rPr>
              <w:t>Recorded</w:t>
            </w: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178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rPr>
              <w:t>Investment</w:t>
            </w:r>
          </w:p>
        </w:tc>
        <w:tc>
          <w:tcPr>
            <w:tcW w:w="940" w:type="dxa"/>
            <w:vAlign w:val="bottom"/>
          </w:tcPr>
          <w:p>
            <w:pPr>
              <w:jc w:val="right"/>
              <w:ind w:right="14"/>
              <w:spacing w:after="0"/>
              <w:rPr>
                <w:sz w:val="20"/>
                <w:szCs w:val="20"/>
                <w:color w:val="auto"/>
              </w:rPr>
            </w:pPr>
            <w:r>
              <w:rPr>
                <w:rFonts w:ascii="Arial" w:cs="Arial" w:eastAsia="Arial" w:hAnsi="Arial"/>
                <w:sz w:val="12"/>
                <w:szCs w:val="12"/>
                <w:b w:val="1"/>
                <w:bCs w:val="1"/>
                <w:color w:val="auto"/>
              </w:rPr>
              <w:t>Recognized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4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54"/>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46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5"/>
        </w:trPr>
        <w:tc>
          <w:tcPr>
            <w:tcW w:w="8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9,367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243205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For the Three Months Ended March</w:t>
      </w:r>
    </w:p>
    <w:tbl>
      <w:tblPr>
        <w:tblLayout w:type="fixed"/>
        <w:tblInd w:w="320" w:type="dxa"/>
        <w:tblCellMar>
          <w:top w:w="0" w:type="dxa"/>
          <w:left w:w="0" w:type="dxa"/>
          <w:bottom w:w="0" w:type="dxa"/>
          <w:right w:w="0" w:type="dxa"/>
        </w:tblCellMar>
      </w:tblPr>
      <w:tr>
        <w:trPr>
          <w:trHeight w:val="168"/>
        </w:trPr>
        <w:tc>
          <w:tcPr>
            <w:tcW w:w="8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gridSpan w:val="3"/>
          </w:tcPr>
          <w:p>
            <w:pPr>
              <w:jc w:val="right"/>
              <w:ind w:right="660"/>
              <w:spacing w:after="0" w:line="113" w:lineRule="exact"/>
              <w:rPr>
                <w:sz w:val="20"/>
                <w:szCs w:val="20"/>
                <w:color w:val="auto"/>
              </w:rPr>
            </w:pPr>
            <w:r>
              <w:rPr>
                <w:rFonts w:ascii="Arial" w:cs="Arial" w:eastAsia="Arial" w:hAnsi="Arial"/>
                <w:sz w:val="12"/>
                <w:szCs w:val="12"/>
                <w:b w:val="1"/>
                <w:bCs w:val="1"/>
                <w:color w:val="auto"/>
              </w:rPr>
              <w:t>Average</w:t>
            </w:r>
          </w:p>
        </w:tc>
        <w:tc>
          <w:tcPr>
            <w:tcW w:w="1000" w:type="dxa"/>
            <w:vAlign w:val="bottom"/>
            <w:vMerge w:val="restart"/>
          </w:tcPr>
          <w:p>
            <w:pPr>
              <w:jc w:val="right"/>
              <w:ind w:right="54"/>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3"/>
          </w:tcPr>
          <w:p>
            <w:pPr>
              <w:jc w:val="center"/>
              <w:ind w:right="760"/>
              <w:spacing w:after="0" w:line="120" w:lineRule="exact"/>
              <w:rPr>
                <w:sz w:val="20"/>
                <w:szCs w:val="20"/>
                <w:color w:val="auto"/>
              </w:rPr>
            </w:pPr>
            <w:r>
              <w:rPr>
                <w:rFonts w:ascii="Arial" w:cs="Arial" w:eastAsia="Arial" w:hAnsi="Arial"/>
                <w:sz w:val="12"/>
                <w:szCs w:val="12"/>
                <w:b w:val="1"/>
                <w:bCs w:val="1"/>
                <w:color w:val="auto"/>
              </w:rPr>
              <w:t>Recorded</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1780" w:type="dxa"/>
            <w:vAlign w:val="bottom"/>
            <w:gridSpan w:val="4"/>
          </w:tcPr>
          <w:p>
            <w:pPr>
              <w:jc w:val="center"/>
              <w:ind w:right="340"/>
              <w:spacing w:after="0"/>
              <w:rPr>
                <w:sz w:val="20"/>
                <w:szCs w:val="20"/>
                <w:color w:val="auto"/>
              </w:rPr>
            </w:pPr>
            <w:r>
              <w:rPr>
                <w:rFonts w:ascii="Arial" w:cs="Arial" w:eastAsia="Arial" w:hAnsi="Arial"/>
                <w:sz w:val="12"/>
                <w:szCs w:val="12"/>
                <w:b w:val="1"/>
                <w:bCs w:val="1"/>
                <w:color w:val="auto"/>
              </w:rPr>
              <w:t>Investment</w:t>
            </w:r>
          </w:p>
        </w:tc>
        <w:tc>
          <w:tcPr>
            <w:tcW w:w="1000" w:type="dxa"/>
            <w:vAlign w:val="bottom"/>
          </w:tcPr>
          <w:p>
            <w:pPr>
              <w:jc w:val="right"/>
              <w:ind w:right="74"/>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72"/>
        </w:trPr>
        <w:tc>
          <w:tcPr>
            <w:tcW w:w="824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40" w:type="dxa"/>
            <w:vAlign w:val="bottom"/>
          </w:tcPr>
          <w:p>
            <w:pPr>
              <w:ind w:left="46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pacing w:after="0" w:line="20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46"/>
        </w:trPr>
        <w:tc>
          <w:tcPr>
            <w:tcW w:w="20" w:type="dxa"/>
            <w:vAlign w:val="bottom"/>
          </w:tcPr>
          <w:p>
            <w:pPr>
              <w:spacing w:after="0"/>
              <w:rPr>
                <w:sz w:val="12"/>
                <w:szCs w:val="12"/>
                <w:color w:val="auto"/>
              </w:rPr>
            </w:pPr>
          </w:p>
        </w:tc>
        <w:tc>
          <w:tcPr>
            <w:tcW w:w="39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March 31, 2021</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85"/>
        </w:trPr>
        <w:tc>
          <w:tcPr>
            <w:tcW w:w="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294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410,327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4,545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5,589</w:t>
            </w:r>
          </w:p>
        </w:tc>
        <w:tc>
          <w:tcPr>
            <w:tcW w:w="12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420,461</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425,380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433,336</w:t>
            </w: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217,228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1,438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2,611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221,277</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135,231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12,706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149,914</w:t>
            </w:r>
          </w:p>
        </w:tc>
      </w:tr>
      <w:tr>
        <w:trPr>
          <w:trHeight w:val="185"/>
        </w:trPr>
        <w:tc>
          <w:tcPr>
            <w:tcW w:w="2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83,740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83,740</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4,487</w:t>
            </w:r>
          </w:p>
        </w:tc>
      </w:tr>
      <w:tr>
        <w:trPr>
          <w:trHeight w:val="179"/>
        </w:trPr>
        <w:tc>
          <w:tcPr>
            <w:tcW w:w="20" w:type="dxa"/>
            <w:vAlign w:val="bottom"/>
          </w:tcPr>
          <w:p>
            <w:pPr>
              <w:spacing w:after="0"/>
              <w:rPr>
                <w:sz w:val="15"/>
                <w:szCs w:val="15"/>
                <w:color w:val="auto"/>
              </w:rPr>
            </w:pPr>
          </w:p>
        </w:tc>
        <w:tc>
          <w:tcPr>
            <w:tcW w:w="394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1,276,393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25,548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11,274</w:t>
            </w:r>
          </w:p>
        </w:tc>
        <w:tc>
          <w:tcPr>
            <w:tcW w:w="1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1,313,215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428,260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5,150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4,450</w:t>
            </w:r>
          </w:p>
        </w:tc>
        <w:tc>
          <w:tcPr>
            <w:tcW w:w="12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437,860</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392,550</w:t>
            </w: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220,057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3,735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224,904</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157,127</w:t>
            </w:r>
          </w:p>
        </w:tc>
      </w:tr>
      <w:tr>
        <w:trPr>
          <w:trHeight w:val="186"/>
        </w:trPr>
        <w:tc>
          <w:tcPr>
            <w:tcW w:w="2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102,186</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1,649</w:t>
            </w:r>
          </w:p>
        </w:tc>
      </w:tr>
      <w:tr>
        <w:trPr>
          <w:trHeight w:val="179"/>
        </w:trPr>
        <w:tc>
          <w:tcPr>
            <w:tcW w:w="20" w:type="dxa"/>
            <w:vAlign w:val="bottom"/>
          </w:tcPr>
          <w:p>
            <w:pPr>
              <w:spacing w:after="0"/>
              <w:rPr>
                <w:sz w:val="15"/>
                <w:szCs w:val="15"/>
                <w:color w:val="auto"/>
              </w:rPr>
            </w:pPr>
          </w:p>
        </w:tc>
        <w:tc>
          <w:tcPr>
            <w:tcW w:w="394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1,280,828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22,909</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12,539</w:t>
            </w:r>
          </w:p>
        </w:tc>
        <w:tc>
          <w:tcPr>
            <w:tcW w:w="120" w:type="dxa"/>
            <w:vAlign w:val="bottom"/>
          </w:tcPr>
          <w:p>
            <w:pPr>
              <w:spacing w:after="0"/>
              <w:rPr>
                <w:sz w:val="15"/>
                <w:szCs w:val="15"/>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1,316,276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198" w:lineRule="auto"/>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Category includes loans graded exceptional, very good, good, satisfactory and pass/watch, in addition to credit cards and consumer credits that are not graded.</w:t>
      </w:r>
    </w:p>
    <w:p>
      <w:pPr>
        <w:spacing w:after="0" w:line="23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Modifications such as payment deferrals through March 31, 2021 have been short term in nature and are included in the population of loans deferred and have not impacted TDRs. The status of TDRs is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Troubled Debt Restructurings</w:t>
      </w:r>
    </w:p>
    <w:p>
      <w:pPr>
        <w:spacing w:after="0" w:line="5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560" w:type="dxa"/>
            <w:vAlign w:val="bottom"/>
            <w:gridSpan w:val="2"/>
          </w:tcPr>
          <w:p>
            <w:pPr>
              <w:ind w:left="540"/>
              <w:spacing w:after="0"/>
              <w:rPr>
                <w:sz w:val="20"/>
                <w:szCs w:val="20"/>
                <w:color w:val="auto"/>
              </w:rPr>
            </w:pPr>
            <w:r>
              <w:rPr>
                <w:rFonts w:ascii="Arial" w:cs="Arial" w:eastAsia="Arial" w:hAnsi="Arial"/>
                <w:sz w:val="14"/>
                <w:szCs w:val="14"/>
                <w:b w:val="1"/>
                <w:bCs w:val="1"/>
                <w:color w:val="auto"/>
              </w:rPr>
              <w:t>Number of</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Recorded Investment</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Contracts</w:t>
            </w:r>
          </w:p>
        </w:tc>
        <w:tc>
          <w:tcPr>
            <w:tcW w:w="56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Performing</w:t>
            </w:r>
          </w:p>
        </w:tc>
        <w:tc>
          <w:tcPr>
            <w:tcW w:w="52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Nonperforming</w:t>
            </w:r>
          </w:p>
        </w:tc>
        <w:tc>
          <w:tcPr>
            <w:tcW w:w="62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2580" w:type="dxa"/>
            <w:vAlign w:val="bottom"/>
            <w:gridSpan w:val="2"/>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4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2"/>
          </w:tcPr>
          <w:p>
            <w:pPr>
              <w:ind w:left="10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b w:val="1"/>
                <w:bCs w:val="1"/>
                <w:color w:val="auto"/>
              </w:rPr>
              <w:t>291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9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December 31, 2020</w:t>
            </w:r>
          </w:p>
        </w:tc>
        <w:tc>
          <w:tcPr>
            <w:tcW w:w="2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4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9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There were no new TDRs in the three months ended March 31, 2021. The Company had no defaulted TDR loans over the last twelve months.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Loan Commitments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6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64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Pr>
          <w:p>
            <w:pPr>
              <w:spacing w:after="0"/>
              <w:rPr>
                <w:sz w:val="16"/>
                <w:szCs w:val="16"/>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b w:val="1"/>
                <w:bCs w:val="1"/>
                <w:color w:val="auto"/>
              </w:rPr>
              <w:t>December 31, 2020</w:t>
            </w:r>
          </w:p>
        </w:tc>
      </w:tr>
      <w:tr>
        <w:trPr>
          <w:trHeight w:val="165"/>
        </w:trPr>
        <w:tc>
          <w:tcPr>
            <w:tcW w:w="6560" w:type="dxa"/>
            <w:vAlign w:val="bottom"/>
          </w:tcPr>
          <w:p>
            <w:pPr>
              <w:ind w:left="340"/>
              <w:spacing w:after="0"/>
              <w:rPr>
                <w:sz w:val="20"/>
                <w:szCs w:val="20"/>
                <w:color w:val="auto"/>
              </w:rPr>
            </w:pPr>
            <w:r>
              <w:rPr>
                <w:rFonts w:ascii="Arial" w:cs="Arial" w:eastAsia="Arial" w:hAnsi="Arial"/>
                <w:sz w:val="14"/>
                <w:szCs w:val="14"/>
                <w:color w:val="auto"/>
              </w:rPr>
              <w:t>Unused lines of credit</w:t>
            </w:r>
          </w:p>
        </w:tc>
        <w:tc>
          <w:tcPr>
            <w:tcW w:w="6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85"/>
        </w:trPr>
        <w:tc>
          <w:tcPr>
            <w:tcW w:w="6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Real Estate:</w:t>
            </w:r>
          </w:p>
        </w:tc>
        <w:tc>
          <w:tcPr>
            <w:tcW w:w="6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5"/>
        </w:trPr>
        <w:tc>
          <w:tcPr>
            <w:tcW w:w="6560" w:type="dxa"/>
            <w:vAlign w:val="bottom"/>
          </w:tcPr>
          <w:p>
            <w:pPr>
              <w:ind w:left="540"/>
              <w:spacing w:after="0"/>
              <w:rPr>
                <w:sz w:val="20"/>
                <w:szCs w:val="20"/>
                <w:color w:val="auto"/>
              </w:rPr>
            </w:pPr>
            <w:r>
              <w:rPr>
                <w:rFonts w:ascii="Arial" w:cs="Arial" w:eastAsia="Arial" w:hAnsi="Arial"/>
                <w:sz w:val="14"/>
                <w:szCs w:val="14"/>
                <w:color w:val="auto"/>
              </w:rPr>
              <w:t>Residential</w:t>
            </w:r>
          </w:p>
        </w:tc>
        <w:tc>
          <w:tcPr>
            <w:tcW w:w="64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9"/>
              <w:spacing w:after="0"/>
              <w:rPr>
                <w:sz w:val="20"/>
                <w:szCs w:val="20"/>
                <w:color w:val="auto"/>
              </w:rPr>
            </w:pPr>
            <w:r>
              <w:rPr>
                <w:rFonts w:ascii="Arial" w:cs="Arial" w:eastAsia="Arial" w:hAnsi="Arial"/>
                <w:sz w:val="14"/>
                <w:szCs w:val="14"/>
                <w:b w:val="1"/>
                <w:bCs w:val="1"/>
                <w:color w:val="auto"/>
              </w:rPr>
              <w:t>14,850</w:t>
            </w:r>
          </w:p>
        </w:tc>
        <w:tc>
          <w:tcPr>
            <w:tcW w:w="12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86"/>
        </w:trPr>
        <w:tc>
          <w:tcPr>
            <w:tcW w:w="65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Residential - Home Equity</w:t>
            </w:r>
          </w:p>
        </w:tc>
        <w:tc>
          <w:tcPr>
            <w:tcW w:w="64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32,859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85"/>
        </w:trPr>
        <w:tc>
          <w:tcPr>
            <w:tcW w:w="6560" w:type="dxa"/>
            <w:vAlign w:val="bottom"/>
          </w:tcPr>
          <w:p>
            <w:pPr>
              <w:ind w:left="540"/>
              <w:spacing w:after="0"/>
              <w:rPr>
                <w:sz w:val="20"/>
                <w:szCs w:val="20"/>
                <w:color w:val="auto"/>
              </w:rPr>
            </w:pPr>
            <w:r>
              <w:rPr>
                <w:rFonts w:ascii="Arial" w:cs="Arial" w:eastAsia="Arial" w:hAnsi="Arial"/>
                <w:sz w:val="14"/>
                <w:szCs w:val="14"/>
                <w:color w:val="auto"/>
              </w:rPr>
              <w:t>Commercial</w:t>
            </w:r>
          </w:p>
        </w:tc>
        <w:tc>
          <w:tcPr>
            <w:tcW w:w="640" w:type="dxa"/>
            <w:vAlign w:val="bottom"/>
          </w:tcPr>
          <w:p>
            <w:pPr>
              <w:spacing w:after="0"/>
              <w:rPr>
                <w:sz w:val="16"/>
                <w:szCs w:val="16"/>
                <w:color w:val="auto"/>
              </w:rPr>
            </w:pPr>
          </w:p>
        </w:tc>
        <w:tc>
          <w:tcPr>
            <w:tcW w:w="1740" w:type="dxa"/>
            <w:vAlign w:val="bottom"/>
          </w:tcPr>
          <w:p>
            <w:pPr>
              <w:jc w:val="right"/>
              <w:ind w:right="9"/>
              <w:spacing w:after="0"/>
              <w:rPr>
                <w:sz w:val="20"/>
                <w:szCs w:val="20"/>
                <w:color w:val="auto"/>
              </w:rPr>
            </w:pPr>
            <w:r>
              <w:rPr>
                <w:rFonts w:ascii="Arial" w:cs="Arial" w:eastAsia="Arial" w:hAnsi="Arial"/>
                <w:sz w:val="14"/>
                <w:szCs w:val="14"/>
                <w:b w:val="1"/>
                <w:bCs w:val="1"/>
                <w:color w:val="auto"/>
              </w:rPr>
              <w:t>24,601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185"/>
        </w:trPr>
        <w:tc>
          <w:tcPr>
            <w:tcW w:w="65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Construction</w:t>
            </w:r>
          </w:p>
        </w:tc>
        <w:tc>
          <w:tcPr>
            <w:tcW w:w="64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126,126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r>
      <w:tr>
        <w:trPr>
          <w:trHeight w:val="185"/>
        </w:trPr>
        <w:tc>
          <w:tcPr>
            <w:tcW w:w="6560" w:type="dxa"/>
            <w:vAlign w:val="bottom"/>
          </w:tcPr>
          <w:p>
            <w:pPr>
              <w:ind w:left="460"/>
              <w:spacing w:after="0"/>
              <w:rPr>
                <w:sz w:val="20"/>
                <w:szCs w:val="20"/>
                <w:color w:val="auto"/>
              </w:rPr>
            </w:pPr>
            <w:r>
              <w:rPr>
                <w:rFonts w:ascii="Arial" w:cs="Arial" w:eastAsia="Arial" w:hAnsi="Arial"/>
                <w:sz w:val="14"/>
                <w:szCs w:val="14"/>
                <w:color w:val="auto"/>
              </w:rPr>
              <w:t>Commercial and Industrial</w:t>
            </w:r>
          </w:p>
        </w:tc>
        <w:tc>
          <w:tcPr>
            <w:tcW w:w="640" w:type="dxa"/>
            <w:vAlign w:val="bottom"/>
          </w:tcPr>
          <w:p>
            <w:pPr>
              <w:spacing w:after="0"/>
              <w:rPr>
                <w:sz w:val="16"/>
                <w:szCs w:val="16"/>
                <w:color w:val="auto"/>
              </w:rPr>
            </w:pPr>
          </w:p>
        </w:tc>
        <w:tc>
          <w:tcPr>
            <w:tcW w:w="1740" w:type="dxa"/>
            <w:vAlign w:val="bottom"/>
          </w:tcPr>
          <w:p>
            <w:pPr>
              <w:jc w:val="right"/>
              <w:ind w:right="9"/>
              <w:spacing w:after="0"/>
              <w:rPr>
                <w:sz w:val="20"/>
                <w:szCs w:val="20"/>
                <w:color w:val="auto"/>
              </w:rPr>
            </w:pPr>
            <w:r>
              <w:rPr>
                <w:rFonts w:ascii="Arial" w:cs="Arial" w:eastAsia="Arial" w:hAnsi="Arial"/>
                <w:sz w:val="14"/>
                <w:szCs w:val="14"/>
                <w:b w:val="1"/>
                <w:bCs w:val="1"/>
                <w:color w:val="auto"/>
              </w:rPr>
              <w:t>41,976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185"/>
        </w:trPr>
        <w:tc>
          <w:tcPr>
            <w:tcW w:w="6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Secured credit card</w:t>
            </w:r>
          </w:p>
        </w:tc>
        <w:tc>
          <w:tcPr>
            <w:tcW w:w="64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135,275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r>
      <w:tr>
        <w:trPr>
          <w:trHeight w:val="185"/>
        </w:trPr>
        <w:tc>
          <w:tcPr>
            <w:tcW w:w="65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Personal</w:t>
            </w: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621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4"/>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376,308</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1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Commitments to originate residential loans held for sale</w:t>
            </w: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8,767</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1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Letters of credit</w:t>
            </w: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5,132</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Off Balance Sheet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50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For the Three Months Ended</w:t>
            </w:r>
          </w:p>
        </w:tc>
      </w:tr>
      <w:tr>
        <w:trPr>
          <w:trHeight w:val="179"/>
        </w:trPr>
        <w:tc>
          <w:tcPr>
            <w:tcW w:w="7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tcPr>
          <w:p>
            <w:pPr>
              <w:spacing w:after="0"/>
              <w:rPr>
                <w:sz w:val="15"/>
                <w:szCs w:val="15"/>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March 31, 2020</w:t>
            </w:r>
          </w:p>
        </w:tc>
      </w:tr>
      <w:tr>
        <w:trPr>
          <w:trHeight w:val="179"/>
        </w:trPr>
        <w:tc>
          <w:tcPr>
            <w:tcW w:w="7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beginning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1,775</w:t>
            </w: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w:t>
            </w:r>
          </w:p>
        </w:tc>
      </w:tr>
      <w:tr>
        <w:trPr>
          <w:trHeight w:val="185"/>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Provision for off balance sheet credit commitments</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204"/>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end of period</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1,822</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Mortgage Loan Put-back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52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rPr>
              <w:t>For the Three Months Ended</w:t>
            </w:r>
          </w:p>
        </w:tc>
      </w:tr>
      <w:tr>
        <w:trPr>
          <w:trHeight w:val="179"/>
        </w:trPr>
        <w:tc>
          <w:tcPr>
            <w:tcW w:w="7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b w:val="1"/>
                <w:bCs w:val="1"/>
                <w:color w:val="auto"/>
              </w:rPr>
              <w:t>March 31, 2020</w:t>
            </w:r>
          </w:p>
        </w:tc>
      </w:tr>
      <w:tr>
        <w:trPr>
          <w:trHeight w:val="179"/>
        </w:trPr>
        <w:tc>
          <w:tcPr>
            <w:tcW w:w="7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beginning of period</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1,160</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5"/>
        </w:trPr>
        <w:tc>
          <w:tcPr>
            <w:tcW w:w="7520" w:type="dxa"/>
            <w:vAlign w:val="bottom"/>
          </w:tcPr>
          <w:p>
            <w:pPr>
              <w:ind w:left="340"/>
              <w:spacing w:after="0"/>
              <w:rPr>
                <w:sz w:val="20"/>
                <w:szCs w:val="20"/>
                <w:color w:val="auto"/>
              </w:rPr>
            </w:pPr>
            <w:r>
              <w:rPr>
                <w:rFonts w:ascii="Arial" w:cs="Arial" w:eastAsia="Arial" w:hAnsi="Arial"/>
                <w:sz w:val="14"/>
                <w:szCs w:val="14"/>
                <w:color w:val="auto"/>
              </w:rPr>
              <w:t>Provision for mortgage loan put backs</w:t>
            </w:r>
          </w:p>
        </w:tc>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6"/>
        </w:trPr>
        <w:tc>
          <w:tcPr>
            <w:tcW w:w="7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Charge-offs</w:t>
            </w:r>
          </w:p>
        </w:tc>
        <w:tc>
          <w:tcPr>
            <w:tcW w:w="4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9"/>
        </w:trPr>
        <w:tc>
          <w:tcPr>
            <w:tcW w:w="7520" w:type="dxa"/>
            <w:vAlign w:val="bottom"/>
          </w:tcPr>
          <w:p>
            <w:pPr>
              <w:ind w:left="340"/>
              <w:spacing w:after="0"/>
              <w:rPr>
                <w:sz w:val="20"/>
                <w:szCs w:val="20"/>
                <w:color w:val="auto"/>
              </w:rPr>
            </w:pPr>
            <w:r>
              <w:rPr>
                <w:rFonts w:ascii="Arial" w:cs="Arial" w:eastAsia="Arial" w:hAnsi="Arial"/>
                <w:sz w:val="14"/>
                <w:szCs w:val="14"/>
                <w:color w:val="auto"/>
              </w:rPr>
              <w:t>Balance at end of period</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1,284</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w:t>
            </w:r>
          </w:p>
        </w:tc>
      </w:tr>
      <w:tr>
        <w:trPr>
          <w:trHeight w:val="20"/>
        </w:trPr>
        <w:tc>
          <w:tcPr>
            <w:tcW w:w="7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Derivatives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6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open forward sales agreements</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19,500</w:t>
            </w:r>
          </w:p>
        </w:tc>
        <w:tc>
          <w:tcPr>
            <w:tcW w:w="3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r>
      <w:tr>
        <w:trPr>
          <w:trHeight w:val="185"/>
        </w:trPr>
        <w:tc>
          <w:tcPr>
            <w:tcW w:w="6760" w:type="dxa"/>
            <w:vAlign w:val="bottom"/>
          </w:tcPr>
          <w:p>
            <w:pPr>
              <w:ind w:left="340"/>
              <w:spacing w:after="0"/>
              <w:rPr>
                <w:sz w:val="20"/>
                <w:szCs w:val="20"/>
                <w:color w:val="auto"/>
              </w:rPr>
            </w:pPr>
            <w:r>
              <w:rPr>
                <w:rFonts w:ascii="Arial" w:cs="Arial" w:eastAsia="Arial" w:hAnsi="Arial"/>
                <w:sz w:val="14"/>
                <w:szCs w:val="14"/>
                <w:color w:val="auto"/>
              </w:rPr>
              <w:t>Fair value of open forward delivery sales agreements</w:t>
            </w:r>
          </w:p>
        </w:tc>
        <w:tc>
          <w:tcPr>
            <w:tcW w:w="580" w:type="dxa"/>
            <w:vAlign w:val="bottom"/>
          </w:tcPr>
          <w:p>
            <w:pPr>
              <w:spacing w:after="0"/>
              <w:rPr>
                <w:sz w:val="16"/>
                <w:szCs w:val="16"/>
                <w:color w:val="auto"/>
              </w:rPr>
            </w:pPr>
          </w:p>
        </w:tc>
        <w:tc>
          <w:tcPr>
            <w:tcW w:w="1780" w:type="dxa"/>
            <w:vAlign w:val="bottom"/>
          </w:tcPr>
          <w:p>
            <w:pPr>
              <w:jc w:val="right"/>
              <w:ind w:right="149"/>
              <w:spacing w:after="0"/>
              <w:rPr>
                <w:sz w:val="20"/>
                <w:szCs w:val="20"/>
                <w:color w:val="auto"/>
              </w:rPr>
            </w:pPr>
            <w:r>
              <w:rPr>
                <w:rFonts w:ascii="Arial" w:cs="Arial" w:eastAsia="Arial" w:hAnsi="Arial"/>
                <w:sz w:val="14"/>
                <w:szCs w:val="14"/>
                <w:b w:val="1"/>
                <w:bCs w:val="1"/>
                <w:color w:val="auto"/>
              </w:rPr>
              <w:t>182</w:t>
            </w: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6"/>
        </w:trPr>
        <w:tc>
          <w:tcPr>
            <w:tcW w:w="6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open mandatory delivery commitments</w:t>
            </w:r>
          </w:p>
        </w:tc>
        <w:tc>
          <w:tcPr>
            <w:tcW w:w="5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5,060</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r>
      <w:tr>
        <w:trPr>
          <w:trHeight w:val="186"/>
        </w:trPr>
        <w:tc>
          <w:tcPr>
            <w:tcW w:w="6760" w:type="dxa"/>
            <w:vAlign w:val="bottom"/>
          </w:tcPr>
          <w:p>
            <w:pPr>
              <w:ind w:left="340"/>
              <w:spacing w:after="0"/>
              <w:rPr>
                <w:sz w:val="20"/>
                <w:szCs w:val="20"/>
                <w:color w:val="auto"/>
              </w:rPr>
            </w:pPr>
            <w:r>
              <w:rPr>
                <w:rFonts w:ascii="Arial" w:cs="Arial" w:eastAsia="Arial" w:hAnsi="Arial"/>
                <w:sz w:val="14"/>
                <w:szCs w:val="14"/>
                <w:color w:val="auto"/>
              </w:rPr>
              <w:t>Fair value of open mandatory delivery commitments</w:t>
            </w:r>
          </w:p>
        </w:tc>
        <w:tc>
          <w:tcPr>
            <w:tcW w:w="580" w:type="dxa"/>
            <w:vAlign w:val="bottom"/>
          </w:tcPr>
          <w:p>
            <w:pPr>
              <w:spacing w:after="0"/>
              <w:rPr>
                <w:sz w:val="16"/>
                <w:szCs w:val="16"/>
                <w:color w:val="auto"/>
              </w:rPr>
            </w:pPr>
          </w:p>
        </w:tc>
        <w:tc>
          <w:tcPr>
            <w:tcW w:w="1780" w:type="dxa"/>
            <w:vAlign w:val="bottom"/>
          </w:tcPr>
          <w:p>
            <w:pPr>
              <w:jc w:val="right"/>
              <w:ind w:right="109"/>
              <w:spacing w:after="0"/>
              <w:rPr>
                <w:sz w:val="20"/>
                <w:szCs w:val="20"/>
                <w:color w:val="auto"/>
              </w:rPr>
            </w:pPr>
            <w:r>
              <w:rPr>
                <w:rFonts w:ascii="Arial" w:cs="Arial" w:eastAsia="Arial" w:hAnsi="Arial"/>
                <w:sz w:val="14"/>
                <w:szCs w:val="14"/>
                <w:b w:val="1"/>
                <w:bCs w:val="1"/>
                <w:color w:val="auto"/>
              </w:rPr>
              <w:t>(56)</w:t>
            </w: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5"/>
        </w:trPr>
        <w:tc>
          <w:tcPr>
            <w:tcW w:w="6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interest rate lock commitments</w:t>
            </w:r>
          </w:p>
        </w:tc>
        <w:tc>
          <w:tcPr>
            <w:tcW w:w="5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12,952</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w:t>
            </w:r>
          </w:p>
        </w:tc>
      </w:tr>
      <w:tr>
        <w:trPr>
          <w:trHeight w:val="188"/>
        </w:trPr>
        <w:tc>
          <w:tcPr>
            <w:tcW w:w="6760" w:type="dxa"/>
            <w:vAlign w:val="bottom"/>
          </w:tcPr>
          <w:p>
            <w:pPr>
              <w:ind w:left="340"/>
              <w:spacing w:after="0"/>
              <w:rPr>
                <w:sz w:val="20"/>
                <w:szCs w:val="20"/>
                <w:color w:val="auto"/>
              </w:rPr>
            </w:pPr>
            <w:r>
              <w:rPr>
                <w:rFonts w:ascii="Arial" w:cs="Arial" w:eastAsia="Arial" w:hAnsi="Arial"/>
                <w:sz w:val="14"/>
                <w:szCs w:val="14"/>
                <w:color w:val="auto"/>
              </w:rPr>
              <w:t>Fair value of interest rate lock commitments</w:t>
            </w:r>
          </w:p>
        </w:tc>
        <w:tc>
          <w:tcPr>
            <w:tcW w:w="580" w:type="dxa"/>
            <w:vAlign w:val="bottom"/>
          </w:tcPr>
          <w:p>
            <w:pPr>
              <w:spacing w:after="0"/>
              <w:rPr>
                <w:sz w:val="16"/>
                <w:szCs w:val="16"/>
                <w:color w:val="auto"/>
              </w:rPr>
            </w:pPr>
          </w:p>
        </w:tc>
        <w:tc>
          <w:tcPr>
            <w:tcW w:w="1780" w:type="dxa"/>
            <w:vAlign w:val="bottom"/>
          </w:tcPr>
          <w:p>
            <w:pPr>
              <w:jc w:val="right"/>
              <w:ind w:right="109"/>
              <w:spacing w:after="0"/>
              <w:rPr>
                <w:sz w:val="20"/>
                <w:szCs w:val="20"/>
                <w:color w:val="auto"/>
              </w:rPr>
            </w:pPr>
            <w:r>
              <w:rPr>
                <w:rFonts w:ascii="Arial" w:cs="Arial" w:eastAsia="Arial" w:hAnsi="Arial"/>
                <w:sz w:val="14"/>
                <w:szCs w:val="14"/>
                <w:b w:val="1"/>
                <w:bCs w:val="1"/>
                <w:color w:val="auto"/>
              </w:rPr>
              <w:t>(127)</w:t>
            </w: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5373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7 -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208"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2.26% at March 31, 2021 and 2.23% at December 31, 2020.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10"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As of March 31, 2021, the Company’s lease ROU assets and related lease liabilities were $2.8 million and $3.1 million, respectively, compared to December 31, 2020 balances of $3.1 million of ROU assets and $3.4 million of lease liabilities, and have remaining terms ranging from 1 - 6 years, including extension options that the Company is reasonably certain will be exercised. As of March 31, 2021, the Company had not entered into any material leases that have not yet commenced. The Company’s lease information is summarized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5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w:t>
            </w:r>
          </w:p>
        </w:tc>
      </w:tr>
      <w:tr>
        <w:trPr>
          <w:trHeight w:val="165"/>
        </w:trPr>
        <w:tc>
          <w:tcPr>
            <w:tcW w:w="7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Lease Right of Use Asset:</w:t>
            </w:r>
          </w:p>
        </w:tc>
        <w:tc>
          <w:tcPr>
            <w:tcW w:w="4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5"/>
        </w:trPr>
        <w:tc>
          <w:tcPr>
            <w:tcW w:w="7580" w:type="dxa"/>
            <w:vAlign w:val="bottom"/>
          </w:tcPr>
          <w:p>
            <w:pPr>
              <w:ind w:left="340"/>
              <w:spacing w:after="0"/>
              <w:rPr>
                <w:sz w:val="20"/>
                <w:szCs w:val="20"/>
                <w:color w:val="auto"/>
              </w:rPr>
            </w:pPr>
            <w:r>
              <w:rPr>
                <w:rFonts w:ascii="Arial" w:cs="Arial" w:eastAsia="Arial" w:hAnsi="Arial"/>
                <w:sz w:val="14"/>
                <w:szCs w:val="14"/>
                <w:color w:val="auto"/>
              </w:rPr>
              <w:t>Lease asset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ind w:left="709"/>
              <w:spacing w:after="0"/>
              <w:rPr>
                <w:sz w:val="20"/>
                <w:szCs w:val="20"/>
                <w:color w:val="auto"/>
              </w:rPr>
            </w:pPr>
            <w:r>
              <w:rPr>
                <w:rFonts w:ascii="Arial" w:cs="Arial" w:eastAsia="Arial" w:hAnsi="Arial"/>
                <w:sz w:val="14"/>
                <w:szCs w:val="14"/>
                <w:b w:val="1"/>
                <w:bCs w:val="1"/>
                <w:color w:val="auto"/>
              </w:rPr>
              <w:t>5,399</w:t>
            </w:r>
          </w:p>
        </w:tc>
        <w:tc>
          <w:tcPr>
            <w:tcW w:w="18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5"/>
        </w:trPr>
        <w:tc>
          <w:tcPr>
            <w:tcW w:w="7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amortization</w:t>
            </w:r>
          </w:p>
        </w:tc>
        <w:tc>
          <w:tcPr>
            <w:tcW w:w="4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b w:val="1"/>
                <w:bCs w:val="1"/>
                <w:color w:val="auto"/>
                <w:w w:val="99"/>
              </w:rPr>
              <w:t>(2,590)</w:t>
            </w:r>
          </w:p>
        </w:tc>
        <w:tc>
          <w:tcPr>
            <w:tcW w:w="1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52"/>
        </w:trPr>
        <w:tc>
          <w:tcPr>
            <w:tcW w:w="7580" w:type="dxa"/>
            <w:vAlign w:val="bottom"/>
          </w:tcPr>
          <w:p>
            <w:pPr>
              <w:ind w:left="340"/>
              <w:spacing w:after="0" w:line="152" w:lineRule="exact"/>
              <w:rPr>
                <w:sz w:val="20"/>
                <w:szCs w:val="20"/>
                <w:color w:val="auto"/>
              </w:rPr>
            </w:pPr>
            <w:r>
              <w:rPr>
                <w:rFonts w:ascii="Arial" w:cs="Arial" w:eastAsia="Arial" w:hAnsi="Arial"/>
                <w:sz w:val="14"/>
                <w:szCs w:val="14"/>
                <w:color w:val="auto"/>
              </w:rPr>
              <w:t>Net lease asset</w:t>
            </w:r>
          </w:p>
        </w:tc>
        <w:tc>
          <w:tcPr>
            <w:tcW w:w="4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ind w:left="709"/>
              <w:spacing w:after="0" w:line="152" w:lineRule="exact"/>
              <w:rPr>
                <w:sz w:val="20"/>
                <w:szCs w:val="20"/>
                <w:color w:val="auto"/>
              </w:rPr>
            </w:pPr>
            <w:r>
              <w:rPr>
                <w:rFonts w:ascii="Arial" w:cs="Arial" w:eastAsia="Arial" w:hAnsi="Arial"/>
                <w:sz w:val="14"/>
                <w:szCs w:val="14"/>
                <w:b w:val="1"/>
                <w:bCs w:val="1"/>
                <w:color w:val="auto"/>
              </w:rPr>
              <w:t>2,809</w:t>
            </w:r>
          </w:p>
        </w:tc>
        <w:tc>
          <w:tcPr>
            <w:tcW w:w="180" w:type="dxa"/>
            <w:vAlign w:val="bottom"/>
          </w:tcPr>
          <w:p>
            <w:pPr>
              <w:spacing w:after="0"/>
              <w:rPr>
                <w:sz w:val="13"/>
                <w:szCs w:val="13"/>
                <w:color w:val="auto"/>
              </w:rPr>
            </w:pPr>
          </w:p>
        </w:tc>
        <w:tc>
          <w:tcPr>
            <w:tcW w:w="840" w:type="dxa"/>
            <w:vAlign w:val="bottom"/>
            <w:tcBorders>
              <w:bottom w:val="single" w:sz="8" w:color="auto"/>
            </w:tcBorders>
          </w:tcPr>
          <w:p>
            <w:pPr>
              <w:jc w:val="right"/>
              <w:ind w:right="349"/>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9"/>
        </w:trPr>
        <w:tc>
          <w:tcPr>
            <w:tcW w:w="7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5"/>
        </w:trPr>
        <w:tc>
          <w:tcPr>
            <w:tcW w:w="7580" w:type="dxa"/>
            <w:vAlign w:val="bottom"/>
          </w:tcPr>
          <w:p>
            <w:pPr>
              <w:ind w:left="340"/>
              <w:spacing w:after="0"/>
              <w:rPr>
                <w:sz w:val="20"/>
                <w:szCs w:val="20"/>
                <w:color w:val="auto"/>
              </w:rPr>
            </w:pPr>
            <w:r>
              <w:rPr>
                <w:rFonts w:ascii="Arial" w:cs="Arial" w:eastAsia="Arial" w:hAnsi="Arial"/>
                <w:sz w:val="14"/>
                <w:szCs w:val="14"/>
                <w:b w:val="1"/>
                <w:bCs w:val="1"/>
                <w:color w:val="auto"/>
              </w:rPr>
              <w:t>Lease Liability:</w:t>
            </w: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Lease liability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b w:val="1"/>
                <w:bCs w:val="1"/>
                <w:color w:val="auto"/>
              </w:rPr>
              <w:t>3,126</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537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Payment Obligations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6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March 31, 2021</w:t>
            </w:r>
          </w:p>
        </w:tc>
      </w:tr>
      <w:tr>
        <w:trPr>
          <w:trHeight w:val="166"/>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Amounts due in:</w:t>
            </w:r>
          </w:p>
        </w:tc>
        <w:tc>
          <w:tcPr>
            <w:tcW w:w="6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5"/>
        </w:trPr>
        <w:tc>
          <w:tcPr>
            <w:tcW w:w="9000" w:type="dxa"/>
            <w:vAlign w:val="bottom"/>
          </w:tcPr>
          <w:p>
            <w:pPr>
              <w:ind w:left="340"/>
              <w:spacing w:after="0"/>
              <w:rPr>
                <w:sz w:val="20"/>
                <w:szCs w:val="20"/>
                <w:color w:val="auto"/>
              </w:rPr>
            </w:pPr>
            <w:r>
              <w:rPr>
                <w:rFonts w:ascii="Arial" w:cs="Arial" w:eastAsia="Arial" w:hAnsi="Arial"/>
                <w:sz w:val="14"/>
                <w:szCs w:val="14"/>
                <w:color w:val="auto"/>
              </w:rPr>
              <w:t>2021</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2022</w:t>
            </w:r>
          </w:p>
        </w:tc>
        <w:tc>
          <w:tcPr>
            <w:tcW w:w="6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9000" w:type="dxa"/>
            <w:vAlign w:val="bottom"/>
          </w:tcPr>
          <w:p>
            <w:pPr>
              <w:ind w:left="340"/>
              <w:spacing w:after="0"/>
              <w:rPr>
                <w:sz w:val="20"/>
                <w:szCs w:val="20"/>
                <w:color w:val="auto"/>
              </w:rPr>
            </w:pPr>
            <w:r>
              <w:rPr>
                <w:rFonts w:ascii="Arial" w:cs="Arial" w:eastAsia="Arial" w:hAnsi="Arial"/>
                <w:sz w:val="14"/>
                <w:szCs w:val="14"/>
                <w:color w:val="auto"/>
              </w:rPr>
              <w:t>2023</w:t>
            </w:r>
          </w:p>
        </w:tc>
        <w:tc>
          <w:tcPr>
            <w:tcW w:w="6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2024</w:t>
            </w:r>
          </w:p>
        </w:tc>
        <w:tc>
          <w:tcPr>
            <w:tcW w:w="6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9000" w:type="dxa"/>
            <w:vAlign w:val="bottom"/>
          </w:tcPr>
          <w:p>
            <w:pPr>
              <w:ind w:left="460"/>
              <w:spacing w:after="0"/>
              <w:rPr>
                <w:sz w:val="20"/>
                <w:szCs w:val="20"/>
                <w:color w:val="auto"/>
              </w:rPr>
            </w:pPr>
            <w:r>
              <w:rPr>
                <w:rFonts w:ascii="Arial" w:cs="Arial" w:eastAsia="Arial" w:hAnsi="Arial"/>
                <w:sz w:val="14"/>
                <w:szCs w:val="14"/>
                <w:color w:val="auto"/>
              </w:rPr>
              <w:t>Total future lease payments</w:t>
            </w:r>
          </w:p>
        </w:tc>
        <w:tc>
          <w:tcPr>
            <w:tcW w:w="1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186"/>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Discount of cash flows</w:t>
            </w:r>
          </w:p>
        </w:tc>
        <w:tc>
          <w:tcPr>
            <w:tcW w:w="1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9000" w:type="dxa"/>
            <w:vAlign w:val="bottom"/>
          </w:tcPr>
          <w:p>
            <w:pPr>
              <w:ind w:left="460"/>
              <w:spacing w:after="0"/>
              <w:rPr>
                <w:sz w:val="20"/>
                <w:szCs w:val="20"/>
                <w:color w:val="auto"/>
              </w:rPr>
            </w:pPr>
            <w:r>
              <w:rPr>
                <w:rFonts w:ascii="Arial" w:cs="Arial" w:eastAsia="Arial" w:hAnsi="Arial"/>
                <w:sz w:val="14"/>
                <w:szCs w:val="14"/>
                <w:color w:val="auto"/>
              </w:rPr>
              <w:t>Present value of net future lease payments</w:t>
            </w:r>
          </w:p>
        </w:tc>
        <w:tc>
          <w:tcPr>
            <w:tcW w:w="11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r>
      <w:tr>
        <w:trPr>
          <w:trHeight w:val="20"/>
        </w:trPr>
        <w:tc>
          <w:tcPr>
            <w:tcW w:w="9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8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i w:val="1"/>
          <w:iCs w:val="1"/>
          <w:color w:val="auto"/>
        </w:rPr>
        <w:t xml:space="preserve">Marketable equity securities </w:t>
      </w:r>
      <w:r>
        <w:rPr>
          <w:rFonts w:ascii="Arial" w:cs="Arial" w:eastAsia="Arial" w:hAnsi="Arial"/>
          <w:sz w:val="18"/>
          <w:szCs w:val="18"/>
          <w:color w:val="auto"/>
        </w:rPr>
        <w:t>- The fair value of 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an independent pricing service.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for similar securities using Level 2 inputs.</w:t>
      </w:r>
    </w:p>
    <w:p>
      <w:pPr>
        <w:spacing w:after="0" w:line="174" w:lineRule="exact"/>
        <w:rPr>
          <w:sz w:val="20"/>
          <w:szCs w:val="20"/>
          <w:color w:val="auto"/>
        </w:rPr>
      </w:pPr>
    </w:p>
    <w:p>
      <w:pPr>
        <w:jc w:val="both"/>
        <w:ind w:right="100" w:firstLine="318"/>
        <w:spacing w:after="0" w:line="27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7"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March 31, 2021 and December 31, 2020 as follows: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10,448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10,448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6"/>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101,393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101,393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79"/>
        </w:trPr>
        <w:tc>
          <w:tcPr>
            <w:tcW w:w="20" w:type="dxa"/>
            <w:vAlign w:val="bottom"/>
          </w:tcPr>
          <w:p>
            <w:pPr>
              <w:spacing w:after="0"/>
              <w:rPr>
                <w:sz w:val="15"/>
                <w:szCs w:val="15"/>
                <w:color w:val="auto"/>
              </w:rPr>
            </w:pPr>
          </w:p>
        </w:tc>
        <w:tc>
          <w:tcPr>
            <w:tcW w:w="60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128,023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128,023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Loans held for sale</w:t>
            </w: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60,816</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ind w:left="880"/>
              <w:spacing w:after="0" w:line="15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60,816</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gridSpan w:val="3"/>
          </w:tcPr>
          <w:p>
            <w:pPr>
              <w:spacing w:after="0" w:line="132" w:lineRule="exact"/>
              <w:rPr>
                <w:sz w:val="20"/>
                <w:szCs w:val="20"/>
                <w:color w:val="auto"/>
              </w:rPr>
            </w:pPr>
            <w:r>
              <w:rPr>
                <w:rFonts w:ascii="Arial" w:cs="Arial" w:eastAsia="Arial" w:hAnsi="Arial"/>
                <w:sz w:val="14"/>
                <w:szCs w:val="14"/>
                <w:color w:val="auto"/>
              </w:rPr>
              <w:t>Derivative liabilities</w:t>
            </w:r>
          </w:p>
        </w:tc>
        <w:tc>
          <w:tcPr>
            <w:tcW w:w="260" w:type="dxa"/>
            <w:vAlign w:val="bottom"/>
            <w:tcBorders>
              <w:top w:val="single" w:sz="8" w:color="auto"/>
              <w:bottom w:val="single" w:sz="8" w:color="auto"/>
            </w:tcBorders>
          </w:tcPr>
          <w:p>
            <w:pPr>
              <w:jc w:val="right"/>
              <w:ind w:right="89"/>
              <w:spacing w:after="0" w:line="132"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(183)</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ind w:left="880"/>
              <w:spacing w:after="0" w:line="13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(183)</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6"/>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20" w:type="dxa"/>
            <w:vAlign w:val="bottom"/>
          </w:tcPr>
          <w:p>
            <w:pPr>
              <w:spacing w:after="0"/>
              <w:rPr>
                <w:sz w:val="15"/>
                <w:szCs w:val="15"/>
                <w:color w:val="auto"/>
              </w:rPr>
            </w:pPr>
          </w:p>
        </w:tc>
        <w:tc>
          <w:tcPr>
            <w:tcW w:w="60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Loans held for sale</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107,154</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8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107,154</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Derivative liabilities</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8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76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60,816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107,154</w:t>
            </w:r>
          </w:p>
        </w:tc>
      </w:tr>
      <w:tr>
        <w:trPr>
          <w:trHeight w:val="18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57,010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99,362</w:t>
            </w:r>
          </w:p>
        </w:tc>
      </w:tr>
      <w:tr>
        <w:trPr>
          <w:trHeight w:val="204"/>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7,792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w:t>
      </w:r>
    </w:p>
    <w:p>
      <w:pPr>
        <w:sectPr>
          <w:pgSz w:w="11900" w:h="16838" w:orient="portrait"/>
          <w:cols w:equalWidth="0" w:num="1">
            <w:col w:w="11240"/>
          </w:cols>
          <w:pgMar w:left="320" w:top="6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250825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type w:val="continuous"/>
        </w:sectPr>
      </w:pPr>
    </w:p>
    <w:bookmarkStart w:id="34" w:name="page35"/>
    <w:bookmarkEnd w:id="3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held for sale while carrying the loans at the lower of cost or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1"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Fair value is generally determined based upon independent third-party appraisals of the properties, or discounted cash flows based upon the expected proceeds. These assets are included as Level 3 fair values. As of March 31, 2021 and December 31, 2020, the fair values consist of loan balances of $8.6 million and $9.2 million, with specific reserves of $246 thousand and $253 thousand, respectively.</w:t>
      </w:r>
    </w:p>
    <w:p>
      <w:pPr>
        <w:spacing w:after="0" w:line="184"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December 31, 2020</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Impaired loans</w:t>
            </w:r>
          </w:p>
        </w:tc>
        <w:tc>
          <w:tcPr>
            <w:tcW w:w="1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20" w:type="dxa"/>
            <w:vAlign w:val="bottom"/>
            <w:tcBorders>
              <w:bottom w:val="single" w:sz="8" w:color="auto"/>
            </w:tcBorders>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8,899</w:t>
            </w:r>
          </w:p>
        </w:tc>
      </w:tr>
      <w:tr>
        <w:trPr>
          <w:trHeight w:val="20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Foreclosed real estate</w:t>
            </w:r>
          </w:p>
        </w:tc>
        <w:tc>
          <w:tcPr>
            <w:tcW w:w="1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8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20" w:type="dxa"/>
            <w:vAlign w:val="bottom"/>
            <w:tcBorders>
              <w:bottom w:val="single" w:sz="8" w:color="auto"/>
            </w:tcBorders>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3,326</w:t>
            </w:r>
          </w:p>
        </w:tc>
      </w:tr>
      <w:tr>
        <w:trPr>
          <w:trHeight w:val="20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March 31, 2021 and December 31, 2020:</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2220" w:type="dxa"/>
            <w:vAlign w:val="bottom"/>
          </w:tcPr>
          <w:p>
            <w:pPr>
              <w:ind w:left="340"/>
              <w:spacing w:after="0"/>
              <w:rPr>
                <w:sz w:val="20"/>
                <w:szCs w:val="20"/>
                <w:color w:val="auto"/>
              </w:rPr>
            </w:pPr>
            <w:r>
              <w:rPr>
                <w:rFonts w:ascii="Arial" w:cs="Arial" w:eastAsia="Arial" w:hAnsi="Arial"/>
                <w:sz w:val="14"/>
                <w:szCs w:val="14"/>
                <w:b w:val="1"/>
                <w:bCs w:val="1"/>
                <w:color w:val="auto"/>
              </w:rPr>
              <w:t>Unobservable Inputs</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220" w:type="dxa"/>
            <w:vAlign w:val="bottom"/>
            <w:tcBorders>
              <w:bottom w:val="single" w:sz="8" w:color="CCEEFF"/>
            </w:tcBorders>
          </w:tcPr>
          <w:p>
            <w:pPr>
              <w:spacing w:after="0"/>
              <w:rPr>
                <w:sz w:val="24"/>
                <w:szCs w:val="24"/>
                <w:color w:val="auto"/>
              </w:rPr>
            </w:pPr>
          </w:p>
        </w:tc>
        <w:tc>
          <w:tcPr>
            <w:tcW w:w="288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24"/>
                <w:szCs w:val="24"/>
                <w:color w:val="auto"/>
              </w:rPr>
            </w:pPr>
          </w:p>
        </w:tc>
        <w:tc>
          <w:tcPr>
            <w:tcW w:w="408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99"/>
              </w:rPr>
              <w:t>Unobservable Inputs</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ind w:left="429"/>
              <w:spacing w:after="0"/>
              <w:rPr>
                <w:sz w:val="20"/>
                <w:szCs w:val="20"/>
                <w:color w:val="auto"/>
              </w:rPr>
            </w:pPr>
            <w:r>
              <w:rPr>
                <w:rFonts w:ascii="Arial" w:cs="Arial" w:eastAsia="Arial" w:hAnsi="Arial"/>
                <w:sz w:val="14"/>
                <w:szCs w:val="14"/>
                <w:b w:val="1"/>
                <w:bCs w:val="1"/>
                <w:color w:val="auto"/>
              </w:rPr>
              <w:t>Range of Inputs</w:t>
            </w:r>
          </w:p>
        </w:tc>
        <w:tc>
          <w:tcPr>
            <w:tcW w:w="0" w:type="dxa"/>
            <w:vAlign w:val="bottom"/>
          </w:tcPr>
          <w:p>
            <w:pPr>
              <w:spacing w:after="0"/>
              <w:rPr>
                <w:sz w:val="1"/>
                <w:szCs w:val="1"/>
                <w:color w:val="auto"/>
              </w:rPr>
            </w:pPr>
          </w:p>
        </w:tc>
      </w:tr>
      <w:tr>
        <w:trPr>
          <w:trHeight w:val="144"/>
        </w:trPr>
        <w:tc>
          <w:tcPr>
            <w:tcW w:w="222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Impaired Loans</w:t>
            </w:r>
          </w:p>
        </w:tc>
        <w:tc>
          <w:tcPr>
            <w:tcW w:w="3000" w:type="dxa"/>
            <w:vAlign w:val="bottom"/>
            <w:gridSpan w:val="2"/>
            <w:shd w:val="clear" w:color="auto" w:fill="CCEEFF"/>
          </w:tcPr>
          <w:p>
            <w:pPr>
              <w:jc w:val="center"/>
              <w:ind w:left="129"/>
              <w:spacing w:after="0" w:line="144" w:lineRule="exact"/>
              <w:rPr>
                <w:sz w:val="20"/>
                <w:szCs w:val="20"/>
                <w:color w:val="auto"/>
              </w:rPr>
            </w:pPr>
            <w:r>
              <w:rPr>
                <w:rFonts w:ascii="Arial" w:cs="Arial" w:eastAsia="Arial" w:hAnsi="Arial"/>
                <w:sz w:val="14"/>
                <w:szCs w:val="14"/>
                <w:color w:val="auto"/>
              </w:rPr>
              <w:t>Appraised Value/Discounted Cash</w:t>
            </w:r>
          </w:p>
        </w:tc>
        <w:tc>
          <w:tcPr>
            <w:tcW w:w="4200" w:type="dxa"/>
            <w:vAlign w:val="bottom"/>
            <w:gridSpan w:val="2"/>
            <w:shd w:val="clear" w:color="auto" w:fill="CCEEFF"/>
          </w:tcPr>
          <w:p>
            <w:pPr>
              <w:jc w:val="center"/>
              <w:ind w:left="109"/>
              <w:spacing w:after="0" w:line="144" w:lineRule="exact"/>
              <w:rPr>
                <w:sz w:val="20"/>
                <w:szCs w:val="20"/>
                <w:color w:val="auto"/>
              </w:rPr>
            </w:pPr>
            <w:r>
              <w:rPr>
                <w:rFonts w:ascii="Arial" w:cs="Arial" w:eastAsia="Arial" w:hAnsi="Arial"/>
                <w:sz w:val="14"/>
                <w:szCs w:val="14"/>
                <w:color w:val="auto"/>
              </w:rPr>
              <w:t>Discounts to appraisals or cash flows for estimated holding</w:t>
            </w:r>
          </w:p>
        </w:tc>
        <w:tc>
          <w:tcPr>
            <w:tcW w:w="1600" w:type="dxa"/>
            <w:vAlign w:val="bottom"/>
            <w:vMerge w:val="restart"/>
            <w:shd w:val="clear" w:color="auto" w:fill="CCEEFF"/>
          </w:tcPr>
          <w:p>
            <w:pPr>
              <w:jc w:val="center"/>
              <w:ind w:left="42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68"/>
        </w:trPr>
        <w:tc>
          <w:tcPr>
            <w:tcW w:w="2220" w:type="dxa"/>
            <w:vAlign w:val="bottom"/>
            <w:vMerge w:val="continue"/>
            <w:shd w:val="clear" w:color="auto" w:fill="CCEEFF"/>
          </w:tcPr>
          <w:p>
            <w:pPr>
              <w:spacing w:after="0"/>
              <w:rPr>
                <w:sz w:val="14"/>
                <w:szCs w:val="14"/>
                <w:color w:val="auto"/>
              </w:rPr>
            </w:pPr>
          </w:p>
        </w:tc>
        <w:tc>
          <w:tcPr>
            <w:tcW w:w="300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Flows</w:t>
            </w:r>
          </w:p>
        </w:tc>
        <w:tc>
          <w:tcPr>
            <w:tcW w:w="4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and/or selling costs</w:t>
            </w: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220" w:type="dxa"/>
            <w:vAlign w:val="bottom"/>
            <w:vMerge w:val="restart"/>
          </w:tcPr>
          <w:p>
            <w:pPr>
              <w:ind w:left="340"/>
              <w:spacing w:after="0"/>
              <w:rPr>
                <w:sz w:val="20"/>
                <w:szCs w:val="20"/>
                <w:color w:val="auto"/>
              </w:rPr>
            </w:pPr>
            <w:r>
              <w:rPr>
                <w:rFonts w:ascii="Arial" w:cs="Arial" w:eastAsia="Arial" w:hAnsi="Arial"/>
                <w:sz w:val="14"/>
                <w:szCs w:val="14"/>
                <w:color w:val="auto"/>
              </w:rPr>
              <w:t>Foreclosed Real Estate</w:t>
            </w:r>
          </w:p>
        </w:tc>
        <w:tc>
          <w:tcPr>
            <w:tcW w:w="3000" w:type="dxa"/>
            <w:vAlign w:val="bottom"/>
            <w:gridSpan w:val="2"/>
            <w:vMerge w:val="restart"/>
          </w:tcPr>
          <w:p>
            <w:pPr>
              <w:jc w:val="center"/>
              <w:ind w:left="129"/>
              <w:spacing w:after="0"/>
              <w:rPr>
                <w:sz w:val="20"/>
                <w:szCs w:val="20"/>
                <w:color w:val="auto"/>
              </w:rPr>
            </w:pPr>
            <w:r>
              <w:rPr>
                <w:rFonts w:ascii="Arial" w:cs="Arial" w:eastAsia="Arial" w:hAnsi="Arial"/>
                <w:sz w:val="14"/>
                <w:szCs w:val="14"/>
                <w:color w:val="auto"/>
              </w:rPr>
              <w:t>Appraised Value/Comparable Sales</w:t>
            </w:r>
          </w:p>
        </w:tc>
        <w:tc>
          <w:tcPr>
            <w:tcW w:w="4200" w:type="dxa"/>
            <w:vAlign w:val="bottom"/>
            <w:gridSpan w:val="2"/>
          </w:tcPr>
          <w:p>
            <w:pPr>
              <w:jc w:val="center"/>
              <w:ind w:left="109"/>
              <w:spacing w:after="0" w:line="151" w:lineRule="exact"/>
              <w:rPr>
                <w:sz w:val="20"/>
                <w:szCs w:val="20"/>
                <w:color w:val="auto"/>
              </w:rPr>
            </w:pPr>
            <w:r>
              <w:rPr>
                <w:rFonts w:ascii="Arial" w:cs="Arial" w:eastAsia="Arial" w:hAnsi="Arial"/>
                <w:sz w:val="14"/>
                <w:szCs w:val="14"/>
                <w:color w:val="auto"/>
              </w:rPr>
              <w:t>Discounts to appraisals for estimated holding and/or selling</w:t>
            </w:r>
          </w:p>
        </w:tc>
        <w:tc>
          <w:tcPr>
            <w:tcW w:w="1600" w:type="dxa"/>
            <w:vAlign w:val="bottom"/>
            <w:vMerge w:val="restart"/>
          </w:tcPr>
          <w:p>
            <w:pPr>
              <w:jc w:val="center"/>
              <w:ind w:left="42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70"/>
        </w:trPr>
        <w:tc>
          <w:tcPr>
            <w:tcW w:w="2220" w:type="dxa"/>
            <w:vAlign w:val="bottom"/>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4200" w:type="dxa"/>
            <w:vAlign w:val="bottom"/>
            <w:gridSpan w:val="2"/>
          </w:tcPr>
          <w:p>
            <w:pPr>
              <w:jc w:val="center"/>
              <w:ind w:right="140"/>
              <w:spacing w:after="0"/>
              <w:rPr>
                <w:sz w:val="20"/>
                <w:szCs w:val="20"/>
                <w:color w:val="auto"/>
              </w:rPr>
            </w:pPr>
            <w:r>
              <w:rPr>
                <w:rFonts w:ascii="Arial" w:cs="Arial" w:eastAsia="Arial" w:hAnsi="Arial"/>
                <w:sz w:val="14"/>
                <w:szCs w:val="14"/>
                <w:color w:val="auto"/>
              </w:rPr>
              <w:t>costs</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208"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fair value is estimated as of the balance sheet date, the amounts that will actually be realized or paid upon settlement or maturity on these various instruments could be significantly different.</w:t>
      </w:r>
    </w:p>
    <w:p>
      <w:pPr>
        <w:spacing w:after="0" w:line="20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8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8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2760" w:type="dxa"/>
            <w:vAlign w:val="bottom"/>
            <w:gridSpan w:val="4"/>
          </w:tcPr>
          <w:p>
            <w:pPr>
              <w:jc w:val="right"/>
              <w:ind w:right="72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5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Fair Value</w:t>
            </w:r>
          </w:p>
        </w:tc>
      </w:tr>
      <w:tr>
        <w:trPr>
          <w:trHeight w:val="19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18,456</w:t>
            </w:r>
          </w:p>
        </w:tc>
      </w:tr>
      <w:tr>
        <w:trPr>
          <w:trHeight w:val="186"/>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294,777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294,777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126,081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126,081</w:t>
            </w:r>
          </w:p>
        </w:tc>
      </w:tr>
      <w:tr>
        <w:trPr>
          <w:trHeight w:val="18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2,373</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540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1,554,537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1,555,416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1,493,086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1,499,073</w:t>
            </w: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3,713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3,713</w:t>
            </w:r>
          </w:p>
        </w:tc>
      </w:tr>
      <w:tr>
        <w:trPr>
          <w:trHeight w:val="212"/>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2"/>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771,924</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771,924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608,559</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608,559</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1,091,145</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1,095,224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1,043,569</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1,048,728</w:t>
            </w:r>
          </w:p>
        </w:tc>
      </w:tr>
      <w:tr>
        <w:trPr>
          <w:trHeight w:val="18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36,016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37,067</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206" w:lineRule="auto"/>
        <w:tabs>
          <w:tab w:leader="none" w:pos="2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7" w:name="page38"/>
    <w:bookmarkEnd w:id="3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32" w:lineRule="auto"/>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March 31, 2021 and March 31, 2020.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Segments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For the Three Months Ended March 31, 2021</w:t>
            </w: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3"/>
          </w:tcPr>
          <w:p>
            <w:pPr>
              <w:ind w:left="60"/>
              <w:spacing w:after="0" w:line="152" w:lineRule="exact"/>
              <w:rPr>
                <w:sz w:val="20"/>
                <w:szCs w:val="20"/>
                <w:color w:val="auto"/>
              </w:rPr>
            </w:pPr>
            <w:r>
              <w:rPr>
                <w:rFonts w:ascii="Arial" w:cs="Arial" w:eastAsia="Arial" w:hAnsi="Arial"/>
                <w:sz w:val="14"/>
                <w:szCs w:val="14"/>
                <w:b w:val="1"/>
                <w:bCs w:val="1"/>
                <w:color w:val="auto"/>
              </w:rPr>
              <w:t>Commercial</w:t>
            </w:r>
          </w:p>
        </w:tc>
        <w:tc>
          <w:tcPr>
            <w:tcW w:w="52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CBHL</w:t>
            </w:r>
          </w:p>
        </w:tc>
        <w:tc>
          <w:tcPr>
            <w:tcW w:w="4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4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Bank</w:t>
            </w:r>
          </w:p>
        </w:tc>
        <w:tc>
          <w:tcPr>
            <w:tcW w:w="5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17,563</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477</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8,195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430</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26,63</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1,711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348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15,852</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8,195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24,44</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433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8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15,419</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8,195</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23,94</w:t>
            </w:r>
          </w:p>
        </w:tc>
        <w:tc>
          <w:tcPr>
            <w:tcW w:w="0" w:type="dxa"/>
            <w:vAlign w:val="bottom"/>
          </w:tcPr>
          <w:p>
            <w:pPr>
              <w:spacing w:after="0"/>
              <w:rPr>
                <w:sz w:val="1"/>
                <w:szCs w:val="1"/>
                <w:color w:val="auto"/>
              </w:rPr>
            </w:pPr>
          </w:p>
        </w:tc>
      </w:tr>
      <w:tr>
        <w:trPr>
          <w:trHeight w:val="172"/>
        </w:trPr>
        <w:tc>
          <w:tcPr>
            <w:tcW w:w="21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7,782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5,940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13,95</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9,390</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3,928</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12,373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25,76</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8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6,258</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3,983</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1,762</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12,12</w:t>
            </w:r>
          </w:p>
        </w:tc>
        <w:tc>
          <w:tcPr>
            <w:tcW w:w="0" w:type="dxa"/>
            <w:vAlign w:val="bottom"/>
          </w:tcPr>
          <w:p>
            <w:pPr>
              <w:spacing w:after="0"/>
              <w:rPr>
                <w:sz w:val="1"/>
                <w:szCs w:val="1"/>
                <w:color w:val="auto"/>
              </w:rPr>
            </w:pPr>
          </w:p>
        </w:tc>
      </w:tr>
      <w:tr>
        <w:trPr>
          <w:trHeight w:val="146"/>
        </w:trPr>
        <w:tc>
          <w:tcPr>
            <w:tcW w:w="212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1,901,758</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60,715</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94,641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186,189</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(151,452)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2,091,85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96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b w:val="1"/>
                <w:bCs w:val="1"/>
                <w:color w:val="auto"/>
              </w:rPr>
              <w:t>For the Three Months Ended March 31, 2020</w:t>
            </w:r>
          </w:p>
        </w:tc>
        <w:tc>
          <w:tcPr>
            <w:tcW w:w="4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16,107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3,587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12,520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225"/>
        </w:trPr>
        <w:tc>
          <w:tcPr>
            <w:tcW w:w="34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2,192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8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10,328</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4,489</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72"/>
        </w:trPr>
        <w:tc>
          <w:tcPr>
            <w:tcW w:w="21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3,301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8,704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8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6"/>
        </w:trPr>
        <w:tc>
          <w:tcPr>
            <w:tcW w:w="212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1,354,546</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75,261</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44,889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158,072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(124,921)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8" w:name="page39"/>
    <w:bookmarkEnd w:id="38"/>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the foregoing, the COVID-19 pandemic is adversely affecting us, our customers, counterparties, employees and third party service providers, and the ultimate extent of the impact on our business, financial position, results of operations, liquidity, and prospects is uncertain. Continued deterioration in general business and economic conditions, or turbulence in domestic or global financial markets could adversely affect our revenues and the values of our assets and liabilities, reduce the availability of funding and lead to a tightening of credit.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23" w:lineRule="exact"/>
        <w:rPr>
          <w:sz w:val="20"/>
          <w:szCs w:val="20"/>
          <w:color w:val="auto"/>
        </w:rPr>
      </w:pPr>
    </w:p>
    <w:p>
      <w:pPr>
        <w:ind w:firstLine="324"/>
        <w:spacing w:after="0" w:line="264" w:lineRule="auto"/>
        <w:tabs>
          <w:tab w:leader="none" w:pos="631"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80" w:lineRule="exact"/>
        <w:rPr>
          <w:rFonts w:ascii="Arial" w:cs="Arial" w:eastAsia="Arial" w:hAnsi="Arial"/>
          <w:sz w:val="18"/>
          <w:szCs w:val="18"/>
          <w:b w:val="1"/>
          <w:bCs w:val="1"/>
          <w:color w:val="auto"/>
        </w:rPr>
      </w:pPr>
    </w:p>
    <w:p>
      <w:pPr>
        <w:ind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80" w:lineRule="exact"/>
        <w:rPr>
          <w:rFonts w:ascii="Arial" w:cs="Arial" w:eastAsia="Arial" w:hAnsi="Arial"/>
          <w:sz w:val="18"/>
          <w:szCs w:val="18"/>
          <w:color w:val="auto"/>
        </w:rPr>
      </w:pPr>
    </w:p>
    <w:p>
      <w:pPr>
        <w:ind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23"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217" w:lineRule="exact"/>
        <w:rPr>
          <w:rFonts w:ascii="Arial" w:cs="Arial" w:eastAsia="Arial" w:hAnsi="Arial"/>
          <w:sz w:val="18"/>
          <w:szCs w:val="18"/>
          <w:color w:val="auto"/>
        </w:rPr>
      </w:pPr>
    </w:p>
    <w:p>
      <w:pPr>
        <w:ind w:firstLine="324"/>
        <w:spacing w:after="0" w:line="264"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72"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dependence on our information technology and telecommunications systems and the potential for any systems failures or interruptions;</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possible impact of uncertainty about the future of LIBOR on our net interest income;</w:t>
      </w:r>
    </w:p>
    <w:p>
      <w:pPr>
        <w:spacing w:after="0" w:line="21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the decline in the Federal Reserve Board’s target federal funds rate to near 0%, the yield on our assets may decline to a greater extent than the decline in our cost of interest-bearing liabilities, reducing our net interest margin and spread and reducing net income;</w:t>
      </w:r>
    </w:p>
    <w:p>
      <w:pPr>
        <w:spacing w:after="0" w:line="180" w:lineRule="exact"/>
        <w:rPr>
          <w:rFonts w:ascii="Arial" w:cs="Arial" w:eastAsia="Arial" w:hAnsi="Arial"/>
          <w:sz w:val="18"/>
          <w:szCs w:val="18"/>
          <w:color w:val="auto"/>
        </w:rPr>
      </w:pPr>
    </w:p>
    <w:p>
      <w:pPr>
        <w:ind w:firstLine="324"/>
        <w:spacing w:after="0" w:line="264"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risks associated with our OpenSky credit card division, including compliance with applicable consumer finance and fraud prevention regulations;</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repurchase loans originated for sale by our mortgage banking division;</w:t>
      </w:r>
    </w:p>
    <w:p>
      <w:pPr>
        <w:spacing w:after="0" w:line="217" w:lineRule="exact"/>
        <w:rPr>
          <w:rFonts w:ascii="Arial" w:cs="Arial" w:eastAsia="Arial" w:hAnsi="Arial"/>
          <w:sz w:val="18"/>
          <w:szCs w:val="18"/>
          <w:color w:val="auto"/>
        </w:rPr>
      </w:pPr>
    </w:p>
    <w:p>
      <w:pPr>
        <w:ind w:firstLine="324"/>
        <w:spacing w:after="0" w:line="264"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the laws, rules, regulations, interpretations or policies relating to financial institution, accounting, tax, trade, monetary and fiscal matters;</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17" w:lineRule="exact"/>
        <w:rPr>
          <w:rFonts w:ascii="Arial" w:cs="Arial" w:eastAsia="Arial" w:hAnsi="Arial"/>
          <w:sz w:val="18"/>
          <w:szCs w:val="18"/>
          <w:color w:val="auto"/>
        </w:rPr>
      </w:pPr>
    </w:p>
    <w:p>
      <w:pPr>
        <w:ind w:firstLine="324"/>
        <w:spacing w:after="0" w:line="264"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2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2020 in addition to and other reports as filed with the SEC.</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provide quality service, customized solutions and tailored advice to commercial clients in our operating markets.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9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outbreak of COVID-19, which was declared a pandemic by the World Health Organization on March 11, 2020, has led to adverse impacts on economic conditions and created uncertainty in financial markets. In early March 2020, the Company began preparing for potential disruptions and government limitations on activity in the markets in which we serve. Our team activated our Business Continuity Program and was able to quickly execute on multiple initiatives to adjust our operations to protect the health and safety of our employees and clients. Currently, a significant portion of our workforce is working remotely without materially impacting our productivity while continuing to provide a high level of customer service. Since the beginning of the crisis, we have been in close contact with our clients, assessing the level of impact on their businesses, and providing relief programs according to each client’s specific situation and qualifications. Currently, four of the Company’s branches are open and one remains temporarily closed. We have enhanced awareness of digital banking offerings and limited the number of customers in the branch and have taken steps to comply with various government directives regarding “social distancing,” as well as enhanced cleaning and disinfecting of surface areas to protect our clients and employees.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Small Business Administration’s Paycheck Protection Program</w:t>
      </w:r>
    </w:p>
    <w:p>
      <w:pPr>
        <w:spacing w:after="0" w:line="21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were able to quickly establish our process for participating in the Small Business Administration’s Paycheck Protection Program (“SBA-PPP”) that enabled our clients to utilize this valuable resource. SBA-PPP loans are designed to provide assistance for small businesses during the COVID-19 pandemic to help meet the costs associated with payroll, mortgage interest, rent and utilities. These loans are 100% guaranteed by the SBA and, under certain circumstances, forgiveness of the loan by the SBA is granted to the borrower. Forgiveness is also based on the small business maintaining or quickly rehiring their employees and maintaining salary levels for their employees. SBA-PPP loans do not require any collateral or personal guarantees. As of March 31, 2021, the outstanding loan balance was approximately $272.1 million for SBA-PPP loans that were originated in the first and second rounds of the program. These efforts have allowed us to further strengthen and deepen our client relationships, while positively impacting thousands of individuals. We monitor the credit quality of the loan portfolio and we monitor line of credit draws for deviation from normal activity to improve loan performance and reduce credit risk.</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Short-term Modifications for Borrowers</w:t>
      </w:r>
    </w:p>
    <w:p>
      <w:pPr>
        <w:spacing w:after="0" w:line="21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keeping with regulatory guidance to work with borrowers during this unprecedented situation and as outlined in Section 4013 of the Coronavirus Aid, Relief, and Economic Security Act (“CARES Act”), the Company is providing loan modifications where appropriate, including potential interest only payments or payment deferrals for clients that are adversely affected by the COVID-19 pandemic. Section 4013 of the CARES Act, as amended by the Consolidated Appropriations Act, 2021, also addressed COVID-19 related modifications and specified that such modifications made between March 1, 2020 and the earlier of (i) 60 days after the date of termination of the National Emergency or (ii) January 1, 2022,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Commercial and consumer loans still on COVID-19 related deferrals were $30.5 million at December 31, 2020 and have decreased to $25.5 million or approximately 1.94% of portfolio loans receivable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Liquidity</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are monitoring our liquidity position on an ongoing basis as the circumstances surrounding the pandemic continue to evolve. The Company has several available sources of on and off-balance sheet liquidity. Currently, the Company has not needed to tap into these available liquidity sources . The potential for increased reliance on available liquidity sources may be required based on the effects of the pandemic and their impact on the level of deposits and other factors. Additional discussion on our liquidity as of the report date is reflected in the “Liquidity” section of management’s discussion and analysis.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As of March 31, 2021,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are closely monitoring our capital position and are taking appropriate steps to ensure our level of capital remains strong.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20" w:type="dxa"/>
            <w:vAlign w:val="bottom"/>
            <w:tcBorders>
              <w:bottom w:val="single" w:sz="8" w:color="auto"/>
            </w:tcBorders>
          </w:tcPr>
          <w:p>
            <w:pPr>
              <w:spacing w:after="0"/>
              <w:rPr>
                <w:sz w:val="16"/>
                <w:szCs w:val="16"/>
                <w:color w:val="auto"/>
              </w:rPr>
            </w:pPr>
          </w:p>
        </w:tc>
      </w:tr>
      <w:tr>
        <w:trPr>
          <w:trHeight w:val="179"/>
        </w:trPr>
        <w:tc>
          <w:tcPr>
            <w:tcW w:w="58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Change</w:t>
            </w:r>
          </w:p>
        </w:tc>
      </w:tr>
      <w:tr>
        <w:trPr>
          <w:trHeight w:val="118"/>
        </w:trPr>
        <w:tc>
          <w:tcPr>
            <w:tcW w:w="580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1"/>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240" w:type="dxa"/>
            <w:vAlign w:val="bottom"/>
            <w:shd w:val="clear" w:color="auto" w:fill="CCEEFF"/>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26,638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22.5</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(45.9)</w:t>
            </w:r>
          </w:p>
        </w:tc>
      </w:tr>
      <w:tr>
        <w:trPr>
          <w:trHeight w:val="205"/>
        </w:trPr>
        <w:tc>
          <w:tcPr>
            <w:tcW w:w="580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Net interest income</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24,444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17,687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38.2</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loan losses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(79.1)</w:t>
            </w:r>
          </w:p>
        </w:tc>
      </w:tr>
      <w:tr>
        <w:trPr>
          <w:trHeight w:val="205"/>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23,941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15,278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56.7</w:t>
            </w:r>
          </w:p>
        </w:tc>
      </w:tr>
      <w:tr>
        <w:trPr>
          <w:trHeight w:val="212"/>
        </w:trPr>
        <w:tc>
          <w:tcPr>
            <w:tcW w:w="580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13,951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5,535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152.1</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25,767</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53.4</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 before income taxes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12,125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4,014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202.1</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3,143</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191.0</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w:t>
            </w:r>
          </w:p>
        </w:tc>
        <w:tc>
          <w:tcPr>
            <w:tcW w:w="1240" w:type="dxa"/>
            <w:vAlign w:val="bottom"/>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8,982</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206.1</w:t>
            </w:r>
          </w:p>
        </w:tc>
      </w:tr>
      <w:tr>
        <w:trPr>
          <w:trHeight w:val="20"/>
        </w:trPr>
        <w:tc>
          <w:tcPr>
            <w:tcW w:w="5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7"/>
          <w:szCs w:val="17"/>
          <w:color w:val="auto"/>
        </w:rPr>
        <w:t>Net income for the three months ended March 31, 2021 increased 206.1 percent to $9.0 million from $2.9 million for the three months ended March 31, 2020. The increase was primarily due to increases in interest income, credit card fees and mortgage banking revenue (included in noninterest income), and a decrease in interest expense. In addition, there was a decrease in the loan loss provision of $1.9 million in the current quarter, as a result of the improving economic environment from the COVID-19 worldwide pandemic. Noninterest expense was $25.8 million for the three months ended March 31, 2021, compared to $16.8 million for the three months ended March 31, 2020, an increase of $9.0 million, or 53.4%. The increase was primarily due to an increase of $5.2 million, or 126.2%, in data processing expenses, resulting from the increase in OpenSky</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accounts and in the number of loan and deposit accounts as compared to the three months ended March 31, 2020. In addition, there were increases in salaries and benefits of $1.2 million and other operating expenses of $1.1 million, or 48.0%.</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35"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We analyze our ability to generate income from interest earning assets and control the interest expenses of our liabilities, measured as net interest income, through our net interest margin and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3" w:name="page44"/>
    <w:bookmarkEnd w:id="43"/>
    <w:p>
      <w:pPr>
        <w:spacing w:after="0" w:line="183"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interest spread. 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20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Maryland metropolitan areas, as well as developments affecting the real estate, technology, government services, hospitality and tourism and financial services sectors within our target markets and throughout the Washington, D.C. and Baltimore, Maryland metropolitan areas. Our ability to respond to changes in these factors by using effective asset-liability management techniques will affect the stability of our net interest income and net interest margin.</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costs are calculated by dividing income or expense by the average daily balances of the corresponding assets or liabilities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8"/>
              </w:rPr>
              <w:t>Interest</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2"/>
        </w:trPr>
        <w:tc>
          <w:tcPr>
            <w:tcW w:w="36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18"/>
        </w:trPr>
        <w:tc>
          <w:tcPr>
            <w:tcW w:w="3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205,799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3,871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106,704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3,906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6.87 %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72,460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232,371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2,205</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3.85 %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1,298,352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23,382</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7.30 %</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1,175,090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7.09 %</w:t>
            </w:r>
          </w:p>
        </w:tc>
        <w:tc>
          <w:tcPr>
            <w:tcW w:w="0" w:type="dxa"/>
            <w:vAlign w:val="bottom"/>
          </w:tcPr>
          <w:p>
            <w:pPr>
              <w:spacing w:after="0"/>
              <w:rPr>
                <w:sz w:val="1"/>
                <w:szCs w:val="1"/>
                <w:color w:val="auto"/>
              </w:rPr>
            </w:pPr>
          </w:p>
        </w:tc>
      </w:tr>
      <w:tr>
        <w:trPr>
          <w:trHeight w:val="179"/>
        </w:trPr>
        <w:tc>
          <w:tcPr>
            <w:tcW w:w="3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1,923,463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26,638</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5.62 %</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1,379,199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21,744</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6.34 %</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25,803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1,949,266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1,397,298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256,958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0.11 %</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143,875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0.64 %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471,154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530</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0.46 %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446,928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332,660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1,407</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35,343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2.15 %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45,757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3.90 %</w:t>
            </w:r>
          </w:p>
        </w:tc>
        <w:tc>
          <w:tcPr>
            <w:tcW w:w="0" w:type="dxa"/>
            <w:vAlign w:val="bottom"/>
          </w:tcPr>
          <w:p>
            <w:pPr>
              <w:spacing w:after="0"/>
              <w:rPr>
                <w:sz w:val="1"/>
                <w:szCs w:val="1"/>
                <w:color w:val="auto"/>
              </w:rPr>
            </w:pPr>
          </w:p>
        </w:tc>
      </w:tr>
      <w:tr>
        <w:trPr>
          <w:trHeight w:val="179"/>
        </w:trPr>
        <w:tc>
          <w:tcPr>
            <w:tcW w:w="3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1,101,746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2,194</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0.81 %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945,022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4,057</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165"/>
        </w:trPr>
        <w:tc>
          <w:tcPr>
            <w:tcW w:w="360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24,059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660,086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295,060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163,375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1,949,266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1,397,298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4.60 %</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0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9"/>
              <w:spacing w:after="0" w:line="15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24,444</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17,687</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5.15 %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5.16 %</w:t>
            </w:r>
          </w:p>
        </w:tc>
        <w:tc>
          <w:tcPr>
            <w:tcW w:w="0" w:type="dxa"/>
            <w:vAlign w:val="bottom"/>
          </w:tcPr>
          <w:p>
            <w:pPr>
              <w:spacing w:after="0" w:line="20" w:lineRule="exact"/>
              <w:rPr>
                <w:sz w:val="1"/>
                <w:szCs w:val="1"/>
                <w:color w:val="auto"/>
              </w:rPr>
            </w:pPr>
          </w:p>
        </w:tc>
      </w:tr>
      <w:tr>
        <w:trPr>
          <w:trHeight w:val="132"/>
        </w:trPr>
        <w:tc>
          <w:tcPr>
            <w:tcW w:w="3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86" w:lineRule="auto"/>
        <w:tabs>
          <w:tab w:leader="none" w:pos="3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1" w:lineRule="auto"/>
        <w:tabs>
          <w:tab w:leader="none" w:pos="320"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March 31, 2020 and 2021, SBA-PPP loans and credit card loans collectively accounted for 145 and 120 basis points of the reported net interest margin, respectively.</w:t>
      </w: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3"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changes attributable to changes in interest rates. For purposes of this table, changes attributable to both rate and volume that cannot be segregated have been proportionately allocated to both volume and rate.</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6"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Three Months Ended March 31, 2021</w:t>
      </w:r>
    </w:p>
    <w:p>
      <w:pPr>
        <w:spacing w:after="0" w:line="27"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Compared to the</w:t>
      </w:r>
    </w:p>
    <w:p>
      <w:pPr>
        <w:spacing w:after="0" w:line="7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7"/>
          </w:tcPr>
          <w:p>
            <w:pPr>
              <w:jc w:val="center"/>
              <w:ind w:right="49"/>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81"/>
        </w:trPr>
        <w:tc>
          <w:tcPr>
            <w:tcW w:w="6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 Due To</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57"/>
        </w:trPr>
        <w:tc>
          <w:tcPr>
            <w:tcW w:w="66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Volume</w:t>
            </w:r>
          </w:p>
        </w:tc>
        <w:tc>
          <w:tcPr>
            <w:tcW w:w="660" w:type="dxa"/>
            <w:vAlign w:val="bottom"/>
          </w:tcPr>
          <w:p>
            <w:pPr>
              <w:spacing w:after="0"/>
              <w:rPr>
                <w:sz w:val="17"/>
                <w:szCs w:val="17"/>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Rate</w:t>
            </w:r>
          </w:p>
        </w:tc>
        <w:tc>
          <w:tcPr>
            <w:tcW w:w="420" w:type="dxa"/>
            <w:vAlign w:val="bottom"/>
          </w:tcPr>
          <w:p>
            <w:pPr>
              <w:spacing w:after="0"/>
              <w:rPr>
                <w:sz w:val="17"/>
                <w:szCs w:val="17"/>
                <w:color w:val="auto"/>
              </w:rPr>
            </w:pPr>
          </w:p>
        </w:tc>
        <w:tc>
          <w:tcPr>
            <w:tcW w:w="900" w:type="dxa"/>
            <w:vAlign w:val="bottom"/>
          </w:tcPr>
          <w:p>
            <w:pPr>
              <w:jc w:val="right"/>
              <w:ind w:right="249"/>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1"/>
        </w:trPr>
        <w:tc>
          <w:tcPr>
            <w:tcW w:w="66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Interest Income:</w:t>
            </w: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6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bearing deposits</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6"/>
        </w:trPr>
        <w:tc>
          <w:tcPr>
            <w:tcW w:w="6620" w:type="dxa"/>
            <w:vAlign w:val="bottom"/>
          </w:tcPr>
          <w:p>
            <w:pPr>
              <w:ind w:left="500"/>
              <w:spacing w:after="0"/>
              <w:rPr>
                <w:sz w:val="20"/>
                <w:szCs w:val="20"/>
                <w:color w:val="auto"/>
              </w:rPr>
            </w:pPr>
            <w:r>
              <w:rPr>
                <w:rFonts w:ascii="Arial" w:cs="Arial" w:eastAsia="Arial" w:hAnsi="Arial"/>
                <w:sz w:val="14"/>
                <w:szCs w:val="14"/>
                <w:color w:val="auto"/>
              </w:rPr>
              <w:t>Federal funds sold</w:t>
            </w:r>
          </w:p>
        </w:tc>
        <w:tc>
          <w:tcPr>
            <w:tcW w:w="5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662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5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5"/>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6"/>
        </w:trPr>
        <w:tc>
          <w:tcPr>
            <w:tcW w:w="662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5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2,205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86"/>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receivable</w:t>
            </w: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2,077</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79"/>
        </w:trPr>
        <w:tc>
          <w:tcPr>
            <w:tcW w:w="662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Total interest income</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5,589</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4,894</w:t>
            </w:r>
          </w:p>
        </w:tc>
        <w:tc>
          <w:tcPr>
            <w:tcW w:w="0" w:type="dxa"/>
            <w:vAlign w:val="bottom"/>
          </w:tcPr>
          <w:p>
            <w:pPr>
              <w:spacing w:after="0"/>
              <w:rPr>
                <w:sz w:val="1"/>
                <w:szCs w:val="1"/>
                <w:color w:val="auto"/>
              </w:rPr>
            </w:pPr>
          </w:p>
        </w:tc>
      </w:tr>
      <w:tr>
        <w:trPr>
          <w:trHeight w:val="192"/>
        </w:trPr>
        <w:tc>
          <w:tcPr>
            <w:tcW w:w="6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20" w:type="dxa"/>
            <w:vAlign w:val="bottom"/>
          </w:tcPr>
          <w:p>
            <w:pPr>
              <w:ind w:left="340"/>
              <w:spacing w:after="0"/>
              <w:rPr>
                <w:sz w:val="20"/>
                <w:szCs w:val="20"/>
                <w:color w:val="auto"/>
              </w:rPr>
            </w:pPr>
            <w:r>
              <w:rPr>
                <w:rFonts w:ascii="Arial" w:cs="Arial" w:eastAsia="Arial" w:hAnsi="Arial"/>
                <w:sz w:val="14"/>
                <w:szCs w:val="14"/>
                <w:b w:val="1"/>
                <w:bCs w:val="1"/>
                <w:color w:val="auto"/>
              </w:rPr>
              <w:t>Interest Expense:</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bearing demand accounts</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6"/>
        </w:trPr>
        <w:tc>
          <w:tcPr>
            <w:tcW w:w="6620" w:type="dxa"/>
            <w:vAlign w:val="bottom"/>
          </w:tcPr>
          <w:p>
            <w:pPr>
              <w:ind w:left="500"/>
              <w:spacing w:after="0"/>
              <w:rPr>
                <w:sz w:val="20"/>
                <w:szCs w:val="20"/>
                <w:color w:val="auto"/>
              </w:rPr>
            </w:pPr>
            <w:r>
              <w:rPr>
                <w:rFonts w:ascii="Arial" w:cs="Arial" w:eastAsia="Arial" w:hAnsi="Arial"/>
                <w:sz w:val="14"/>
                <w:szCs w:val="14"/>
                <w:color w:val="auto"/>
              </w:rPr>
              <w:t>Savings</w:t>
            </w:r>
          </w:p>
        </w:tc>
        <w:tc>
          <w:tcPr>
            <w:tcW w:w="5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6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Money market accounts</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86"/>
        </w:trPr>
        <w:tc>
          <w:tcPr>
            <w:tcW w:w="6620" w:type="dxa"/>
            <w:vAlign w:val="bottom"/>
          </w:tcPr>
          <w:p>
            <w:pPr>
              <w:ind w:left="500"/>
              <w:spacing w:after="0"/>
              <w:rPr>
                <w:sz w:val="20"/>
                <w:szCs w:val="20"/>
                <w:color w:val="auto"/>
              </w:rPr>
            </w:pPr>
            <w:r>
              <w:rPr>
                <w:rFonts w:ascii="Arial" w:cs="Arial" w:eastAsia="Arial" w:hAnsi="Arial"/>
                <w:sz w:val="14"/>
                <w:szCs w:val="14"/>
                <w:color w:val="auto"/>
              </w:rPr>
              <w:t>Time deposits</w:t>
            </w:r>
          </w:p>
        </w:tc>
        <w:tc>
          <w:tcPr>
            <w:tcW w:w="52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5"/>
        </w:trPr>
        <w:tc>
          <w:tcPr>
            <w:tcW w:w="6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Borrowed funds</w:t>
            </w: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9"/>
        </w:trPr>
        <w:tc>
          <w:tcPr>
            <w:tcW w:w="66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interest expense</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2,915</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(4,778)</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04"/>
        </w:trPr>
        <w:tc>
          <w:tcPr>
            <w:tcW w:w="6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5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2,674</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4,083</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Net interest income increased by $6.8 million, or 38.2%, for the first quarter of 2021 compared to the first quarter of 2020 as average total interest earning assets increased from $1.4 billion to $1.9 billion. The increase in average interest earning assets was driven by an increase in average portfolio loan balances of $123.3 million, or 10.5%, from an average of $1.2 billion for the quarter ended March 31, 2020 to $1.3 billion for the quarter ended March 31, 2021. Average interest earning assets were also boosted by the SBA-PPP loans which had an average balance of $232.4 million for the three months ended March 3, 2021. There were no comparable loans in the first quarter of 2020. Reflective of the decreasing interest rate environment and the below market yield on the SBA-PPP loans, the yield on interest earning assets decreased 73 basis points, from 6.34% for the three months ended March 31, 2020 to 5.62% for the three months ended March 31, 2021.</w:t>
      </w:r>
    </w:p>
    <w:p>
      <w:pPr>
        <w:spacing w:after="0" w:line="210"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Average interest bearing liabilities increased by $156.7 million, or 16.6%, from $945.0 million for the first quarter of 2020 to $1.1 billion for the first quarter of 2021. The increase was due to growth of $167.1 million, or 18.6%, in the average balance of interest bearing deposits partially offset by a decrease in the average balance of borrowed funds of $10.4 million, or 22.8%. The average interest rate paid on interest bearing liabilities decreased 92 basis points to 0.81% for the first quarter of 2021 from 1.73% for the first quarter of 2020. The average interest rate on interest bearing deposits and borrowed funds decreased by 92 basis points. The decreases in the interest rates reflect market interest rate decreases in 2020 and 2021.</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net interest margin decreased 1 basis point to 5.15% for the three months ended March 31, 2021, from 5.16% for the three months ended March 31, 2020. Excluding credit cards and SBA-PPP loans, the Company’s net interest margin was 3.70% for the three months ended March 31, 2021,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6" w:name="page47"/>
    <w:bookmarkEnd w:id="46"/>
    <w:p>
      <w:pPr>
        <w:spacing w:after="0" w:line="18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26 basis points from 3.96% for the three months ended March 31, 2020. The year over year net interest margin decrease of 1 basis point was primarily due to the declining rate environment. The Company’s net interest spread was 4.81% and 4.60% for the three months ended March</w:t>
      </w:r>
    </w:p>
    <w:tbl>
      <w:tblPr>
        <w:tblLayout w:type="fixed"/>
        <w:tblInd w:w="0" w:type="dxa"/>
        <w:tblCellMar>
          <w:top w:w="0" w:type="dxa"/>
          <w:left w:w="0" w:type="dxa"/>
          <w:bottom w:w="0" w:type="dxa"/>
          <w:right w:w="0" w:type="dxa"/>
        </w:tblCellMar>
      </w:tblPr>
      <w:tr>
        <w:trPr>
          <w:trHeight w:val="212"/>
        </w:trPr>
        <w:tc>
          <w:tcPr>
            <w:tcW w:w="1360" w:type="dxa"/>
            <w:vAlign w:val="bottom"/>
          </w:tcPr>
          <w:p>
            <w:pPr>
              <w:spacing w:after="0"/>
              <w:rPr>
                <w:sz w:val="20"/>
                <w:szCs w:val="20"/>
                <w:color w:val="auto"/>
              </w:rPr>
            </w:pPr>
            <w:r>
              <w:rPr>
                <w:rFonts w:ascii="Arial" w:cs="Arial" w:eastAsia="Arial" w:hAnsi="Arial"/>
                <w:sz w:val="18"/>
                <w:szCs w:val="18"/>
                <w:color w:val="auto"/>
              </w:rPr>
              <w:t>31,</w:t>
            </w:r>
          </w:p>
        </w:tc>
        <w:tc>
          <w:tcPr>
            <w:tcW w:w="2620" w:type="dxa"/>
            <w:vAlign w:val="bottom"/>
          </w:tcPr>
          <w:p>
            <w:pPr>
              <w:jc w:val="right"/>
              <w:ind w:right="1032"/>
              <w:spacing w:after="0"/>
              <w:rPr>
                <w:sz w:val="20"/>
                <w:szCs w:val="20"/>
                <w:color w:val="auto"/>
              </w:rPr>
            </w:pPr>
            <w:r>
              <w:rPr>
                <w:rFonts w:ascii="Arial" w:cs="Arial" w:eastAsia="Arial" w:hAnsi="Arial"/>
                <w:sz w:val="18"/>
                <w:szCs w:val="18"/>
                <w:color w:val="auto"/>
              </w:rPr>
              <w:t>2021</w:t>
            </w:r>
          </w:p>
        </w:tc>
        <w:tc>
          <w:tcPr>
            <w:tcW w:w="2500" w:type="dxa"/>
            <w:vAlign w:val="bottom"/>
          </w:tcPr>
          <w:p>
            <w:pPr>
              <w:ind w:left="1100"/>
              <w:spacing w:after="0"/>
              <w:rPr>
                <w:sz w:val="20"/>
                <w:szCs w:val="20"/>
                <w:color w:val="auto"/>
              </w:rPr>
            </w:pPr>
            <w:r>
              <w:rPr>
                <w:rFonts w:ascii="Arial" w:cs="Arial" w:eastAsia="Arial" w:hAnsi="Arial"/>
                <w:sz w:val="18"/>
                <w:szCs w:val="18"/>
                <w:color w:val="auto"/>
              </w:rPr>
              <w:t>and</w:t>
            </w:r>
          </w:p>
        </w:tc>
        <w:tc>
          <w:tcPr>
            <w:tcW w:w="2680" w:type="dxa"/>
            <w:vAlign w:val="bottom"/>
          </w:tcPr>
          <w:p>
            <w:pPr>
              <w:jc w:val="right"/>
              <w:ind w:right="1032"/>
              <w:spacing w:after="0"/>
              <w:rPr>
                <w:sz w:val="20"/>
                <w:szCs w:val="20"/>
                <w:color w:val="auto"/>
              </w:rPr>
            </w:pPr>
            <w:r>
              <w:rPr>
                <w:rFonts w:ascii="Arial" w:cs="Arial" w:eastAsia="Arial" w:hAnsi="Arial"/>
                <w:sz w:val="18"/>
                <w:szCs w:val="18"/>
                <w:color w:val="auto"/>
              </w:rPr>
              <w:t>2020,</w:t>
            </w:r>
          </w:p>
        </w:tc>
        <w:tc>
          <w:tcPr>
            <w:tcW w:w="2080" w:type="dxa"/>
            <w:vAlign w:val="bottom"/>
          </w:tcPr>
          <w:p>
            <w:pPr>
              <w:ind w:left="1100"/>
              <w:spacing w:after="0"/>
              <w:rPr>
                <w:sz w:val="20"/>
                <w:szCs w:val="20"/>
                <w:color w:val="auto"/>
              </w:rPr>
            </w:pPr>
            <w:r>
              <w:rPr>
                <w:rFonts w:ascii="Arial" w:cs="Arial" w:eastAsia="Arial" w:hAnsi="Arial"/>
                <w:sz w:val="18"/>
                <w:szCs w:val="18"/>
                <w:color w:val="auto"/>
                <w:w w:val="95"/>
              </w:rPr>
              <w:t>respectively.</w:t>
            </w:r>
          </w:p>
        </w:tc>
      </w:tr>
      <w:tr>
        <w:trPr>
          <w:trHeight w:val="166"/>
        </w:trPr>
        <w:tc>
          <w:tcPr>
            <w:tcW w:w="1360" w:type="dxa"/>
            <w:vAlign w:val="bottom"/>
          </w:tcPr>
          <w:p>
            <w:pPr>
              <w:ind w:left="20"/>
              <w:spacing w:after="0"/>
              <w:rPr>
                <w:sz w:val="20"/>
                <w:szCs w:val="20"/>
                <w:color w:val="auto"/>
              </w:rPr>
            </w:pPr>
            <w:r>
              <w:rPr>
                <w:rFonts w:ascii="Arial" w:cs="Arial" w:eastAsia="Arial" w:hAnsi="Arial"/>
                <w:sz w:val="11"/>
                <w:szCs w:val="11"/>
                <w:i w:val="1"/>
                <w:iCs w:val="1"/>
                <w:color w:val="auto"/>
              </w:rPr>
              <w:t>*</w:t>
            </w:r>
          </w:p>
        </w:tc>
        <w:tc>
          <w:tcPr>
            <w:tcW w:w="2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80" w:type="dxa"/>
            <w:vAlign w:val="bottom"/>
          </w:tcPr>
          <w:p>
            <w:pPr>
              <w:spacing w:after="0"/>
              <w:rPr>
                <w:sz w:val="14"/>
                <w:szCs w:val="14"/>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35" w:lineRule="exact"/>
        <w:rPr>
          <w:sz w:val="20"/>
          <w:szCs w:val="20"/>
          <w:color w:val="auto"/>
        </w:rPr>
      </w:pPr>
    </w:p>
    <w:p>
      <w:pPr>
        <w:ind w:right="900"/>
        <w:spacing w:after="0" w:line="248"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95"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7"/>
          <w:szCs w:val="17"/>
          <w:color w:val="auto"/>
        </w:rPr>
        <w:t>Primarily as a result of an improving economic environment, the provision for loan losses declined from $2.4 million for the three months ended March 31, 2020 to $503 thousand for the three months ended March 31, 2021. For the quarter ended March 31, 2021, credit metrics improved as the economy started to recover from COVID-19. The improvement was partially offset by a small number of charge offs resulting in a $503 thousand provision. Net charge-offs amounted to $388 thousand for the three months ended March 31, 2021, compared to $196 thousand for the three months ended March 31, 2020. The increase in net charge-offs for the three months ended March 31, 2021 was primarily due to increases in charge-offs of $79 thousand in the commercial and industrial loan portfolio and $121 thousand in the credit card portfolio.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9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NONINTEREST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60" w:type="dxa"/>
            <w:vAlign w:val="bottom"/>
            <w:vMerge w:val="restart"/>
          </w:tcPr>
          <w:p>
            <w:pPr>
              <w:ind w:left="340"/>
              <w:spacing w:after="0"/>
              <w:rPr>
                <w:sz w:val="20"/>
                <w:szCs w:val="20"/>
                <w:color w:val="auto"/>
              </w:rPr>
            </w:pPr>
            <w:r>
              <w:rPr>
                <w:rFonts w:ascii="Arial" w:cs="Arial" w:eastAsia="Arial" w:hAnsi="Arial"/>
                <w:sz w:val="11"/>
                <w:szCs w:val="11"/>
                <w:i w:val="1"/>
                <w:iCs w:val="1"/>
                <w:color w:val="auto"/>
              </w:rPr>
              <w:t>(in thousands)</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18"/>
        </w:trPr>
        <w:tc>
          <w:tcPr>
            <w:tcW w:w="6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income:</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tcPr>
          <w:p>
            <w:pPr>
              <w:ind w:left="440"/>
              <w:spacing w:after="0"/>
              <w:rPr>
                <w:sz w:val="20"/>
                <w:szCs w:val="20"/>
                <w:color w:val="auto"/>
              </w:rPr>
            </w:pPr>
            <w:r>
              <w:rPr>
                <w:rFonts w:ascii="Arial" w:cs="Arial" w:eastAsia="Arial" w:hAnsi="Arial"/>
                <w:sz w:val="16"/>
                <w:szCs w:val="16"/>
                <w:color w:val="auto"/>
              </w:rPr>
              <w:t>Service charges on deposit accounts</w:t>
            </w:r>
          </w:p>
        </w:tc>
        <w:tc>
          <w:tcPr>
            <w:tcW w:w="5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Credit card fees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12"/>
        </w:trPr>
        <w:tc>
          <w:tcPr>
            <w:tcW w:w="6560" w:type="dxa"/>
            <w:vAlign w:val="bottom"/>
          </w:tcPr>
          <w:p>
            <w:pPr>
              <w:ind w:left="440"/>
              <w:spacing w:after="0"/>
              <w:rPr>
                <w:sz w:val="20"/>
                <w:szCs w:val="20"/>
                <w:color w:val="auto"/>
              </w:rPr>
            </w:pPr>
            <w:r>
              <w:rPr>
                <w:rFonts w:ascii="Arial" w:cs="Arial" w:eastAsia="Arial" w:hAnsi="Arial"/>
                <w:sz w:val="16"/>
                <w:szCs w:val="16"/>
                <w:color w:val="auto"/>
              </w:rPr>
              <w:t>Mortgage banking revenue</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7,743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222"/>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fees and charges</w:t>
            </w: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5"/>
        </w:trPr>
        <w:tc>
          <w:tcPr>
            <w:tcW w:w="6560" w:type="dxa"/>
            <w:vAlign w:val="bottom"/>
          </w:tcPr>
          <w:p>
            <w:pPr>
              <w:ind w:left="560"/>
              <w:spacing w:after="0"/>
              <w:rPr>
                <w:sz w:val="20"/>
                <w:szCs w:val="20"/>
                <w:color w:val="auto"/>
              </w:rPr>
            </w:pPr>
            <w:r>
              <w:rPr>
                <w:rFonts w:ascii="Arial" w:cs="Arial" w:eastAsia="Arial" w:hAnsi="Arial"/>
                <w:sz w:val="16"/>
                <w:szCs w:val="16"/>
                <w:color w:val="auto"/>
              </w:rPr>
              <w:t>Total noninterest income</w:t>
            </w:r>
          </w:p>
        </w:tc>
        <w:tc>
          <w:tcPr>
            <w:tcW w:w="5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13,951</w:t>
            </w: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5,535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ind w:right="222"/>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Noninterest income increased $8.4 million, or 152.0%, to $14.0 million for the three months ended March 31, 2021 from $5.5 million for the three months ended March 31, 2020. The increase was primarily due to an increase in credit card fees of $3.9 million, or 195.8%, and mortgage banking revenue, which increased by $4.8 million, or 160.4%, during the first quarter of 2021 compared to the first quarter of 2020. Mortgage banking revenue included commissions of $3.3 million for the three months ended March 31, 2021 compared to $1.0 million for the three months ended March 31, 2020, reflective of significantly higher levels of mortgage originations. Due to the overall lower interest rate environment accelerating refinances in the current year, purchase volume as a percentage of loan originations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7" w:name="page48"/>
    <w:bookmarkEnd w:id="47"/>
    <w:p>
      <w:pPr>
        <w:spacing w:after="0" w:line="183" w:lineRule="exact"/>
        <w:rPr>
          <w:sz w:val="20"/>
          <w:szCs w:val="20"/>
          <w:color w:val="auto"/>
        </w:rPr>
      </w:pPr>
    </w:p>
    <w:p>
      <w:pPr>
        <w:jc w:val="both"/>
        <w:ind w:right="100"/>
        <w:spacing w:after="0" w:line="280" w:lineRule="auto"/>
        <w:rPr>
          <w:sz w:val="20"/>
          <w:szCs w:val="20"/>
          <w:color w:val="auto"/>
        </w:rPr>
      </w:pPr>
      <w:r>
        <w:rPr>
          <w:rFonts w:ascii="Arial" w:cs="Arial" w:eastAsia="Arial" w:hAnsi="Arial"/>
          <w:sz w:val="17"/>
          <w:szCs w:val="17"/>
          <w:color w:val="auto"/>
        </w:rPr>
        <w:t>declined to 24.6% for the first quarter of 2021, compared to 32.8% for the first quarter of 2020. Proceeds from the sale of loans held for sale amounted to $412.1 million for the three months ended March 31, 2021 compared to $182.1 million for the three months ended March 31, 2020.</w:t>
      </w:r>
    </w:p>
    <w:p>
      <w:pPr>
        <w:spacing w:after="0" w:line="170" w:lineRule="exact"/>
        <w:rPr>
          <w:sz w:val="20"/>
          <w:szCs w:val="20"/>
          <w:color w:val="auto"/>
        </w:rPr>
      </w:pPr>
    </w:p>
    <w:p>
      <w:pPr>
        <w:jc w:val="both"/>
        <w:ind w:right="100" w:firstLine="318"/>
        <w:spacing w:after="0" w:line="232" w:lineRule="auto"/>
        <w:rPr>
          <w:sz w:val="20"/>
          <w:szCs w:val="20"/>
          <w:color w:val="auto"/>
        </w:rPr>
      </w:pPr>
      <w:r>
        <w:rPr>
          <w:rFonts w:ascii="Arial" w:cs="Arial" w:eastAsia="Arial" w:hAnsi="Arial"/>
          <w:sz w:val="18"/>
          <w:szCs w:val="18"/>
          <w:color w:val="auto"/>
        </w:rPr>
        <w:t>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issuances continued at higher levels, totaling 125 thousand for the three months ended March 31, 2021, compared to 43 thousand for the three months ended March 31, 2020. Credit card fees correspondingly increased $3.9 million to $5.9 million for the three months ended March 31, 2021 from $2.0 million for the three months ended March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NONINTEREST EXPENSE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6"/>
                <w:szCs w:val="16"/>
                <w:color w:val="auto"/>
              </w:rPr>
            </w:pPr>
          </w:p>
        </w:tc>
      </w:tr>
      <w:tr>
        <w:trPr>
          <w:trHeight w:val="179"/>
        </w:trPr>
        <w:tc>
          <w:tcPr>
            <w:tcW w:w="65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18"/>
        </w:trPr>
        <w:tc>
          <w:tcPr>
            <w:tcW w:w="65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31"/>
        </w:trPr>
        <w:tc>
          <w:tcPr>
            <w:tcW w:w="6580" w:type="dxa"/>
            <w:vAlign w:val="bottom"/>
          </w:tcPr>
          <w:p>
            <w:pPr>
              <w:ind w:left="340"/>
              <w:spacing w:after="0"/>
              <w:rPr>
                <w:sz w:val="20"/>
                <w:szCs w:val="20"/>
                <w:color w:val="auto"/>
              </w:rPr>
            </w:pPr>
            <w:r>
              <w:rPr>
                <w:rFonts w:ascii="Arial" w:cs="Arial" w:eastAsia="Arial" w:hAnsi="Arial"/>
                <w:sz w:val="16"/>
                <w:szCs w:val="16"/>
                <w:color w:val="auto"/>
              </w:rPr>
              <w:t>Noninterest expense:</w:t>
            </w: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5"/>
        </w:trPr>
        <w:tc>
          <w:tcPr>
            <w:tcW w:w="6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15.6</w:t>
            </w:r>
          </w:p>
        </w:tc>
      </w:tr>
      <w:tr>
        <w:trPr>
          <w:trHeight w:val="212"/>
        </w:trPr>
        <w:tc>
          <w:tcPr>
            <w:tcW w:w="658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181"/>
              <w:spacing w:after="0"/>
              <w:rPr>
                <w:sz w:val="20"/>
                <w:szCs w:val="20"/>
                <w:color w:val="auto"/>
              </w:rPr>
            </w:pPr>
            <w:r>
              <w:rPr>
                <w:rFonts w:ascii="Arial" w:cs="Arial" w:eastAsia="Arial" w:hAnsi="Arial"/>
                <w:sz w:val="16"/>
                <w:szCs w:val="16"/>
                <w:color w:val="auto"/>
              </w:rPr>
              <w:t>(4.2)</w:t>
            </w:r>
          </w:p>
        </w:tc>
      </w:tr>
      <w:tr>
        <w:trPr>
          <w:trHeight w:val="212"/>
        </w:trPr>
        <w:tc>
          <w:tcPr>
            <w:tcW w:w="6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110.9</w:t>
            </w:r>
          </w:p>
        </w:tc>
      </w:tr>
      <w:tr>
        <w:trPr>
          <w:trHeight w:val="212"/>
        </w:trPr>
        <w:tc>
          <w:tcPr>
            <w:tcW w:w="658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9,311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126.2</w:t>
            </w:r>
          </w:p>
        </w:tc>
      </w:tr>
      <w:tr>
        <w:trPr>
          <w:trHeight w:val="212"/>
        </w:trPr>
        <w:tc>
          <w:tcPr>
            <w:tcW w:w="6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31.0</w:t>
            </w:r>
          </w:p>
        </w:tc>
      </w:tr>
      <w:tr>
        <w:trPr>
          <w:trHeight w:val="212"/>
        </w:trPr>
        <w:tc>
          <w:tcPr>
            <w:tcW w:w="658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135.3</w:t>
            </w:r>
          </w:p>
        </w:tc>
      </w:tr>
      <w:tr>
        <w:trPr>
          <w:trHeight w:val="212"/>
        </w:trPr>
        <w:tc>
          <w:tcPr>
            <w:tcW w:w="6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Foreclosed real estate expense, net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(91.1)</w:t>
            </w:r>
          </w:p>
        </w:tc>
      </w:tr>
      <w:tr>
        <w:trPr>
          <w:trHeight w:val="212"/>
        </w:trPr>
        <w:tc>
          <w:tcPr>
            <w:tcW w:w="6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48.0</w:t>
            </w:r>
          </w:p>
        </w:tc>
      </w:tr>
      <w:tr>
        <w:trPr>
          <w:trHeight w:val="225"/>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noninterest expense</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25,767</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53.4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7"/>
          <w:szCs w:val="17"/>
          <w:color w:val="auto"/>
        </w:rPr>
        <w:t>Noninterest expense amounted to $25.8 million for the three months ended March 31, 2021, an increase of $9.0 million, or 53.4%, compared to $16.8 million for the three months ended March 31, 2020. The increase was primarily due to increases in salaries and employee benefits, professional fees, data processing expenses, loan processing and other expenses. The increase of $1.2 million in salary and employee benefits expense resulted from a 10.4% increase in employees to 265 at March 31, 2021, from 240 at March 31, 2020. The increase in employees is reflective of the organic growth of the Company. In addition, there was an increase of $5.2 million in data processing expense reflecting the higher volume of open credit cards and higher loan and deposit balances during the period. Furthermore, operating expenses increased $1.1 million due to increases in marketing and advertising, credit expenses, professional fees and FDIC insurance.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5"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As changes in tax laws or rates are enacted, deferred tax assets and liabilities are adjusted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8" w:name="page49"/>
    <w:bookmarkEnd w:id="48"/>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 for income taxes. Valuation allowances are established when necessary to reduce deferred tax assets to the amount expected to be realized.</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Income tax expense was $3.1 million for the three months ended March 31, 2021 compared to $1.1 million for the three months ended March 31, 2020. Our effective tax rates were approximately 25.9% and 26.9% for the 2021 and 2020 periods, respectively. The increase in income tax expense in 2021 relative to the comparable period in 2020 was due to higher pre-tax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9"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As of March 31, 2021, total assets increased $215.3 million from December 31, 2020 to approximately $2.1 billion. The increase was primarily attributable to the origination and funding of $122.4 million of SBA-PPP loans supplemented with strong organic deposit growth during the quarter. Federal funds sold, interest bearing deposits at other financial institutions and investment securities available for sale also increased. These increases were partially offset by decreases in loans held for sale, portfolio loans and premises and equipment. Noninterest bearing deposits increased to $771.9 million at March 31, 2021 from $608.6 million at December 31, 2020 and interest bearing deposits increased to $1.1 billion from $1.0 billion in the period. Stockholders’ equity increased $7.7 million, or 4.8%, to $167.0 million at March 31, 2021, primarily due to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March 31, 2021, interest bearing deposits at other financial institutions increased $168.7 million, or 133.8%, to $294.8 million from $126.1 million at December 31, 2020. The increase was primarily due to increased deposits from customer fiduciary deposit accounts.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35"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20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9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investment portfolio increased by 28.3%, or approximately $28.2 million, from $99.8 million at December 31, 2020, to $128.0 million at March 31, 2021 primarily as a result of purchases of $35.5 million, which were partially offset by $4.6 million of principal paydowns and a decrease in unrealized gain on securities of $2.3 million. To supplement interest income earned on our loan portfolio, we invest in mortgage-backed securities, government agency bonds, and high quality municipal and corporate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3"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March 31, 2021 and the amortized cost and carrying value of those securities as of the indicated dates.</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INVESTMENT MATURITIES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One Year or Less</w:t>
            </w:r>
          </w:p>
        </w:tc>
        <w:tc>
          <w:tcPr>
            <w:tcW w:w="120" w:type="dxa"/>
            <w:vAlign w:val="bottom"/>
          </w:tcPr>
          <w:p>
            <w:pPr>
              <w:spacing w:after="0"/>
              <w:rPr>
                <w:sz w:val="12"/>
                <w:szCs w:val="12"/>
                <w:color w:val="auto"/>
              </w:rPr>
            </w:pP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More Than One Year</w:t>
            </w:r>
          </w:p>
        </w:tc>
        <w:tc>
          <w:tcPr>
            <w:tcW w:w="140" w:type="dxa"/>
            <w:vAlign w:val="bottom"/>
          </w:tcPr>
          <w:p>
            <w:pPr>
              <w:spacing w:after="0"/>
              <w:rPr>
                <w:sz w:val="12"/>
                <w:szCs w:val="12"/>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rPr>
              <w:t>More Than Five Years</w:t>
            </w:r>
          </w:p>
        </w:tc>
        <w:tc>
          <w:tcPr>
            <w:tcW w:w="100" w:type="dxa"/>
            <w:vAlign w:val="bottom"/>
          </w:tcPr>
          <w:p>
            <w:pPr>
              <w:spacing w:after="0"/>
              <w:rPr>
                <w:sz w:val="12"/>
                <w:szCs w:val="12"/>
                <w:color w:val="auto"/>
              </w:rPr>
            </w:pPr>
          </w:p>
        </w:tc>
        <w:tc>
          <w:tcPr>
            <w:tcW w:w="176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More Than 10 Years</w:t>
            </w:r>
          </w:p>
        </w:tc>
        <w:tc>
          <w:tcPr>
            <w:tcW w:w="8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Through Five Years</w:t>
            </w:r>
          </w:p>
        </w:tc>
        <w:tc>
          <w:tcPr>
            <w:tcW w:w="140" w:type="dxa"/>
            <w:vAlign w:val="bottom"/>
          </w:tcPr>
          <w:p>
            <w:pPr>
              <w:spacing w:after="0"/>
              <w:rPr>
                <w:sz w:val="14"/>
                <w:szCs w:val="14"/>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rPr>
              <w:t>Through 10 Years</w:t>
            </w:r>
          </w:p>
        </w:tc>
        <w:tc>
          <w:tcPr>
            <w:tcW w:w="10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ind w:left="20"/>
              <w:spacing w:after="0" w:line="106" w:lineRule="exact"/>
              <w:rPr>
                <w:sz w:val="20"/>
                <w:szCs w:val="20"/>
                <w:color w:val="auto"/>
              </w:rPr>
            </w:pPr>
            <w:r>
              <w:rPr>
                <w:rFonts w:ascii="Arial" w:cs="Arial" w:eastAsia="Arial" w:hAnsi="Arial"/>
                <w:sz w:val="11"/>
                <w:szCs w:val="11"/>
                <w:b w:val="1"/>
                <w:bCs w:val="1"/>
                <w:color w:val="auto"/>
              </w:rPr>
              <w:t>Book</w:t>
            </w:r>
          </w:p>
        </w:tc>
        <w:tc>
          <w:tcPr>
            <w:tcW w:w="820" w:type="dxa"/>
            <w:vAlign w:val="bottom"/>
            <w:tcBorders>
              <w:top w:val="single" w:sz="8" w:color="auto"/>
            </w:tcBorders>
          </w:tcPr>
          <w:p>
            <w:pPr>
              <w:ind w:left="180"/>
              <w:spacing w:after="0" w:line="106"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ind w:left="40"/>
              <w:spacing w:after="0" w:line="106" w:lineRule="exact"/>
              <w:rPr>
                <w:sz w:val="20"/>
                <w:szCs w:val="20"/>
                <w:color w:val="auto"/>
              </w:rPr>
            </w:pPr>
            <w:r>
              <w:rPr>
                <w:rFonts w:ascii="Arial" w:cs="Arial" w:eastAsia="Arial" w:hAnsi="Arial"/>
                <w:sz w:val="11"/>
                <w:szCs w:val="11"/>
                <w:b w:val="1"/>
                <w:bCs w:val="1"/>
                <w:color w:val="auto"/>
              </w:rPr>
              <w:t>Book</w:t>
            </w:r>
          </w:p>
        </w:tc>
        <w:tc>
          <w:tcPr>
            <w:tcW w:w="8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2"/>
              </w:rPr>
              <w:t>Weighted</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141"/>
              <w:spacing w:after="0" w:line="10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9"/>
        </w:trPr>
        <w:tc>
          <w:tcPr>
            <w:tcW w:w="1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Value</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Average Yield</w:t>
            </w:r>
          </w:p>
        </w:tc>
        <w:tc>
          <w:tcPr>
            <w:tcW w:w="12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Value</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Average Yield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Book Value</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Book Value</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Book Value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Fair Value</w:t>
            </w:r>
          </w:p>
        </w:tc>
        <w:tc>
          <w:tcPr>
            <w:tcW w:w="860" w:type="dxa"/>
            <w:vAlign w:val="bottom"/>
          </w:tcPr>
          <w:p>
            <w:pPr>
              <w:jc w:val="right"/>
              <w:ind w:right="21"/>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18"/>
        </w:trPr>
        <w:tc>
          <w:tcPr>
            <w:tcW w:w="172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72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Securities Available for</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20" w:type="dxa"/>
            <w:vAlign w:val="bottom"/>
          </w:tcPr>
          <w:p>
            <w:pPr>
              <w:ind w:left="20"/>
              <w:spacing w:after="0"/>
              <w:rPr>
                <w:sz w:val="20"/>
                <w:szCs w:val="20"/>
                <w:color w:val="auto"/>
              </w:rPr>
            </w:pPr>
            <w:r>
              <w:rPr>
                <w:rFonts w:ascii="Arial" w:cs="Arial" w:eastAsia="Arial" w:hAnsi="Arial"/>
                <w:sz w:val="12"/>
                <w:szCs w:val="12"/>
                <w:color w:val="auto"/>
              </w:rPr>
              <w:t>Municipal</w:t>
            </w:r>
          </w:p>
        </w:tc>
        <w:tc>
          <w:tcPr>
            <w:tcW w:w="12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10,834</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1.94 %</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10,834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10,448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1.94 %</w:t>
            </w:r>
          </w:p>
        </w:tc>
        <w:tc>
          <w:tcPr>
            <w:tcW w:w="0" w:type="dxa"/>
            <w:vAlign w:val="bottom"/>
          </w:tcPr>
          <w:p>
            <w:pPr>
              <w:spacing w:after="0"/>
              <w:rPr>
                <w:sz w:val="1"/>
                <w:szCs w:val="1"/>
                <w:color w:val="auto"/>
              </w:rPr>
            </w:pPr>
          </w:p>
        </w:tc>
      </w:tr>
      <w:tr>
        <w:trPr>
          <w:trHeight w:val="181"/>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 bonds</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4.90 %</w:t>
            </w:r>
          </w:p>
        </w:tc>
        <w:tc>
          <w:tcPr>
            <w:tcW w:w="0" w:type="dxa"/>
            <w:vAlign w:val="bottom"/>
          </w:tcPr>
          <w:p>
            <w:pPr>
              <w:spacing w:after="0"/>
              <w:rPr>
                <w:sz w:val="1"/>
                <w:szCs w:val="1"/>
                <w:color w:val="auto"/>
              </w:rPr>
            </w:pPr>
          </w:p>
        </w:tc>
      </w:tr>
      <w:tr>
        <w:trPr>
          <w:trHeight w:val="164"/>
        </w:trPr>
        <w:tc>
          <w:tcPr>
            <w:tcW w:w="1720" w:type="dxa"/>
            <w:vAlign w:val="bottom"/>
          </w:tcPr>
          <w:p>
            <w:pPr>
              <w:ind w:left="20"/>
              <w:spacing w:after="0"/>
              <w:rPr>
                <w:sz w:val="20"/>
                <w:szCs w:val="20"/>
                <w:color w:val="auto"/>
              </w:rPr>
            </w:pPr>
            <w:r>
              <w:rPr>
                <w:rFonts w:ascii="Arial" w:cs="Arial" w:eastAsia="Arial" w:hAnsi="Arial"/>
                <w:sz w:val="12"/>
                <w:szCs w:val="12"/>
                <w:color w:val="auto"/>
              </w:rPr>
              <w:t>Asset-backed securities</w:t>
            </w:r>
          </w:p>
        </w:tc>
        <w:tc>
          <w:tcPr>
            <w:tcW w:w="12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10,670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2.52 %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10,670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10,738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2.52 %</w:t>
            </w:r>
          </w:p>
        </w:tc>
        <w:tc>
          <w:tcPr>
            <w:tcW w:w="0" w:type="dxa"/>
            <w:vAlign w:val="bottom"/>
          </w:tcPr>
          <w:p>
            <w:pPr>
              <w:spacing w:after="0"/>
              <w:rPr>
                <w:sz w:val="1"/>
                <w:szCs w:val="1"/>
                <w:color w:val="auto"/>
              </w:rPr>
            </w:pPr>
          </w:p>
        </w:tc>
      </w:tr>
      <w:tr>
        <w:trPr>
          <w:trHeight w:val="174"/>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Mortgage-backed securities</w:t>
            </w: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w w:val="99"/>
              </w:rPr>
              <w:t>— %</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1,754</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1.71 %</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13,752</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85,474</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100,980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101,393</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1.53 %</w:t>
            </w:r>
          </w:p>
        </w:tc>
        <w:tc>
          <w:tcPr>
            <w:tcW w:w="0" w:type="dxa"/>
            <w:vAlign w:val="bottom"/>
          </w:tcPr>
          <w:p>
            <w:pPr>
              <w:spacing w:after="0"/>
              <w:rPr>
                <w:sz w:val="1"/>
                <w:szCs w:val="1"/>
                <w:color w:val="auto"/>
              </w:rPr>
            </w:pPr>
          </w:p>
        </w:tc>
      </w:tr>
      <w:tr>
        <w:trPr>
          <w:trHeight w:val="172"/>
        </w:trPr>
        <w:tc>
          <w:tcPr>
            <w:tcW w:w="1720" w:type="dxa"/>
            <w:vAlign w:val="bottom"/>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1,754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1.71 %</w:t>
            </w:r>
          </w:p>
        </w:tc>
        <w:tc>
          <w:tcPr>
            <w:tcW w:w="120" w:type="dxa"/>
            <w:vAlign w:val="bottom"/>
          </w:tcPr>
          <w:p>
            <w:pPr>
              <w:spacing w:after="0"/>
              <w:rPr>
                <w:sz w:val="14"/>
                <w:szCs w:val="14"/>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19,252</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2.86 %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106,978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1.52 %</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127,984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128,023</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1.79 %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35"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Maryland metropolitan areas.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PORTFOLIO LOANS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As of March 31, 2021</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89"/>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5"/>
        </w:trPr>
        <w:tc>
          <w:tcPr>
            <w:tcW w:w="398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420,461</w:t>
            </w:r>
          </w:p>
        </w:tc>
        <w:tc>
          <w:tcPr>
            <w:tcW w:w="138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437,860</w:t>
            </w:r>
          </w:p>
        </w:tc>
        <w:tc>
          <w:tcPr>
            <w:tcW w:w="14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5"/>
        </w:trPr>
        <w:tc>
          <w:tcPr>
            <w:tcW w:w="3980" w:type="dxa"/>
            <w:vAlign w:val="bottom"/>
          </w:tcPr>
          <w:p>
            <w:pPr>
              <w:ind w:left="50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433,336</w:t>
            </w:r>
          </w:p>
        </w:tc>
        <w:tc>
          <w:tcPr>
            <w:tcW w:w="1380" w:type="dxa"/>
            <w:vAlign w:val="bottom"/>
            <w:gridSpan w:val="2"/>
          </w:tcPr>
          <w:p>
            <w:pPr>
              <w:jc w:val="right"/>
              <w:ind w:right="189"/>
              <w:spacing w:after="0"/>
              <w:rPr>
                <w:sz w:val="20"/>
                <w:szCs w:val="20"/>
                <w:color w:val="auto"/>
              </w:rPr>
            </w:pPr>
            <w:r>
              <w:rPr>
                <w:rFonts w:ascii="Arial" w:cs="Arial" w:eastAsia="Arial" w:hAnsi="Arial"/>
                <w:sz w:val="14"/>
                <w:szCs w:val="14"/>
                <w:color w:val="auto"/>
              </w:rPr>
              <w:t>33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392,550</w:t>
            </w:r>
          </w:p>
        </w:tc>
        <w:tc>
          <w:tcPr>
            <w:tcW w:w="1400" w:type="dxa"/>
            <w:vAlign w:val="bottom"/>
            <w:gridSpan w:val="2"/>
          </w:tcPr>
          <w:p>
            <w:pPr>
              <w:jc w:val="right"/>
              <w:ind w:right="2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3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221,277</w:t>
            </w:r>
          </w:p>
        </w:tc>
        <w:tc>
          <w:tcPr>
            <w:tcW w:w="138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224,904</w:t>
            </w:r>
          </w:p>
        </w:tc>
        <w:tc>
          <w:tcPr>
            <w:tcW w:w="14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398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149,914</w:t>
            </w:r>
          </w:p>
        </w:tc>
        <w:tc>
          <w:tcPr>
            <w:tcW w:w="1380" w:type="dxa"/>
            <w:vAlign w:val="bottom"/>
            <w:gridSpan w:val="2"/>
          </w:tcPr>
          <w:p>
            <w:pPr>
              <w:jc w:val="right"/>
              <w:ind w:right="189"/>
              <w:spacing w:after="0"/>
              <w:rPr>
                <w:sz w:val="20"/>
                <w:szCs w:val="20"/>
                <w:color w:val="auto"/>
              </w:rPr>
            </w:pPr>
            <w:r>
              <w:rPr>
                <w:rFonts w:ascii="Arial" w:cs="Arial" w:eastAsia="Arial" w:hAnsi="Arial"/>
                <w:sz w:val="14"/>
                <w:szCs w:val="14"/>
                <w:color w:val="auto"/>
              </w:rPr>
              <w:t>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157,127</w:t>
            </w:r>
          </w:p>
        </w:tc>
        <w:tc>
          <w:tcPr>
            <w:tcW w:w="1400" w:type="dxa"/>
            <w:vAlign w:val="bottom"/>
            <w:gridSpan w:val="2"/>
          </w:tcPr>
          <w:p>
            <w:pPr>
              <w:jc w:val="right"/>
              <w:ind w:right="2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4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83,740</w:t>
            </w:r>
          </w:p>
        </w:tc>
        <w:tc>
          <w:tcPr>
            <w:tcW w:w="138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14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4,487</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Portfolio loans receivable, gross</w:t>
            </w:r>
          </w:p>
        </w:tc>
        <w:tc>
          <w:tcPr>
            <w:tcW w:w="4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1,313,215</w:t>
            </w:r>
          </w:p>
        </w:tc>
        <w:tc>
          <w:tcPr>
            <w:tcW w:w="138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1,316,276</w:t>
            </w:r>
          </w:p>
        </w:tc>
        <w:tc>
          <w:tcPr>
            <w:tcW w:w="14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4"/>
                <w:szCs w:val="14"/>
                <w:color w:val="auto"/>
              </w:rPr>
              <w:t>Deferred origination fees, net</w:t>
            </w:r>
          </w:p>
        </w:tc>
        <w:tc>
          <w:tcPr>
            <w:tcW w:w="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(840)</w:t>
            </w: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980" w:type="dxa"/>
            <w:vAlign w:val="bottom"/>
            <w:tcBorders>
              <w:bottom w:val="single" w:sz="8" w:color="CCEEFF"/>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Portfolio loans, net of unearned income</w:t>
            </w: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1,312,375</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1,315,502</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Allowance for loan losses</w:t>
            </w: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(23,550)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(23,434)</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Portfolio loans receivable, net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1,288,825</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1,292,068</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March 31, 2021:</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As of March 31, 2021</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Due in One Year</w:t>
            </w:r>
          </w:p>
        </w:tc>
        <w:tc>
          <w:tcPr>
            <w:tcW w:w="460" w:type="dxa"/>
            <w:vAlign w:val="bottom"/>
          </w:tcPr>
          <w:p>
            <w:pPr>
              <w:spacing w:after="0"/>
              <w:rPr>
                <w:sz w:val="12"/>
                <w:szCs w:val="12"/>
                <w:color w:val="auto"/>
              </w:rPr>
            </w:pPr>
          </w:p>
        </w:tc>
        <w:tc>
          <w:tcPr>
            <w:tcW w:w="14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Due in One to</w:t>
            </w:r>
          </w:p>
        </w:tc>
        <w:tc>
          <w:tcPr>
            <w:tcW w:w="480" w:type="dxa"/>
            <w:vAlign w:val="bottom"/>
          </w:tcPr>
          <w:p>
            <w:pPr>
              <w:spacing w:after="0"/>
              <w:rPr>
                <w:sz w:val="12"/>
                <w:szCs w:val="12"/>
                <w:color w:val="auto"/>
              </w:rPr>
            </w:pPr>
          </w:p>
        </w:tc>
        <w:tc>
          <w:tcPr>
            <w:tcW w:w="14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Due After</w:t>
            </w:r>
          </w:p>
        </w:tc>
        <w:tc>
          <w:tcPr>
            <w:tcW w:w="640" w:type="dxa"/>
            <w:vAlign w:val="bottom"/>
          </w:tcPr>
          <w:p>
            <w:pPr>
              <w:spacing w:after="0"/>
              <w:rPr>
                <w:sz w:val="12"/>
                <w:szCs w:val="12"/>
                <w:color w:val="auto"/>
              </w:rPr>
            </w:pPr>
          </w:p>
        </w:tc>
        <w:tc>
          <w:tcPr>
            <w:tcW w:w="9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8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or Less</w:t>
            </w:r>
          </w:p>
        </w:tc>
        <w:tc>
          <w:tcPr>
            <w:tcW w:w="4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Five Years</w:t>
            </w:r>
          </w:p>
        </w:tc>
        <w:tc>
          <w:tcPr>
            <w:tcW w:w="4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Five Years</w:t>
            </w:r>
          </w:p>
        </w:tc>
        <w:tc>
          <w:tcPr>
            <w:tcW w:w="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4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84,687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161,617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174,157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c>
          <w:tcPr>
            <w:tcW w:w="0" w:type="dxa"/>
            <w:vAlign w:val="bottom"/>
          </w:tcPr>
          <w:p>
            <w:pPr>
              <w:spacing w:after="0"/>
              <w:rPr>
                <w:sz w:val="1"/>
                <w:szCs w:val="1"/>
                <w:color w:val="auto"/>
              </w:rPr>
            </w:pPr>
          </w:p>
        </w:tc>
      </w:tr>
      <w:tr>
        <w:trPr>
          <w:trHeight w:val="186"/>
        </w:trPr>
        <w:tc>
          <w:tcPr>
            <w:tcW w:w="3840" w:type="dxa"/>
            <w:vAlign w:val="bottom"/>
          </w:tcPr>
          <w:p>
            <w:pPr>
              <w:ind w:left="50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71,163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199,790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162,383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433,3</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196,389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86"/>
        </w:trPr>
        <w:tc>
          <w:tcPr>
            <w:tcW w:w="384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68,620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48,349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32,945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83,740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4,141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Portfolio loans receivable, gross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508,740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434,835</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369,640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ind w:left="500"/>
              <w:spacing w:after="0" w:line="159" w:lineRule="exact"/>
              <w:rPr>
                <w:sz w:val="20"/>
                <w:szCs w:val="20"/>
                <w:color w:val="auto"/>
              </w:rPr>
            </w:pPr>
            <w:r>
              <w:rPr>
                <w:rFonts w:ascii="Arial" w:cs="Arial" w:eastAsia="Arial" w:hAnsi="Arial"/>
                <w:sz w:val="14"/>
                <w:szCs w:val="14"/>
                <w:color w:val="auto"/>
              </w:rPr>
              <w:t>Amounts with fixed rates</w:t>
            </w: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143,958</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322,592</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113,901</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69"/>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580,4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Amounts with floating rates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364,782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255,739</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In addition to the portfolio loans shown above, SBA-PPP loans receivable, which totaled $272.1 million at March 31, 2021, mature in the 1-5 year time-frame and carry a fixed rate of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Nonperforming loans decreased to $8.8 million, or 0.67% of total portfolio loans, at March 31, 2021 compared to $9.2 million, or 0.70% of total portfolio loans, at December 31, 2020. The $418 thousand, or 4.5%, decrease during the three months ended March 31, 2021 was primarily due to decreases of $1.3 million in commercial real estate loans, $260 thousand in nonperforming construction loans, $11 thousand in commercial loans which were partially offset by an increase of $1.1 million in residential real estate. Included in nonperforming loans at March 31, 2021 are troubled debt restructurings of $437 thousand.</w:t>
      </w:r>
    </w:p>
    <w:p>
      <w:pPr>
        <w:spacing w:after="0" w:line="195"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color w:val="auto"/>
        </w:rPr>
        <w:t>Foreclosed real estate remained consistent at $3.3 million as of March 31, 2021 compared to $3.3 million as of December 31, 2020 due to the foreclosure of a residential loan.</w:t>
      </w:r>
    </w:p>
    <w:p>
      <w:pPr>
        <w:spacing w:after="0" w:line="19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Total nonperforming assets were $12.1 million at March 31, 2021 compared to $12.6 million at December 31, 2020, or 0.58% and 0.67% of corresponding total assets, respectively.</w:t>
      </w:r>
    </w:p>
    <w:p>
      <w:pPr>
        <w:spacing w:after="0" w:line="203"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a result of the COVID-19 pandemic, we anticipate that our commercial, commercial real estate, residential and consumer borrowers could encounter economic difficulties, which could lead to increases in our levels of nonperforming assets, impaired loans and troubled debt restructurings.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1" w:name="page52"/>
    <w:bookmarkEnd w:id="51"/>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2"/>
          <w:szCs w:val="22"/>
          <w:b w:val="1"/>
          <w:bCs w:val="1"/>
          <w:color w:val="auto"/>
          <w:vertAlign w:val="superscript"/>
        </w:rPr>
        <w:t>(1)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6"/>
                <w:szCs w:val="16"/>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800" w:type="dxa"/>
            <w:vAlign w:val="bottom"/>
          </w:tcPr>
          <w:p>
            <w:pPr>
              <w:jc w:val="right"/>
              <w:ind w:right="301"/>
              <w:spacing w:after="0"/>
              <w:rPr>
                <w:sz w:val="20"/>
                <w:szCs w:val="20"/>
                <w:color w:val="auto"/>
              </w:rPr>
            </w:pPr>
            <w:r>
              <w:rPr>
                <w:rFonts w:ascii="Arial" w:cs="Arial" w:eastAsia="Arial" w:hAnsi="Arial"/>
                <w:sz w:val="14"/>
                <w:szCs w:val="14"/>
                <w:b w:val="1"/>
                <w:bCs w:val="1"/>
                <w:color w:val="auto"/>
              </w:rPr>
              <w:t>December 31, 2020</w:t>
            </w:r>
          </w:p>
        </w:tc>
      </w:tr>
      <w:tr>
        <w:trPr>
          <w:trHeight w:val="190"/>
        </w:trPr>
        <w:tc>
          <w:tcPr>
            <w:tcW w:w="6880" w:type="dxa"/>
            <w:vAlign w:val="bottom"/>
          </w:tcPr>
          <w:p>
            <w:pPr>
              <w:ind w:left="20"/>
              <w:spacing w:after="0"/>
              <w:rPr>
                <w:sz w:val="20"/>
                <w:szCs w:val="20"/>
                <w:color w:val="auto"/>
              </w:rPr>
            </w:pPr>
            <w:r>
              <w:rPr>
                <w:rFonts w:ascii="Arial" w:cs="Arial" w:eastAsia="Arial" w:hAnsi="Arial"/>
                <w:sz w:val="16"/>
                <w:szCs w:val="16"/>
                <w:color w:val="auto"/>
              </w:rPr>
              <w:t>Nonaccrual loans</w:t>
            </w:r>
          </w:p>
        </w:tc>
        <w:tc>
          <w:tcPr>
            <w:tcW w:w="3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r>
      <w:tr>
        <w:trPr>
          <w:trHeight w:val="214"/>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2"/>
        </w:trPr>
        <w:tc>
          <w:tcPr>
            <w:tcW w:w="688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340" w:type="dxa"/>
            <w:vAlign w:val="bottom"/>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21"/>
              <w:spacing w:after="0"/>
              <w:rPr>
                <w:sz w:val="20"/>
                <w:szCs w:val="20"/>
                <w:color w:val="auto"/>
              </w:rPr>
            </w:pPr>
            <w:r>
              <w:rPr>
                <w:rFonts w:ascii="Arial" w:cs="Arial" w:eastAsia="Arial" w:hAnsi="Arial"/>
                <w:sz w:val="16"/>
                <w:szCs w:val="16"/>
                <w:b w:val="1"/>
                <w:bCs w:val="1"/>
                <w:color w:val="auto"/>
              </w:rPr>
              <w:t>4,697</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3,581</w:t>
            </w:r>
          </w:p>
        </w:tc>
      </w:tr>
      <w:tr>
        <w:trPr>
          <w:trHeight w:val="212"/>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1,097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2,358</w:t>
            </w:r>
          </w:p>
        </w:tc>
      </w:tr>
      <w:tr>
        <w:trPr>
          <w:trHeight w:val="212"/>
        </w:trPr>
        <w:tc>
          <w:tcPr>
            <w:tcW w:w="6880" w:type="dxa"/>
            <w:vAlign w:val="bottom"/>
          </w:tcPr>
          <w:p>
            <w:pPr>
              <w:ind w:left="340"/>
              <w:spacing w:after="0"/>
              <w:rPr>
                <w:sz w:val="20"/>
                <w:szCs w:val="20"/>
                <w:color w:val="auto"/>
              </w:rPr>
            </w:pPr>
            <w:r>
              <w:rPr>
                <w:rFonts w:ascii="Arial" w:cs="Arial" w:eastAsia="Arial" w:hAnsi="Arial"/>
                <w:sz w:val="16"/>
                <w:szCs w:val="16"/>
                <w:color w:val="auto"/>
              </w:rPr>
              <w:t>Construction</w:t>
            </w:r>
          </w:p>
        </w:tc>
        <w:tc>
          <w:tcPr>
            <w:tcW w:w="340" w:type="dxa"/>
            <w:vAlign w:val="bottom"/>
          </w:tcPr>
          <w:p>
            <w:pPr>
              <w:spacing w:after="0"/>
              <w:rPr>
                <w:sz w:val="18"/>
                <w:szCs w:val="18"/>
                <w:color w:val="auto"/>
              </w:rPr>
            </w:pPr>
          </w:p>
        </w:tc>
        <w:tc>
          <w:tcPr>
            <w:tcW w:w="1800" w:type="dxa"/>
            <w:vAlign w:val="bottom"/>
          </w:tcPr>
          <w:p>
            <w:pPr>
              <w:jc w:val="right"/>
              <w:ind w:right="121"/>
              <w:spacing w:after="0"/>
              <w:rPr>
                <w:sz w:val="20"/>
                <w:szCs w:val="20"/>
                <w:color w:val="auto"/>
              </w:rPr>
            </w:pPr>
            <w:r>
              <w:rPr>
                <w:rFonts w:ascii="Arial" w:cs="Arial" w:eastAsia="Arial" w:hAnsi="Arial"/>
                <w:sz w:val="16"/>
                <w:szCs w:val="16"/>
                <w:b w:val="1"/>
                <w:bCs w:val="1"/>
                <w:color w:val="auto"/>
              </w:rPr>
              <w:t>1,626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1,886</w:t>
            </w:r>
          </w:p>
        </w:tc>
      </w:tr>
      <w:tr>
        <w:trPr>
          <w:trHeight w:val="212"/>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1,170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1,182</w:t>
            </w:r>
          </w:p>
        </w:tc>
      </w:tr>
      <w:tr>
        <w:trPr>
          <w:trHeight w:val="21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Accruing loans 90 or more days past due</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228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231</w:t>
            </w:r>
          </w:p>
        </w:tc>
      </w:tr>
      <w:tr>
        <w:trPr>
          <w:trHeight w:val="205"/>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nonperforming portfolio loans</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8,818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9,238</w:t>
            </w:r>
          </w:p>
        </w:tc>
      </w:tr>
      <w:tr>
        <w:trPr>
          <w:trHeight w:val="21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Foreclosed real estate</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3,293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3,326</w:t>
            </w:r>
          </w:p>
        </w:tc>
      </w:tr>
      <w:tr>
        <w:trPr>
          <w:trHeight w:val="23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nonperforming assets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12,111</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12,564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Restructured loans - nonaccrual</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437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440</w:t>
            </w:r>
          </w:p>
        </w:tc>
      </w:tr>
      <w:tr>
        <w:trPr>
          <w:trHeight w:val="212"/>
        </w:trPr>
        <w:tc>
          <w:tcPr>
            <w:tcW w:w="6880" w:type="dxa"/>
            <w:vAlign w:val="bottom"/>
          </w:tcPr>
          <w:p>
            <w:pPr>
              <w:ind w:left="20"/>
              <w:spacing w:after="0"/>
              <w:rPr>
                <w:sz w:val="20"/>
                <w:szCs w:val="20"/>
                <w:color w:val="auto"/>
              </w:rPr>
            </w:pPr>
            <w:r>
              <w:rPr>
                <w:rFonts w:ascii="Arial" w:cs="Arial" w:eastAsia="Arial" w:hAnsi="Arial"/>
                <w:sz w:val="16"/>
                <w:szCs w:val="16"/>
                <w:color w:val="auto"/>
              </w:rPr>
              <w:t>Ratio of nonperforming loans to portfolio loans</w:t>
            </w: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0.67 %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0.61 %</w:t>
            </w:r>
          </w:p>
        </w:tc>
      </w:tr>
      <w:tr>
        <w:trPr>
          <w:trHeight w:val="265"/>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nonperforming assets to total assets</w:t>
            </w:r>
          </w:p>
        </w:tc>
        <w:tc>
          <w:tcPr>
            <w:tcW w:w="34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0.58 %</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0.67 %</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9" w:lineRule="auto"/>
        <w:tabs>
          <w:tab w:leader="none" w:pos="3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Excludes SBA-PPP loans receivable, none of which were nonperforming.</w:t>
      </w:r>
    </w:p>
    <w:p>
      <w:pPr>
        <w:spacing w:after="0" w:line="20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PORTFOLIO LOAN CLASSIFICATION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18"/>
        </w:trPr>
        <w:tc>
          <w:tcPr>
            <w:tcW w:w="20" w:type="dxa"/>
            <w:vAlign w:val="bottom"/>
          </w:tcPr>
          <w:p>
            <w:pPr>
              <w:spacing w:after="0"/>
              <w:rPr>
                <w:sz w:val="10"/>
                <w:szCs w:val="10"/>
                <w:color w:val="auto"/>
              </w:rPr>
            </w:pPr>
          </w:p>
        </w:tc>
        <w:tc>
          <w:tcPr>
            <w:tcW w:w="3520" w:type="dxa"/>
            <w:vAlign w:val="bottom"/>
            <w:gridSpan w:val="3"/>
          </w:tcPr>
          <w:p>
            <w:pPr>
              <w:spacing w:after="0" w:line="118" w:lineRule="exact"/>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March 31, 2021</w:t>
            </w:r>
          </w:p>
        </w:tc>
        <w:tc>
          <w:tcPr>
            <w:tcW w:w="238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410,327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4,545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420,461</w:t>
            </w:r>
          </w:p>
        </w:tc>
      </w:tr>
      <w:tr>
        <w:trPr>
          <w:trHeight w:val="212"/>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425,380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6,859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433,336</w:t>
            </w:r>
          </w:p>
        </w:tc>
      </w:tr>
      <w:tr>
        <w:trPr>
          <w:trHeight w:val="212"/>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221,277</w:t>
            </w:r>
          </w:p>
        </w:tc>
      </w:tr>
      <w:tr>
        <w:trPr>
          <w:trHeight w:val="212"/>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135,231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12,706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149,914</w:t>
            </w:r>
          </w:p>
        </w:tc>
      </w:tr>
      <w:tr>
        <w:trPr>
          <w:trHeight w:val="212"/>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83,740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83,740</w:t>
            </w:r>
          </w:p>
        </w:tc>
      </w:tr>
      <w:tr>
        <w:trPr>
          <w:trHeight w:val="212"/>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4,487</w:t>
            </w: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5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1,276,393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1,313,215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December 31, 2020</w:t>
            </w:r>
          </w:p>
        </w:tc>
        <w:tc>
          <w:tcPr>
            <w:tcW w:w="20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437,860</w:t>
            </w:r>
          </w:p>
        </w:tc>
      </w:tr>
      <w:tr>
        <w:trPr>
          <w:trHeight w:val="209"/>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392,550</w:t>
            </w: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224,904</w:t>
            </w:r>
          </w:p>
        </w:tc>
      </w:tr>
      <w:tr>
        <w:trPr>
          <w:trHeight w:val="210"/>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157,127</w:t>
            </w: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102,186</w:t>
            </w:r>
          </w:p>
        </w:tc>
      </w:tr>
      <w:tr>
        <w:trPr>
          <w:trHeight w:val="210"/>
        </w:trPr>
        <w:tc>
          <w:tcPr>
            <w:tcW w:w="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w:t>
            </w:r>
          </w:p>
        </w:tc>
      </w:tr>
      <w:tr>
        <w:trPr>
          <w:trHeight w:val="228"/>
        </w:trPr>
        <w:tc>
          <w:tcPr>
            <w:tcW w:w="20" w:type="dxa"/>
            <w:vAlign w:val="bottom"/>
            <w:shd w:val="clear" w:color="auto" w:fill="CCEEFF"/>
          </w:tcPr>
          <w:p>
            <w:pPr>
              <w:spacing w:after="0"/>
              <w:rPr>
                <w:sz w:val="19"/>
                <w:szCs w:val="19"/>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7"/>
          <w:szCs w:val="7"/>
          <w:color w:val="auto"/>
        </w:rPr>
      </w:pPr>
      <w:r>
        <w:rPr>
          <w:rFonts w:ascii="Arial" w:cs="Arial" w:eastAsia="Arial" w:hAnsi="Arial"/>
          <w:sz w:val="11"/>
          <w:szCs w:val="11"/>
          <w:color w:val="auto"/>
        </w:rPr>
        <w:t>Category includes loans graded exceptional, very good, good, satisfactory and pass / watch, in addition to credit cards and consumer credits that are not graded.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250825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2" w:name="page53"/>
    <w:bookmarkEnd w:id="52"/>
    <w:p>
      <w:pPr>
        <w:spacing w:after="0" w:line="18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At March 31, 2021, the recorded investment in impaired loans was $8.6 million, of which $383 thousand required a specific reserve of $246 thousand. This compares to a recorded investment in impaired loans of $9.2 million at December 31, 2020, including $391 thousand which required a specific reserve of $253 thousand. The decrease in impaired loans is largely attributable to a reduction in commercial real estate of $1.3 million and $260 thousand in construction which was partially offset by an increase in residential real estate of $970 thousand.</w:t>
      </w:r>
    </w:p>
    <w:p>
      <w:pPr>
        <w:spacing w:after="0" w:line="20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$437 thousand at March 31, 2021, and five loans totaling $440 thousand at December 31, 2020 that were considered to be TDRs.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35"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7"/>
          <w:szCs w:val="17"/>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40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 the Year Ended December</w:t>
            </w:r>
          </w:p>
        </w:tc>
      </w:tr>
      <w:tr>
        <w:trPr>
          <w:trHeight w:val="172"/>
        </w:trPr>
        <w:tc>
          <w:tcPr>
            <w:tcW w:w="5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2020</w:t>
            </w:r>
          </w:p>
        </w:tc>
      </w:tr>
      <w:tr>
        <w:trPr>
          <w:trHeight w:val="118"/>
        </w:trPr>
        <w:tc>
          <w:tcPr>
            <w:tcW w:w="526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1"/>
        </w:trPr>
        <w:tc>
          <w:tcPr>
            <w:tcW w:w="5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loan losses at beginning of period</w:t>
            </w:r>
          </w:p>
        </w:tc>
        <w:tc>
          <w:tcPr>
            <w:tcW w:w="4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w w:val="89"/>
              </w:rPr>
              <w:t>$</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23,434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13,301</w:t>
            </w:r>
          </w:p>
        </w:tc>
      </w:tr>
      <w:tr>
        <w:trPr>
          <w:trHeight w:val="210"/>
        </w:trPr>
        <w:tc>
          <w:tcPr>
            <w:tcW w:w="5260" w:type="dxa"/>
            <w:vAlign w:val="bottom"/>
          </w:tcPr>
          <w:p>
            <w:pPr>
              <w:ind w:left="340"/>
              <w:spacing w:after="0"/>
              <w:rPr>
                <w:sz w:val="20"/>
                <w:szCs w:val="20"/>
                <w:color w:val="auto"/>
              </w:rPr>
            </w:pPr>
            <w:r>
              <w:rPr>
                <w:rFonts w:ascii="Arial" w:cs="Arial" w:eastAsia="Arial" w:hAnsi="Arial"/>
                <w:sz w:val="16"/>
                <w:szCs w:val="16"/>
                <w:color w:val="auto"/>
              </w:rPr>
              <w:t>Charge-offs:</w:t>
            </w: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5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Real estate:</w:t>
            </w:r>
          </w:p>
        </w:tc>
        <w:tc>
          <w:tcPr>
            <w:tcW w:w="4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2"/>
        </w:trPr>
        <w:tc>
          <w:tcPr>
            <w:tcW w:w="526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440" w:type="dxa"/>
            <w:vAlign w:val="bottom"/>
          </w:tcPr>
          <w:p>
            <w:pPr>
              <w:spacing w:after="0"/>
              <w:rPr>
                <w:sz w:val="18"/>
                <w:szCs w:val="18"/>
                <w:color w:val="auto"/>
              </w:rPr>
            </w:pPr>
          </w:p>
        </w:tc>
        <w:tc>
          <w:tcPr>
            <w:tcW w:w="242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jc w:val="right"/>
              <w:ind w:right="181"/>
              <w:spacing w:after="0"/>
              <w:rPr>
                <w:sz w:val="20"/>
                <w:szCs w:val="20"/>
                <w:color w:val="auto"/>
              </w:rPr>
            </w:pPr>
            <w:r>
              <w:rPr>
                <w:rFonts w:ascii="Arial" w:cs="Arial" w:eastAsia="Arial" w:hAnsi="Arial"/>
                <w:sz w:val="16"/>
                <w:szCs w:val="16"/>
                <w:color w:val="auto"/>
              </w:rPr>
              <w:t>(296)</w:t>
            </w:r>
          </w:p>
        </w:tc>
      </w:tr>
      <w:tr>
        <w:trPr>
          <w:trHeight w:val="212"/>
        </w:trPr>
        <w:tc>
          <w:tcPr>
            <w:tcW w:w="5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and Industrial</w:t>
            </w:r>
          </w:p>
        </w:tc>
        <w:tc>
          <w:tcPr>
            <w:tcW w:w="4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(104)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(233)</w:t>
            </w:r>
          </w:p>
        </w:tc>
      </w:tr>
      <w:tr>
        <w:trPr>
          <w:trHeight w:val="212"/>
        </w:trPr>
        <w:tc>
          <w:tcPr>
            <w:tcW w:w="5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Credit card</w:t>
            </w: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(300)</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(637)</w:t>
            </w:r>
          </w:p>
        </w:tc>
      </w:tr>
      <w:tr>
        <w:trPr>
          <w:trHeight w:val="205"/>
        </w:trPr>
        <w:tc>
          <w:tcPr>
            <w:tcW w:w="5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charge-offs</w:t>
            </w:r>
          </w:p>
        </w:tc>
        <w:tc>
          <w:tcPr>
            <w:tcW w:w="440" w:type="dxa"/>
            <w:vAlign w:val="bottom"/>
            <w:tcBorders>
              <w:bottom w:val="single" w:sz="8" w:color="auto"/>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(404)</w:t>
            </w:r>
          </w:p>
        </w:tc>
        <w:tc>
          <w:tcPr>
            <w:tcW w:w="3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(1,166)</w:t>
            </w:r>
          </w:p>
        </w:tc>
      </w:tr>
      <w:tr>
        <w:trPr>
          <w:trHeight w:val="192"/>
        </w:trPr>
        <w:tc>
          <w:tcPr>
            <w:tcW w:w="5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2"/>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Recoveries:</w:t>
            </w:r>
          </w:p>
        </w:tc>
        <w:tc>
          <w:tcPr>
            <w:tcW w:w="4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9"/>
        </w:trPr>
        <w:tc>
          <w:tcPr>
            <w:tcW w:w="5260" w:type="dxa"/>
            <w:vAlign w:val="bottom"/>
          </w:tcPr>
          <w:p>
            <w:pPr>
              <w:ind w:left="460"/>
              <w:spacing w:after="0"/>
              <w:rPr>
                <w:sz w:val="20"/>
                <w:szCs w:val="20"/>
                <w:color w:val="auto"/>
              </w:rPr>
            </w:pPr>
            <w:r>
              <w:rPr>
                <w:rFonts w:ascii="Arial" w:cs="Arial" w:eastAsia="Arial" w:hAnsi="Arial"/>
                <w:sz w:val="16"/>
                <w:szCs w:val="16"/>
                <w:color w:val="auto"/>
              </w:rPr>
              <w:t>Real estate:</w:t>
            </w: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52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Construction</w:t>
            </w:r>
          </w:p>
        </w:tc>
        <w:tc>
          <w:tcPr>
            <w:tcW w:w="4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w:t>
            </w:r>
          </w:p>
        </w:tc>
      </w:tr>
      <w:tr>
        <w:trPr>
          <w:trHeight w:val="212"/>
        </w:trPr>
        <w:tc>
          <w:tcPr>
            <w:tcW w:w="52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Credit card</w:t>
            </w: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17</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50</w:t>
            </w:r>
          </w:p>
        </w:tc>
      </w:tr>
      <w:tr>
        <w:trPr>
          <w:trHeight w:val="205"/>
        </w:trPr>
        <w:tc>
          <w:tcPr>
            <w:tcW w:w="5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recoveries</w:t>
            </w:r>
          </w:p>
        </w:tc>
        <w:tc>
          <w:tcPr>
            <w:tcW w:w="440" w:type="dxa"/>
            <w:vAlign w:val="bottom"/>
            <w:tcBorders>
              <w:bottom w:val="single" w:sz="8" w:color="auto"/>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w:t>
            </w:r>
          </w:p>
        </w:tc>
        <w:tc>
          <w:tcPr>
            <w:tcW w:w="3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57</w:t>
            </w:r>
          </w:p>
        </w:tc>
      </w:tr>
      <w:tr>
        <w:trPr>
          <w:trHeight w:val="205"/>
        </w:trPr>
        <w:tc>
          <w:tcPr>
            <w:tcW w:w="5260" w:type="dxa"/>
            <w:vAlign w:val="bottom"/>
          </w:tcPr>
          <w:p>
            <w:pPr>
              <w:ind w:left="780"/>
              <w:spacing w:after="0"/>
              <w:rPr>
                <w:sz w:val="20"/>
                <w:szCs w:val="20"/>
                <w:color w:val="auto"/>
              </w:rPr>
            </w:pPr>
            <w:r>
              <w:rPr>
                <w:rFonts w:ascii="Arial" w:cs="Arial" w:eastAsia="Arial" w:hAnsi="Arial"/>
                <w:sz w:val="16"/>
                <w:szCs w:val="16"/>
                <w:color w:val="auto"/>
              </w:rPr>
              <w:t>Net charge-offs</w:t>
            </w:r>
          </w:p>
        </w:tc>
        <w:tc>
          <w:tcPr>
            <w:tcW w:w="440" w:type="dxa"/>
            <w:vAlign w:val="bottom"/>
          </w:tcPr>
          <w:p>
            <w:pPr>
              <w:spacing w:after="0"/>
              <w:rPr>
                <w:sz w:val="17"/>
                <w:szCs w:val="17"/>
                <w:color w:val="auto"/>
              </w:rPr>
            </w:pPr>
          </w:p>
        </w:tc>
        <w:tc>
          <w:tcPr>
            <w:tcW w:w="2420" w:type="dxa"/>
            <w:vAlign w:val="bottom"/>
          </w:tcPr>
          <w:p>
            <w:pPr>
              <w:jc w:val="right"/>
              <w:ind w:right="82"/>
              <w:spacing w:after="0"/>
              <w:rPr>
                <w:sz w:val="20"/>
                <w:szCs w:val="20"/>
                <w:color w:val="auto"/>
              </w:rPr>
            </w:pPr>
            <w:r>
              <w:rPr>
                <w:rFonts w:ascii="Arial" w:cs="Arial" w:eastAsia="Arial" w:hAnsi="Arial"/>
                <w:sz w:val="16"/>
                <w:szCs w:val="16"/>
                <w:b w:val="1"/>
                <w:bCs w:val="1"/>
                <w:color w:val="auto"/>
              </w:rPr>
              <w:t>(387)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jc w:val="right"/>
              <w:ind w:right="181"/>
              <w:spacing w:after="0"/>
              <w:rPr>
                <w:sz w:val="20"/>
                <w:szCs w:val="20"/>
                <w:color w:val="auto"/>
              </w:rPr>
            </w:pPr>
            <w:r>
              <w:rPr>
                <w:rFonts w:ascii="Arial" w:cs="Arial" w:eastAsia="Arial" w:hAnsi="Arial"/>
                <w:sz w:val="16"/>
                <w:szCs w:val="16"/>
                <w:color w:val="auto"/>
              </w:rPr>
              <w:t>(1,109)</w:t>
            </w:r>
          </w:p>
        </w:tc>
      </w:tr>
      <w:tr>
        <w:trPr>
          <w:trHeight w:val="212"/>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loan losses</w:t>
            </w:r>
          </w:p>
        </w:tc>
        <w:tc>
          <w:tcPr>
            <w:tcW w:w="44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503</w:t>
            </w: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11,242</w:t>
            </w:r>
          </w:p>
        </w:tc>
      </w:tr>
      <w:tr>
        <w:trPr>
          <w:trHeight w:val="205"/>
        </w:trPr>
        <w:tc>
          <w:tcPr>
            <w:tcW w:w="5260" w:type="dxa"/>
            <w:vAlign w:val="bottom"/>
          </w:tcPr>
          <w:p>
            <w:pPr>
              <w:ind w:left="20"/>
              <w:spacing w:after="0"/>
              <w:rPr>
                <w:sz w:val="20"/>
                <w:szCs w:val="20"/>
                <w:color w:val="auto"/>
              </w:rPr>
            </w:pPr>
            <w:r>
              <w:rPr>
                <w:rFonts w:ascii="Arial" w:cs="Arial" w:eastAsia="Arial" w:hAnsi="Arial"/>
                <w:sz w:val="16"/>
                <w:szCs w:val="16"/>
                <w:color w:val="auto"/>
              </w:rPr>
              <w:t>Allowance for loan losses at period end</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89"/>
              </w:rPr>
              <w:t>$</w:t>
            </w:r>
          </w:p>
        </w:tc>
        <w:tc>
          <w:tcPr>
            <w:tcW w:w="2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23,550</w:t>
            </w:r>
          </w:p>
        </w:tc>
        <w:tc>
          <w:tcPr>
            <w:tcW w:w="3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23,434</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12"/>
        </w:trPr>
        <w:tc>
          <w:tcPr>
            <w:tcW w:w="5260" w:type="dxa"/>
            <w:vAlign w:val="bottom"/>
          </w:tcPr>
          <w:p>
            <w:pPr>
              <w:ind w:left="340"/>
              <w:spacing w:after="0"/>
              <w:rPr>
                <w:sz w:val="20"/>
                <w:szCs w:val="20"/>
                <w:color w:val="auto"/>
              </w:rPr>
            </w:pPr>
            <w:r>
              <w:rPr>
                <w:rFonts w:ascii="Arial" w:cs="Arial" w:eastAsia="Arial" w:hAnsi="Arial"/>
                <w:sz w:val="16"/>
                <w:szCs w:val="16"/>
                <w:color w:val="auto"/>
              </w:rPr>
              <w:t>Portfolio loans outstanding, net of unearned income</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auto"/>
                <w:w w:val="89"/>
              </w:rPr>
              <w:t>$</w:t>
            </w:r>
          </w:p>
        </w:tc>
        <w:tc>
          <w:tcPr>
            <w:tcW w:w="2420" w:type="dxa"/>
            <w:vAlign w:val="bottom"/>
          </w:tcPr>
          <w:p>
            <w:pPr>
              <w:jc w:val="right"/>
              <w:ind w:right="122"/>
              <w:spacing w:after="0"/>
              <w:rPr>
                <w:sz w:val="20"/>
                <w:szCs w:val="20"/>
                <w:color w:val="auto"/>
              </w:rPr>
            </w:pPr>
            <w:r>
              <w:rPr>
                <w:rFonts w:ascii="Arial" w:cs="Arial" w:eastAsia="Arial" w:hAnsi="Arial"/>
                <w:sz w:val="16"/>
                <w:szCs w:val="16"/>
                <w:b w:val="1"/>
                <w:bCs w:val="1"/>
                <w:color w:val="auto"/>
              </w:rPr>
              <w:t>1,312,375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21"/>
              <w:spacing w:after="0"/>
              <w:rPr>
                <w:sz w:val="20"/>
                <w:szCs w:val="20"/>
                <w:color w:val="auto"/>
              </w:rPr>
            </w:pPr>
            <w:r>
              <w:rPr>
                <w:rFonts w:ascii="Arial" w:cs="Arial" w:eastAsia="Arial" w:hAnsi="Arial"/>
                <w:sz w:val="16"/>
                <w:szCs w:val="16"/>
                <w:color w:val="auto"/>
              </w:rPr>
              <w:t>1,315,503</w:t>
            </w:r>
          </w:p>
        </w:tc>
      </w:tr>
      <w:tr>
        <w:trPr>
          <w:trHeight w:val="212"/>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Average portfolio loans outstanding, net of unearned income</w:t>
            </w:r>
          </w:p>
        </w:tc>
        <w:tc>
          <w:tcPr>
            <w:tcW w:w="4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w w:val="89"/>
              </w:rPr>
              <w:t>$</w:t>
            </w:r>
          </w:p>
        </w:tc>
        <w:tc>
          <w:tcPr>
            <w:tcW w:w="24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1,298,352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1,215,049</w:t>
            </w:r>
          </w:p>
        </w:tc>
      </w:tr>
      <w:tr>
        <w:trPr>
          <w:trHeight w:val="212"/>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2"/>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loan losses to period end portfolio loans</w:t>
            </w:r>
          </w:p>
        </w:tc>
        <w:tc>
          <w:tcPr>
            <w:tcW w:w="4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1.78</w:t>
            </w:r>
          </w:p>
        </w:tc>
      </w:tr>
      <w:tr>
        <w:trPr>
          <w:trHeight w:val="212"/>
        </w:trPr>
        <w:tc>
          <w:tcPr>
            <w:tcW w:w="5260" w:type="dxa"/>
            <w:vAlign w:val="bottom"/>
          </w:tcPr>
          <w:p>
            <w:pPr>
              <w:ind w:left="20"/>
              <w:spacing w:after="0"/>
              <w:rPr>
                <w:sz w:val="20"/>
                <w:szCs w:val="20"/>
                <w:color w:val="auto"/>
              </w:rPr>
            </w:pPr>
            <w:r>
              <w:rPr>
                <w:rFonts w:ascii="Arial" w:cs="Arial" w:eastAsia="Arial" w:hAnsi="Arial"/>
                <w:sz w:val="16"/>
                <w:szCs w:val="16"/>
                <w:color w:val="auto"/>
              </w:rPr>
              <w:t>Annualized net charge-offs to average portfolio loans</w:t>
            </w:r>
          </w:p>
        </w:tc>
        <w:tc>
          <w:tcPr>
            <w:tcW w:w="440" w:type="dxa"/>
            <w:vAlign w:val="bottom"/>
          </w:tcPr>
          <w:p>
            <w:pPr>
              <w:spacing w:after="0"/>
              <w:rPr>
                <w:sz w:val="18"/>
                <w:szCs w:val="18"/>
                <w:color w:val="auto"/>
              </w:rPr>
            </w:pPr>
          </w:p>
        </w:tc>
        <w:tc>
          <w:tcPr>
            <w:tcW w:w="2420" w:type="dxa"/>
            <w:vAlign w:val="bottom"/>
          </w:tcPr>
          <w:p>
            <w:pPr>
              <w:jc w:val="right"/>
              <w:ind w:right="122"/>
              <w:spacing w:after="0"/>
              <w:rPr>
                <w:sz w:val="20"/>
                <w:szCs w:val="20"/>
                <w:color w:val="auto"/>
              </w:rPr>
            </w:pPr>
            <w:r>
              <w:rPr>
                <w:rFonts w:ascii="Arial" w:cs="Arial" w:eastAsia="Arial" w:hAnsi="Arial"/>
                <w:sz w:val="16"/>
                <w:szCs w:val="16"/>
                <w:b w:val="1"/>
                <w:bCs w:val="1"/>
                <w:color w:val="auto"/>
              </w:rPr>
              <w:t>0.12</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jc w:val="right"/>
              <w:ind w:right="221"/>
              <w:spacing w:after="0"/>
              <w:rPr>
                <w:sz w:val="20"/>
                <w:szCs w:val="20"/>
                <w:color w:val="auto"/>
              </w:rPr>
            </w:pPr>
            <w:r>
              <w:rPr>
                <w:rFonts w:ascii="Arial" w:cs="Arial" w:eastAsia="Arial" w:hAnsi="Arial"/>
                <w:sz w:val="16"/>
                <w:szCs w:val="16"/>
                <w:color w:val="auto"/>
              </w:rPr>
              <w:t>0.09</w:t>
            </w: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charge-offs to average loans, excluding PPP loans</w:t>
            </w:r>
          </w:p>
        </w:tc>
        <w:tc>
          <w:tcPr>
            <w:tcW w:w="28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0.14%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3" w:name="page54"/>
    <w:bookmarkEnd w:id="53"/>
    <w:p>
      <w:pPr>
        <w:spacing w:after="0" w:line="18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allowance for loan losses at March 31, 2021 and December 31, 2020 was $23.6 million, or 1.79% of portfolio loans, and $23.4 million, or 1.78% of portfolio loans, respectively. The provision for loan losses of $503 thousand for the three months ended March 31, 2021 was primarily due to a small number of loan charge-offs which was offset by improving overall credit metrics. The allowance for loan losses for SBA-PPP loans was separately evaluated given the explicit government guarantee. This analysis, which incorporated historical experience with similar SBA guarantees and underwriting, concluded that the likelihood of loss was remote and therefore these loans were not assigned a reserve in the allowance for loan losses. The allowance for loan losses at March 31, 2021 included specific reserves of $246 thousand established for impaired loans. Charge-offs for the three months ended March 31, 2021 were $405 thousand and were partially offset by recoveries of $17 thousand. The allowance for loan losses at December 31, 2020 included specific reserves of $253 thousand established for impaired loans. Charge-offs for the year ended December 31, 2020 were $1.2 million, and were partially offset by recoveries of $57 thousand. The charge-offs for the first three months ended March 31, 2021 and for the year ended December 31, 2020 were primarily due to credit card charge-offs.</w:t>
      </w:r>
    </w:p>
    <w:p>
      <w:pPr>
        <w:spacing w:after="0" w:line="1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Although we believe that we have established the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ind w:left="6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24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57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18"/>
        </w:trPr>
        <w:tc>
          <w:tcPr>
            <w:tcW w:w="576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5"/>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6,816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7,153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2"/>
        </w:trPr>
        <w:tc>
          <w:tcPr>
            <w:tcW w:w="5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7,362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6,786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2,449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2,417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allowance for loan losses</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23,434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40" w:hanging="316"/>
        <w:spacing w:after="0" w:line="194" w:lineRule="auto"/>
        <w:tabs>
          <w:tab w:leader="none" w:pos="640" w:val="left"/>
        </w:tabs>
        <w:numPr>
          <w:ilvl w:val="0"/>
          <w:numId w:val="12"/>
        </w:numPr>
        <w:rPr>
          <w:rFonts w:ascii="Arial" w:cs="Arial" w:eastAsia="Arial" w:hAnsi="Arial"/>
          <w:sz w:val="18"/>
          <w:szCs w:val="18"/>
          <w:color w:val="auto"/>
          <w:vertAlign w:val="superscript"/>
        </w:rPr>
      </w:pPr>
      <w:r>
        <w:rPr>
          <w:rFonts w:ascii="Arial" w:cs="Arial" w:eastAsia="Arial" w:hAnsi="Arial"/>
          <w:sz w:val="11"/>
          <w:szCs w:val="11"/>
          <w:color w:val="auto"/>
        </w:rPr>
        <w:t>Loan category as a percentage of total portfolio loans.</w:t>
      </w:r>
    </w:p>
    <w:p>
      <w:pPr>
        <w:spacing w:after="0" w:line="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Management continues to monitor the loan portfolio for industry concentrations that may be impacted as the economy works through the impacts of COVID-19. While the Company has negligible exposure to the energy sector, shared national credits or leveraged lending, the Bank does have exposures to affected industries such as, for example, hospitality, food service and retail business.</w:t>
      </w:r>
    </w:p>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has been working with customers on payment deferrals to assist companies in managing through the pandemic. The following table shows the allocation of deferred loans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Loan Modifications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ind w:left="960"/>
              <w:spacing w:after="0"/>
              <w:rPr>
                <w:sz w:val="20"/>
                <w:szCs w:val="20"/>
                <w:color w:val="auto"/>
              </w:rPr>
            </w:pPr>
            <w:r>
              <w:rPr>
                <w:rFonts w:ascii="Arial" w:cs="Arial" w:eastAsia="Arial" w:hAnsi="Arial"/>
                <w:sz w:val="14"/>
                <w:szCs w:val="14"/>
                <w:b w:val="1"/>
                <w:bCs w:val="1"/>
                <w:color w:val="auto"/>
              </w:rPr>
              <w:t>March 31, 2021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190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9"/>
        </w:trPr>
        <w:tc>
          <w:tcPr>
            <w:tcW w:w="3920" w:type="dxa"/>
            <w:vAlign w:val="bottom"/>
          </w:tcPr>
          <w:p>
            <w:pPr>
              <w:ind w:left="20"/>
              <w:spacing w:after="0"/>
              <w:rPr>
                <w:sz w:val="20"/>
                <w:szCs w:val="20"/>
                <w:color w:val="auto"/>
              </w:rPr>
            </w:pPr>
            <w:r>
              <w:rPr>
                <w:rFonts w:ascii="Arial" w:cs="Arial" w:eastAsia="Arial" w:hAnsi="Arial"/>
                <w:sz w:val="11"/>
                <w:szCs w:val="11"/>
                <w:color w:val="auto"/>
              </w:rPr>
              <w:t>(dollars in millions)</w:t>
            </w:r>
          </w:p>
        </w:tc>
        <w:tc>
          <w:tcPr>
            <w:tcW w:w="160" w:type="dxa"/>
            <w:vAlign w:val="bottom"/>
            <w:tcBorders>
              <w:top w:val="single" w:sz="8" w:color="auto"/>
              <w:bottom w:val="single" w:sz="8" w:color="auto"/>
            </w:tcBorders>
          </w:tcPr>
          <w:p>
            <w:pPr>
              <w:spacing w:after="0"/>
              <w:rPr>
                <w:sz w:val="15"/>
                <w:szCs w:val="15"/>
                <w:color w:val="auto"/>
              </w:rPr>
            </w:pPr>
          </w:p>
        </w:tc>
        <w:tc>
          <w:tcPr>
            <w:tcW w:w="2140" w:type="dxa"/>
            <w:vAlign w:val="bottom"/>
            <w:tcBorders>
              <w:top w:val="single" w:sz="8" w:color="auto"/>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Deferred Loans</w:t>
            </w: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2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Sector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9"/>
              </w:rPr>
              <w:t>Total Loans</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79"/>
        </w:trPr>
        <w:tc>
          <w:tcPr>
            <w:tcW w:w="3920" w:type="dxa"/>
            <w:vAlign w:val="bottom"/>
          </w:tcPr>
          <w:p>
            <w:pPr>
              <w:ind w:left="20"/>
              <w:spacing w:after="0"/>
              <w:rPr>
                <w:sz w:val="20"/>
                <w:szCs w:val="20"/>
                <w:color w:val="auto"/>
              </w:rPr>
            </w:pPr>
            <w:r>
              <w:rPr>
                <w:rFonts w:ascii="Arial" w:cs="Arial" w:eastAsia="Arial" w:hAnsi="Arial"/>
                <w:sz w:val="14"/>
                <w:szCs w:val="14"/>
                <w:color w:val="auto"/>
              </w:rPr>
              <w:t>Accommodation &amp; Food Services</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Rental Leasing</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Other Services Including Private Households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Educational Services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Scientific, and Technical Services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Arts, Entertainment &amp; Recreation</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 Trade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Arial" w:cs="Arial" w:eastAsia="Arial" w:hAnsi="Arial"/>
                <w:sz w:val="14"/>
                <w:szCs w:val="14"/>
                <w:color w:val="auto"/>
              </w:rPr>
              <w:t>Healthcare &amp; Social Assistance</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Wholesale Trade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Borders>
              <w:bottom w:val="single" w:sz="8" w:color="CCEEFF"/>
            </w:tcBorders>
          </w:tcPr>
          <w:p>
            <w:pPr>
              <w:ind w:left="20"/>
              <w:spacing w:after="0" w:line="186" w:lineRule="exact"/>
              <w:rPr>
                <w:sz w:val="20"/>
                <w:szCs w:val="20"/>
                <w:color w:val="auto"/>
              </w:rPr>
            </w:pPr>
            <w:r>
              <w:rPr>
                <w:rFonts w:ascii="Arial" w:cs="Arial" w:eastAsia="Arial" w:hAnsi="Arial"/>
                <w:sz w:val="14"/>
                <w:szCs w:val="14"/>
                <w:color w:val="auto"/>
              </w:rPr>
              <w:t xml:space="preserve">All other </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6"/>
          <w:szCs w:val="16"/>
          <w:color w:val="auto"/>
          <w:vertAlign w:val="superscript"/>
        </w:rPr>
      </w:pPr>
      <w:r>
        <w:rPr>
          <w:rFonts w:ascii="Arial" w:cs="Arial" w:eastAsia="Arial" w:hAnsi="Arial"/>
          <w:sz w:val="11"/>
          <w:szCs w:val="11"/>
          <w:color w:val="auto"/>
        </w:rPr>
        <w:t>Loans outstanding include PPP loans; modifications and deferrals made for OpenSky</w:t>
      </w:r>
      <w:r>
        <w:rPr>
          <w:rFonts w:ascii="Arial" w:cs="Arial" w:eastAsia="Arial" w:hAnsi="Arial"/>
          <w:sz w:val="13"/>
          <w:szCs w:val="13"/>
          <w:color w:val="auto"/>
          <w:vertAlign w:val="superscript"/>
        </w:rPr>
        <w:t>®</w:t>
      </w:r>
      <w:r>
        <w:rPr>
          <w:rFonts w:ascii="Arial" w:cs="Arial" w:eastAsia="Arial" w:hAnsi="Arial"/>
          <w:sz w:val="11"/>
          <w:szCs w:val="11"/>
          <w:color w:val="auto"/>
        </w:rPr>
        <w:t xml:space="preserve"> secured card customers are excluded.</w:t>
      </w:r>
    </w:p>
    <w:p>
      <w:pPr>
        <w:spacing w:after="0" w:line="200" w:lineRule="exact"/>
        <w:rPr>
          <w:sz w:val="20"/>
          <w:szCs w:val="20"/>
          <w:color w:val="auto"/>
        </w:rPr>
      </w:pPr>
    </w:p>
    <w:p>
      <w:pPr>
        <w:spacing w:after="0" w:line="29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Outstanding deferred loans decreased $118.6 million, or 82.29%, from June 30, 2020 to March 31, 2021. Loans that have been removed from deferred status have returned to original payment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35" w:lineRule="exact"/>
        <w:rPr>
          <w:sz w:val="20"/>
          <w:szCs w:val="20"/>
          <w:color w:val="auto"/>
        </w:rPr>
      </w:pPr>
    </w:p>
    <w:p>
      <w:pPr>
        <w:jc w:val="both"/>
        <w:ind w:right="40" w:firstLine="318"/>
        <w:spacing w:after="0" w:line="239"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noninterest bearing deposits and accounted for $215.9 million, or 28.0%, of our total noninterest bearing deposit balances as of March 31, 2021, an increase of $23.4 million from December 31, 2020. At March 31, 2021, noninterest bearing deposits amounted to $771.9 million, an increase of $163.4 million, or 26.8%, compared to the level at December 31, 2020 due in large part to an increase of $96.2 million in fiduciary accounts and the above noted increase in deposits generated by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secured credit card program. If needed, we supplement our deposits with wholesale funding sources such as brokered deposits.</w:t>
      </w:r>
    </w:p>
    <w:p>
      <w:pPr>
        <w:spacing w:after="0" w:line="21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Interest bearing deposits increased $47.6 million, or 4.6%, from December 31, 2020 to March 31, 2021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period, certificates of deposit decreased $21.7 million, or 6.5%, with brokered deposits representing a majority of that decrease. Interest bearing demand and money market accounts increased $43.9 million, or 17.1%, and $24.2 million, or 5.4%, from December 31, 2020 to March 31, 2021, respectively.</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average rate paid on interest bearing deposits decreased 42 basis points from 1.18% for the year ended December 31, 2020 to 0.76% for the three months ended March 31, 2021. Rates paid on certificates of deposit decreased 32 basis points over the same period. The decrease in the average rates reflects decreases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AVERAGE DEPOSITS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54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Three Months Ended March 31, 2021</w:t>
            </w:r>
          </w:p>
        </w:tc>
        <w:tc>
          <w:tcPr>
            <w:tcW w:w="500" w:type="dxa"/>
            <w:vAlign w:val="bottom"/>
          </w:tcPr>
          <w:p>
            <w:pPr>
              <w:spacing w:after="0"/>
              <w:rPr>
                <w:sz w:val="16"/>
                <w:szCs w:val="16"/>
                <w:color w:val="auto"/>
              </w:rPr>
            </w:pPr>
          </w:p>
        </w:tc>
        <w:tc>
          <w:tcPr>
            <w:tcW w:w="2700" w:type="dxa"/>
            <w:vAlign w:val="bottom"/>
            <w:gridSpan w:val="2"/>
          </w:tcPr>
          <w:p>
            <w:pPr>
              <w:ind w:left="120"/>
              <w:spacing w:after="0"/>
              <w:rPr>
                <w:sz w:val="20"/>
                <w:szCs w:val="20"/>
                <w:color w:val="auto"/>
              </w:rPr>
            </w:pPr>
            <w:r>
              <w:rPr>
                <w:rFonts w:ascii="Arial" w:cs="Arial" w:eastAsia="Arial" w:hAnsi="Arial"/>
                <w:sz w:val="14"/>
                <w:szCs w:val="14"/>
                <w:color w:val="auto"/>
              </w:rPr>
              <w:t>For the Year Ended December 31, 2020</w:t>
            </w:r>
          </w:p>
        </w:tc>
      </w:tr>
      <w:tr>
        <w:trPr>
          <w:trHeight w:val="139"/>
        </w:trPr>
        <w:tc>
          <w:tcPr>
            <w:tcW w:w="4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42"/>
              <w:spacing w:after="0" w:line="139" w:lineRule="exact"/>
              <w:rPr>
                <w:sz w:val="20"/>
                <w:szCs w:val="20"/>
                <w:color w:val="auto"/>
              </w:rPr>
            </w:pPr>
            <w:r>
              <w:rPr>
                <w:rFonts w:ascii="Arial" w:cs="Arial" w:eastAsia="Arial" w:hAnsi="Arial"/>
                <w:sz w:val="14"/>
                <w:szCs w:val="14"/>
                <w:b w:val="1"/>
                <w:bCs w:val="1"/>
                <w:color w:val="auto"/>
              </w:rPr>
              <w:t>Average</w:t>
            </w:r>
          </w:p>
        </w:tc>
        <w:tc>
          <w:tcPr>
            <w:tcW w:w="1480" w:type="dxa"/>
            <w:vAlign w:val="bottom"/>
            <w:tcBorders>
              <w:top w:val="single" w:sz="8" w:color="auto"/>
            </w:tcBorders>
          </w:tcPr>
          <w:p>
            <w:pPr>
              <w:jc w:val="center"/>
              <w:ind w:left="603"/>
              <w:spacing w:after="0" w:line="139" w:lineRule="exact"/>
              <w:rPr>
                <w:sz w:val="20"/>
                <w:szCs w:val="20"/>
                <w:color w:val="auto"/>
              </w:rPr>
            </w:pPr>
            <w:r>
              <w:rPr>
                <w:rFonts w:ascii="Arial" w:cs="Arial" w:eastAsia="Arial" w:hAnsi="Arial"/>
                <w:sz w:val="14"/>
                <w:szCs w:val="14"/>
                <w:b w:val="1"/>
                <w:bCs w:val="1"/>
                <w:color w:val="auto"/>
              </w:rPr>
              <w:t>Average</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43"/>
              <w:spacing w:after="0" w:line="139" w:lineRule="exact"/>
              <w:rPr>
                <w:sz w:val="20"/>
                <w:szCs w:val="20"/>
                <w:color w:val="auto"/>
              </w:rPr>
            </w:pPr>
            <w:r>
              <w:rPr>
                <w:rFonts w:ascii="Arial" w:cs="Arial" w:eastAsia="Arial" w:hAnsi="Arial"/>
                <w:sz w:val="14"/>
                <w:szCs w:val="14"/>
                <w:color w:val="auto"/>
              </w:rPr>
              <w:t>Average</w:t>
            </w:r>
          </w:p>
        </w:tc>
        <w:tc>
          <w:tcPr>
            <w:tcW w:w="1540" w:type="dxa"/>
            <w:vAlign w:val="bottom"/>
            <w:tcBorders>
              <w:top w:val="single" w:sz="8" w:color="auto"/>
            </w:tcBorders>
          </w:tcPr>
          <w:p>
            <w:pPr>
              <w:jc w:val="center"/>
              <w:ind w:left="543"/>
              <w:spacing w:after="0" w:line="139" w:lineRule="exact"/>
              <w:rPr>
                <w:sz w:val="20"/>
                <w:szCs w:val="20"/>
                <w:color w:val="auto"/>
              </w:rPr>
            </w:pPr>
            <w:r>
              <w:rPr>
                <w:rFonts w:ascii="Arial" w:cs="Arial" w:eastAsia="Arial" w:hAnsi="Arial"/>
                <w:sz w:val="14"/>
                <w:szCs w:val="14"/>
                <w:color w:val="auto"/>
                <w:w w:val="99"/>
              </w:rPr>
              <w:t>Average</w:t>
            </w:r>
          </w:p>
        </w:tc>
      </w:tr>
      <w:tr>
        <w:trPr>
          <w:trHeight w:val="172"/>
        </w:trPr>
        <w:tc>
          <w:tcPr>
            <w:tcW w:w="4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Balance</w:t>
            </w:r>
          </w:p>
        </w:tc>
        <w:tc>
          <w:tcPr>
            <w:tcW w:w="14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Balance</w:t>
            </w:r>
          </w:p>
        </w:tc>
        <w:tc>
          <w:tcPr>
            <w:tcW w:w="15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Rate</w:t>
            </w:r>
          </w:p>
        </w:tc>
      </w:tr>
      <w:tr>
        <w:trPr>
          <w:trHeight w:val="118"/>
        </w:trPr>
        <w:tc>
          <w:tcPr>
            <w:tcW w:w="42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21"/>
        </w:trPr>
        <w:tc>
          <w:tcPr>
            <w:tcW w:w="4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2"/>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bearing demand accounts</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256,958</w:t>
            </w:r>
          </w:p>
        </w:tc>
        <w:tc>
          <w:tcPr>
            <w:tcW w:w="1480" w:type="dxa"/>
            <w:vAlign w:val="bottom"/>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0.11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195,794</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0.34</w:t>
            </w: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50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471,154</w:t>
            </w:r>
          </w:p>
        </w:tc>
        <w:tc>
          <w:tcPr>
            <w:tcW w:w="1480" w:type="dxa"/>
            <w:vAlign w:val="bottom"/>
          </w:tcPr>
          <w:p>
            <w:pPr>
              <w:jc w:val="center"/>
              <w:ind w:left="623"/>
              <w:spacing w:after="0"/>
              <w:rPr>
                <w:sz w:val="20"/>
                <w:szCs w:val="20"/>
                <w:color w:val="auto"/>
              </w:rPr>
            </w:pPr>
            <w:r>
              <w:rPr>
                <w:rFonts w:ascii="Arial" w:cs="Arial" w:eastAsia="Arial" w:hAnsi="Arial"/>
                <w:sz w:val="16"/>
                <w:szCs w:val="16"/>
                <w:b w:val="1"/>
                <w:bCs w:val="1"/>
                <w:color w:val="auto"/>
                <w:w w:val="96"/>
              </w:rPr>
              <w:t>0.46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480,218</w:t>
            </w:r>
          </w:p>
        </w:tc>
        <w:tc>
          <w:tcPr>
            <w:tcW w:w="1540" w:type="dxa"/>
            <w:vAlign w:val="bottom"/>
          </w:tcPr>
          <w:p>
            <w:pPr>
              <w:jc w:val="center"/>
              <w:ind w:left="543"/>
              <w:spacing w:after="0"/>
              <w:rPr>
                <w:sz w:val="20"/>
                <w:szCs w:val="20"/>
                <w:color w:val="auto"/>
              </w:rPr>
            </w:pPr>
            <w:r>
              <w:rPr>
                <w:rFonts w:ascii="Arial" w:cs="Arial" w:eastAsia="Arial" w:hAnsi="Arial"/>
                <w:sz w:val="16"/>
                <w:szCs w:val="16"/>
                <w:color w:val="auto"/>
              </w:rPr>
              <w:t>1.00</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5,631</w:t>
            </w:r>
          </w:p>
        </w:tc>
        <w:tc>
          <w:tcPr>
            <w:tcW w:w="1480" w:type="dxa"/>
            <w:vAlign w:val="bottom"/>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0.05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4,722</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0.11</w:t>
            </w:r>
          </w:p>
        </w:tc>
      </w:tr>
      <w:tr>
        <w:trPr>
          <w:trHeight w:val="21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Certificates of deposit</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332,660</w:t>
            </w:r>
          </w:p>
        </w:tc>
        <w:tc>
          <w:tcPr>
            <w:tcW w:w="1480" w:type="dxa"/>
            <w:vAlign w:val="bottom"/>
            <w:tcBorders>
              <w:bottom w:val="single" w:sz="8" w:color="CCEEFF"/>
            </w:tcBorders>
          </w:tcPr>
          <w:p>
            <w:pPr>
              <w:jc w:val="center"/>
              <w:ind w:left="623"/>
              <w:spacing w:after="0"/>
              <w:rPr>
                <w:sz w:val="20"/>
                <w:szCs w:val="20"/>
                <w:color w:val="auto"/>
              </w:rPr>
            </w:pPr>
            <w:r>
              <w:rPr>
                <w:rFonts w:ascii="Arial" w:cs="Arial" w:eastAsia="Arial" w:hAnsi="Arial"/>
                <w:sz w:val="16"/>
                <w:szCs w:val="16"/>
                <w:b w:val="1"/>
                <w:bCs w:val="1"/>
                <w:color w:val="auto"/>
                <w:w w:val="96"/>
              </w:rPr>
              <w:t>1.71</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297,997</w:t>
            </w:r>
          </w:p>
        </w:tc>
        <w:tc>
          <w:tcPr>
            <w:tcW w:w="1540" w:type="dxa"/>
            <w:vAlign w:val="bottom"/>
            <w:tcBorders>
              <w:bottom w:val="single" w:sz="8" w:color="CCEEFF"/>
            </w:tcBorders>
          </w:tcPr>
          <w:p>
            <w:pPr>
              <w:jc w:val="center"/>
              <w:ind w:left="543"/>
              <w:spacing w:after="0"/>
              <w:rPr>
                <w:sz w:val="20"/>
                <w:szCs w:val="20"/>
                <w:color w:val="auto"/>
              </w:rPr>
            </w:pPr>
            <w:r>
              <w:rPr>
                <w:rFonts w:ascii="Arial" w:cs="Arial" w:eastAsia="Arial" w:hAnsi="Arial"/>
                <w:sz w:val="16"/>
                <w:szCs w:val="16"/>
                <w:color w:val="auto"/>
              </w:rPr>
              <w:t>2.04</w:t>
            </w:r>
          </w:p>
        </w:tc>
      </w:tr>
      <w:tr>
        <w:trPr>
          <w:trHeight w:val="205"/>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 bearing deposits</w:t>
            </w: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1,066,403</w:t>
            </w:r>
          </w:p>
        </w:tc>
        <w:tc>
          <w:tcPr>
            <w:tcW w:w="1480" w:type="dxa"/>
            <w:vAlign w:val="bottom"/>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0.76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978,731</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1.18</w:t>
            </w:r>
          </w:p>
        </w:tc>
      </w:tr>
      <w:tr>
        <w:trPr>
          <w:trHeight w:val="205"/>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bearing demand accounts</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660,086</w:t>
            </w:r>
          </w:p>
        </w:tc>
        <w:tc>
          <w:tcPr>
            <w:tcW w:w="14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473,301</w:t>
            </w:r>
          </w:p>
        </w:tc>
        <w:tc>
          <w:tcPr>
            <w:tcW w:w="1540" w:type="dxa"/>
            <w:vAlign w:val="bottom"/>
            <w:tcBorders>
              <w:bottom w:val="single" w:sz="8" w:color="CCEEFF"/>
            </w:tcBorders>
          </w:tcPr>
          <w:p>
            <w:pPr>
              <w:spacing w:after="0"/>
              <w:rPr>
                <w:sz w:val="17"/>
                <w:szCs w:val="17"/>
                <w:color w:val="auto"/>
              </w:rPr>
            </w:pPr>
          </w:p>
        </w:tc>
      </w:tr>
      <w:tr>
        <w:trPr>
          <w:trHeight w:val="230"/>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deposits</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1,726,489</w:t>
            </w:r>
          </w:p>
        </w:tc>
        <w:tc>
          <w:tcPr>
            <w:tcW w:w="1480" w:type="dxa"/>
            <w:vAlign w:val="bottom"/>
            <w:tcBorders>
              <w:bottom w:val="single" w:sz="8" w:color="CCEEFF"/>
            </w:tcBorders>
            <w:shd w:val="clear" w:color="auto" w:fill="CCEEFF"/>
          </w:tcPr>
          <w:p>
            <w:pPr>
              <w:jc w:val="center"/>
              <w:ind w:left="623"/>
              <w:spacing w:after="0"/>
              <w:rPr>
                <w:sz w:val="20"/>
                <w:szCs w:val="20"/>
                <w:color w:val="auto"/>
              </w:rPr>
            </w:pPr>
            <w:r>
              <w:rPr>
                <w:rFonts w:ascii="Arial" w:cs="Arial" w:eastAsia="Arial" w:hAnsi="Arial"/>
                <w:sz w:val="16"/>
                <w:szCs w:val="16"/>
                <w:b w:val="1"/>
                <w:bCs w:val="1"/>
                <w:color w:val="auto"/>
                <w:w w:val="96"/>
              </w:rPr>
              <w:t>0.47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1,452,032</w:t>
            </w:r>
          </w:p>
        </w:tc>
        <w:tc>
          <w:tcPr>
            <w:tcW w:w="1540" w:type="dxa"/>
            <w:vAlign w:val="bottom"/>
            <w:tcBorders>
              <w:bottom w:val="single" w:sz="8" w:color="CCEEFF"/>
            </w:tcBorders>
            <w:shd w:val="clear" w:color="auto" w:fill="CCEEFF"/>
          </w:tcPr>
          <w:p>
            <w:pPr>
              <w:jc w:val="center"/>
              <w:ind w:left="543"/>
              <w:spacing w:after="0"/>
              <w:rPr>
                <w:sz w:val="20"/>
                <w:szCs w:val="20"/>
                <w:color w:val="auto"/>
              </w:rPr>
            </w:pPr>
            <w:r>
              <w:rPr>
                <w:rFonts w:ascii="Arial" w:cs="Arial" w:eastAsia="Arial" w:hAnsi="Arial"/>
                <w:sz w:val="16"/>
                <w:szCs w:val="16"/>
                <w:color w:val="auto"/>
              </w:rPr>
              <w:t>0.79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March 31, 2021.</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Over</w:t>
            </w:r>
          </w:p>
        </w:tc>
        <w:tc>
          <w:tcPr>
            <w:tcW w:w="46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Over Six</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Three</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9"/>
              </w:rPr>
              <w:t>Three</w:t>
            </w:r>
          </w:p>
        </w:tc>
        <w:tc>
          <w:tcPr>
            <w:tcW w:w="4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Over</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4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rPr>
              <w:t>Months or</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Six</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8"/>
              </w:rPr>
              <w:t>Twelve</w:t>
            </w:r>
          </w:p>
        </w:tc>
        <w:tc>
          <w:tcPr>
            <w:tcW w:w="4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Twelve</w:t>
            </w:r>
          </w:p>
        </w:tc>
        <w:tc>
          <w:tcPr>
            <w:tcW w:w="600" w:type="dxa"/>
            <w:vAlign w:val="bottom"/>
          </w:tcPr>
          <w:p>
            <w:pPr>
              <w:spacing w:after="0"/>
              <w:rPr>
                <w:sz w:val="11"/>
                <w:szCs w:val="11"/>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rPr>
              <w:t>Less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Months</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$100,000 or more</w:t>
            </w: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46,881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65,693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than $100,000</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6,985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9,447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5,671</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w:t>
            </w:r>
          </w:p>
        </w:tc>
        <w:tc>
          <w:tcPr>
            <w:tcW w:w="0" w:type="dxa"/>
            <w:vAlign w:val="bottom"/>
          </w:tcPr>
          <w:p>
            <w:pPr>
              <w:spacing w:after="0"/>
              <w:rPr>
                <w:sz w:val="1"/>
                <w:szCs w:val="1"/>
                <w:color w:val="auto"/>
              </w:rPr>
            </w:pPr>
          </w:p>
        </w:tc>
      </w:tr>
      <w:tr>
        <w:trPr>
          <w:trHeight w:val="233"/>
        </w:trPr>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53,866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75,140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85,514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98,319</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3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8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March 31, 2021, approximately $211.6 million in real estate loans and $1.1 million in investment securities were pledged as collateral to the FHLB supporting a $461.8 million line of credit. We utilize these borrowings to meet liquidity needs and to fund certain fixed rate loans in our portfolio. As of March 31, 2021, we had $22.0 million in outstanding advances and our available borrowing capacity at the FHLB was $190.7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6" w:name="page57"/>
    <w:bookmarkEnd w:id="56"/>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FHLB ADVANCES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3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For the Three Months Ended March 31,</w:t>
            </w:r>
          </w:p>
        </w:tc>
        <w:tc>
          <w:tcPr>
            <w:tcW w:w="27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For the Year Ended December 31, 20</w:t>
            </w:r>
          </w:p>
        </w:tc>
        <w:tc>
          <w:tcPr>
            <w:tcW w:w="0" w:type="dxa"/>
            <w:vAlign w:val="bottom"/>
          </w:tcPr>
          <w:p>
            <w:pPr>
              <w:spacing w:after="0"/>
              <w:rPr>
                <w:sz w:val="1"/>
                <w:szCs w:val="1"/>
                <w:color w:val="auto"/>
              </w:rPr>
            </w:pPr>
          </w:p>
        </w:tc>
      </w:tr>
      <w:tr>
        <w:trPr>
          <w:trHeight w:val="172"/>
        </w:trPr>
        <w:tc>
          <w:tcPr>
            <w:tcW w:w="49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9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Amount outstanding at period-end</w:t>
            </w:r>
          </w:p>
        </w:tc>
        <w:tc>
          <w:tcPr>
            <w:tcW w:w="920" w:type="dxa"/>
            <w:vAlign w:val="bottom"/>
            <w:shd w:val="clear" w:color="auto" w:fill="CCEEFF"/>
          </w:tcPr>
          <w:p>
            <w:pPr>
              <w:jc w:val="right"/>
              <w:ind w:right="403"/>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22,000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2"/>
        </w:trPr>
        <w:tc>
          <w:tcPr>
            <w:tcW w:w="4980" w:type="dxa"/>
            <w:vAlign w:val="bottom"/>
          </w:tcPr>
          <w:p>
            <w:pPr>
              <w:ind w:left="340"/>
              <w:spacing w:after="0"/>
              <w:rPr>
                <w:sz w:val="20"/>
                <w:szCs w:val="20"/>
                <w:color w:val="auto"/>
              </w:rPr>
            </w:pPr>
            <w:r>
              <w:rPr>
                <w:rFonts w:ascii="Arial" w:cs="Arial" w:eastAsia="Arial" w:hAnsi="Arial"/>
                <w:sz w:val="16"/>
                <w:szCs w:val="16"/>
                <w:color w:val="auto"/>
              </w:rPr>
              <w:t>Weighted average interest rate at period-end</w:t>
            </w:r>
          </w:p>
        </w:tc>
        <w:tc>
          <w:tcPr>
            <w:tcW w:w="920" w:type="dxa"/>
            <w:vAlign w:val="bottom"/>
          </w:tcPr>
          <w:p>
            <w:pPr>
              <w:spacing w:after="0"/>
              <w:rPr>
                <w:sz w:val="18"/>
                <w:szCs w:val="18"/>
                <w:color w:val="auto"/>
              </w:rPr>
            </w:pPr>
          </w:p>
        </w:tc>
        <w:tc>
          <w:tcPr>
            <w:tcW w:w="1840" w:type="dxa"/>
            <w:vAlign w:val="bottom"/>
          </w:tcPr>
          <w:p>
            <w:pPr>
              <w:jc w:val="right"/>
              <w:ind w:right="102"/>
              <w:spacing w:after="0"/>
              <w:rPr>
                <w:sz w:val="20"/>
                <w:szCs w:val="20"/>
                <w:color w:val="auto"/>
              </w:rPr>
            </w:pPr>
            <w:r>
              <w:rPr>
                <w:rFonts w:ascii="Arial" w:cs="Arial" w:eastAsia="Arial" w:hAnsi="Arial"/>
                <w:sz w:val="16"/>
                <w:szCs w:val="16"/>
                <w:b w:val="1"/>
                <w:bCs w:val="1"/>
                <w:color w:val="auto"/>
              </w:rPr>
              <w:t>0.93</w:t>
            </w:r>
          </w:p>
        </w:tc>
        <w:tc>
          <w:tcPr>
            <w:tcW w:w="56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spacing w:after="0"/>
              <w:rPr>
                <w:sz w:val="18"/>
                <w:szCs w:val="18"/>
                <w:color w:val="auto"/>
              </w:rPr>
            </w:pP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Maximum month-end balance during the period</w:t>
            </w:r>
          </w:p>
        </w:tc>
        <w:tc>
          <w:tcPr>
            <w:tcW w:w="920" w:type="dxa"/>
            <w:vAlign w:val="bottom"/>
            <w:shd w:val="clear" w:color="auto" w:fill="CCEEFF"/>
          </w:tcPr>
          <w:p>
            <w:pPr>
              <w:jc w:val="right"/>
              <w:ind w:right="403"/>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22,000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31,111</w:t>
            </w:r>
          </w:p>
        </w:tc>
        <w:tc>
          <w:tcPr>
            <w:tcW w:w="0" w:type="dxa"/>
            <w:vAlign w:val="bottom"/>
          </w:tcPr>
          <w:p>
            <w:pPr>
              <w:spacing w:after="0"/>
              <w:rPr>
                <w:sz w:val="1"/>
                <w:szCs w:val="1"/>
                <w:color w:val="auto"/>
              </w:rPr>
            </w:pPr>
          </w:p>
        </w:tc>
      </w:tr>
      <w:tr>
        <w:trPr>
          <w:trHeight w:val="212"/>
        </w:trPr>
        <w:tc>
          <w:tcPr>
            <w:tcW w:w="4980" w:type="dxa"/>
            <w:vAlign w:val="bottom"/>
          </w:tcPr>
          <w:p>
            <w:pPr>
              <w:ind w:left="340"/>
              <w:spacing w:after="0"/>
              <w:rPr>
                <w:sz w:val="20"/>
                <w:szCs w:val="20"/>
                <w:color w:val="auto"/>
              </w:rPr>
            </w:pPr>
            <w:r>
              <w:rPr>
                <w:rFonts w:ascii="Arial" w:cs="Arial" w:eastAsia="Arial" w:hAnsi="Arial"/>
                <w:sz w:val="16"/>
                <w:szCs w:val="16"/>
                <w:color w:val="auto"/>
              </w:rPr>
              <w:t>Average balance outstanding during the period</w:t>
            </w:r>
          </w:p>
        </w:tc>
        <w:tc>
          <w:tcPr>
            <w:tcW w:w="920" w:type="dxa"/>
            <w:vAlign w:val="bottom"/>
          </w:tcPr>
          <w:p>
            <w:pPr>
              <w:jc w:val="right"/>
              <w:ind w:right="403"/>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102"/>
              <w:spacing w:after="0"/>
              <w:rPr>
                <w:sz w:val="20"/>
                <w:szCs w:val="20"/>
                <w:color w:val="auto"/>
              </w:rPr>
            </w:pPr>
            <w:r>
              <w:rPr>
                <w:rFonts w:ascii="Arial" w:cs="Arial" w:eastAsia="Arial" w:hAnsi="Arial"/>
                <w:sz w:val="16"/>
                <w:szCs w:val="16"/>
                <w:b w:val="1"/>
                <w:bCs w:val="1"/>
                <w:color w:val="auto"/>
              </w:rPr>
              <w:t>22,000</w:t>
            </w:r>
          </w:p>
        </w:tc>
        <w:tc>
          <w:tcPr>
            <w:tcW w:w="56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25,917</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 during the period</w:t>
            </w:r>
          </w:p>
        </w:tc>
        <w:tc>
          <w:tcPr>
            <w:tcW w:w="9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0.94</w:t>
            </w:r>
          </w:p>
        </w:tc>
        <w:tc>
          <w:tcPr>
            <w:tcW w:w="5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has also issued junior subordinated debentures and other subordinated notes. At March 31, 2021, these other borrowings amounted to $12.1 million.</w:t>
      </w:r>
    </w:p>
    <w:p>
      <w:pPr>
        <w:spacing w:after="0" w:line="203"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At March 31, 2021,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95"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On November 30, 2020, the Company issued $10.0 million in subordinated notes due in 2030 to repay the higher yielding subordinated noted amounting to $13.5 million, reducing interest expense. The notes have a ten year term and have a fixed rate of 5.00% for the first five years; thereafter, the rate resets quarterly to a benchmark rate plus 490 basis points. The notes may be redeemed in part or in whole, upon the occurrence of certain events.</w:t>
      </w:r>
    </w:p>
    <w:p>
      <w:pPr>
        <w:spacing w:after="0" w:line="148"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 Reserve’s discount window program was $15.6 million as of March 31, 2021. Certain commercial loans are pledged under this arrangement. We maintain this borrowing arrangement to meet liquidity needs pursuant to our contingency funding plan. No advances were outstanding under this facility as of March 31, 2021.</w:t>
      </w:r>
    </w:p>
    <w:p>
      <w:pPr>
        <w:spacing w:after="0" w:line="208"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also has available lines of credit of $76.0 million with other correspondent banks at March 31, 2021, as well as access to certificate of deposit funding through a financial network and wholesale brokers. Our funding policy limits use of this funding source to 30% of the Bank’s deposits. These lines were not utilized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7" w:name="page58"/>
    <w:bookmarkEnd w:id="57"/>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March 31, 2021, we had $190.7 million of available borrowing capacity from the FHLB, $15.6 million of available borrowing capacity from the Federal Reserve Bank of Richmond and available lines of credit of $76.0 million with other correspondent banks. In addition, as a participant in the PPPLF, the Bank has funding available at the Federal Reserve Bank of Richmond upon the pledging of the SBA-PPP loans. SBA-PPP loans available for pledging amounted to $265.7 million at March 31, 2021. The funding facility is available to be drawn upon through June 30, 2021 at a rate of 0.35% for the corresponding term of the underlying SBA-PPP loan collateral. Cash and cash equivalents were $318.0 million at March 31, 2021 and $146.9 million at December 31, 2020. We believe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Stockholders’ equity increased $7.7 million at March 31, 2021 compared to December 31, 2020. Net income for the three months ended March 31, 2021 increased retained earnings by $9.0 million. Stock options exercised and stock-based compensation increased common stock and additional paid-in capital in the aggregate by $409 thousand. These increases were partially offset by the change in net unrealized gains on available for sale securities of $1.7 million.</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uses several indicators of capital strength. The most commonly used measure is the Common Equity Tier 1 (“CET1”) capital ratio (common equity tier 1 capital divided by risk weighted assets), which was 13.81% at March 31, 2021 and 12.94% at December 31, 2020. The Company has above-average levels of capital and has taken steps to navigate COVID-19 related disruptions, including taking higher levels than normal of loan loss provisions and maintaining higher than normal levels of liquidity on the balance sheet.</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common equity tier 1 capital ratios for the three months ended March 31, 2021 and for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the Three Months</w:t>
            </w:r>
          </w:p>
        </w:tc>
        <w:tc>
          <w:tcPr>
            <w:tcW w:w="18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Ended</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March 31, 2021</w:t>
            </w:r>
          </w:p>
        </w:tc>
        <w:tc>
          <w:tcPr>
            <w:tcW w:w="1800" w:type="dxa"/>
            <w:vAlign w:val="bottom"/>
          </w:tcPr>
          <w:p>
            <w:pPr>
              <w:jc w:val="right"/>
              <w:ind w:right="20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9"/>
        </w:trPr>
        <w:tc>
          <w:tcPr>
            <w:tcW w:w="554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4"/>
                <w:szCs w:val="14"/>
                <w:color w:val="auto"/>
              </w:rPr>
              <w:t>Return on Average Assets</w:t>
            </w:r>
            <w:r>
              <w:rPr>
                <w:rFonts w:ascii="Arial" w:cs="Arial" w:eastAsia="Arial" w:hAnsi="Arial"/>
                <w:sz w:val="18"/>
                <w:szCs w:val="18"/>
                <w:color w:val="auto"/>
                <w:vertAlign w:val="superscript"/>
              </w:rPr>
              <w:t>(1)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1.87 %</w:t>
            </w:r>
          </w:p>
        </w:tc>
        <w:tc>
          <w:tcPr>
            <w:tcW w:w="2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86"/>
        </w:trPr>
        <w:tc>
          <w:tcPr>
            <w:tcW w:w="5540" w:type="dxa"/>
            <w:vAlign w:val="bottom"/>
          </w:tcPr>
          <w:p>
            <w:pPr>
              <w:ind w:left="20"/>
              <w:spacing w:after="0" w:line="186" w:lineRule="exact"/>
              <w:rPr>
                <w:sz w:val="20"/>
                <w:szCs w:val="20"/>
                <w:color w:val="auto"/>
              </w:rPr>
            </w:pPr>
            <w:r>
              <w:rPr>
                <w:rFonts w:ascii="Arial" w:cs="Arial" w:eastAsia="Arial" w:hAnsi="Arial"/>
                <w:sz w:val="14"/>
                <w:szCs w:val="14"/>
                <w:color w:val="auto"/>
              </w:rPr>
              <w:t>Return on Average Equity</w:t>
            </w:r>
            <w:r>
              <w:rPr>
                <w:rFonts w:ascii="Arial" w:cs="Arial" w:eastAsia="Arial" w:hAnsi="Arial"/>
                <w:sz w:val="18"/>
                <w:szCs w:val="18"/>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22.30 %</w:t>
            </w:r>
          </w:p>
        </w:tc>
        <w:tc>
          <w:tcPr>
            <w:tcW w:w="2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13.66 %</w:t>
            </w:r>
          </w:p>
        </w:tc>
        <w:tc>
          <w:tcPr>
            <w:tcW w:w="0" w:type="dxa"/>
            <w:vAlign w:val="bottom"/>
          </w:tcPr>
          <w:p>
            <w:pPr>
              <w:spacing w:after="0"/>
              <w:rPr>
                <w:sz w:val="1"/>
                <w:szCs w:val="1"/>
                <w:color w:val="auto"/>
              </w:rPr>
            </w:pPr>
          </w:p>
        </w:tc>
      </w:tr>
      <w:tr>
        <w:trPr>
          <w:trHeight w:val="18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13.81 %</w:t>
            </w: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40" w:hanging="316"/>
        <w:spacing w:after="0" w:line="209" w:lineRule="auto"/>
        <w:tabs>
          <w:tab w:leader="none" w:pos="6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These ratios are annualized for the three months ended March 31, 2021.</w:t>
      </w: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March 31, 2021,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3"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following table presents the regulatory capital ratios for the Company (as if applicable to the Company) and the Bank as of the dates indicated.</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vMerge w:val="restart"/>
          </w:tcPr>
          <w:p>
            <w:pPr>
              <w:jc w:val="right"/>
              <w:ind w:right="654"/>
              <w:spacing w:after="0"/>
              <w:rPr>
                <w:sz w:val="20"/>
                <w:szCs w:val="20"/>
                <w:color w:val="auto"/>
              </w:rPr>
            </w:pPr>
            <w:r>
              <w:rPr>
                <w:rFonts w:ascii="Arial" w:cs="Arial" w:eastAsia="Arial" w:hAnsi="Arial"/>
                <w:sz w:val="13"/>
                <w:szCs w:val="13"/>
                <w:b w:val="1"/>
                <w:bCs w:val="1"/>
                <w:color w:val="auto"/>
              </w:rPr>
              <w:t>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40" w:type="dxa"/>
            <w:vAlign w:val="bottom"/>
            <w:gridSpan w:val="2"/>
          </w:tcPr>
          <w:p>
            <w:pPr>
              <w:jc w:val="right"/>
              <w:ind w:right="573"/>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94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Adequacy</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Capitalized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294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March 31, 2021</w:t>
            </w:r>
          </w:p>
        </w:tc>
        <w:tc>
          <w:tcPr>
            <w:tcW w:w="480" w:type="dxa"/>
            <w:vAlign w:val="bottom"/>
          </w:tcPr>
          <w:p>
            <w:pPr>
              <w:spacing w:after="0"/>
              <w:rPr>
                <w:sz w:val="13"/>
                <w:szCs w:val="13"/>
                <w:color w:val="auto"/>
              </w:rPr>
            </w:pPr>
          </w:p>
        </w:tc>
        <w:tc>
          <w:tcPr>
            <w:tcW w:w="760" w:type="dxa"/>
            <w:vAlign w:val="bottom"/>
          </w:tcPr>
          <w:p>
            <w:pPr>
              <w:jc w:val="right"/>
              <w:ind w:right="93"/>
              <w:spacing w:after="0" w:line="159" w:lineRule="exact"/>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554"/>
              <w:spacing w:after="0" w:line="159"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13"/>
              <w:spacing w:after="0" w:line="159"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jc w:val="right"/>
              <w:ind w:right="554"/>
              <w:spacing w:after="0" w:line="159" w:lineRule="exact"/>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73"/>
              <w:spacing w:after="0" w:line="15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169,046</w:t>
            </w:r>
          </w:p>
        </w:tc>
        <w:tc>
          <w:tcPr>
            <w:tcW w:w="1160" w:type="dxa"/>
            <w:vAlign w:val="bottom"/>
          </w:tcPr>
          <w:p>
            <w:pPr>
              <w:jc w:val="right"/>
              <w:ind w:right="234"/>
              <w:spacing w:after="0"/>
              <w:rPr>
                <w:sz w:val="20"/>
                <w:szCs w:val="20"/>
                <w:color w:val="auto"/>
              </w:rPr>
            </w:pPr>
            <w:r>
              <w:rPr>
                <w:rFonts w:ascii="Arial" w:cs="Arial" w:eastAsia="Arial" w:hAnsi="Arial"/>
                <w:sz w:val="13"/>
                <w:szCs w:val="13"/>
                <w:b w:val="1"/>
                <w:bCs w:val="1"/>
                <w:color w:val="auto"/>
              </w:rPr>
              <w:t>8.84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434"/>
              <w:spacing w:after="0"/>
              <w:rPr>
                <w:sz w:val="20"/>
                <w:szCs w:val="20"/>
                <w:color w:val="auto"/>
              </w:rPr>
            </w:pPr>
            <w:r>
              <w:rPr>
                <w:rFonts w:ascii="Arial" w:cs="Arial" w:eastAsia="Arial" w:hAnsi="Arial"/>
                <w:sz w:val="13"/>
                <w:szCs w:val="13"/>
                <w:b w:val="1"/>
                <w:bCs w:val="1"/>
                <w:color w:val="auto"/>
              </w:rPr>
              <w:t>76,515</w:t>
            </w:r>
          </w:p>
        </w:tc>
        <w:tc>
          <w:tcPr>
            <w:tcW w:w="680" w:type="dxa"/>
            <w:vAlign w:val="bottom"/>
          </w:tcPr>
          <w:p>
            <w:pPr>
              <w:jc w:val="right"/>
              <w:ind w:right="233"/>
              <w:spacing w:after="0"/>
              <w:rPr>
                <w:sz w:val="20"/>
                <w:szCs w:val="20"/>
                <w:color w:val="auto"/>
              </w:rPr>
            </w:pPr>
            <w:r>
              <w:rPr>
                <w:rFonts w:ascii="Arial" w:cs="Arial" w:eastAsia="Arial" w:hAnsi="Arial"/>
                <w:sz w:val="13"/>
                <w:szCs w:val="13"/>
                <w:b w:val="1"/>
                <w:bCs w:val="1"/>
                <w:color w:val="auto"/>
              </w:rPr>
              <w:t>4.00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169,046</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13.98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102,753</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145"/>
        </w:trPr>
        <w:tc>
          <w:tcPr>
            <w:tcW w:w="3280" w:type="dxa"/>
            <w:vAlign w:val="bottom"/>
            <w:gridSpan w:val="4"/>
          </w:tcPr>
          <w:p>
            <w:pPr>
              <w:ind w:left="140"/>
              <w:spacing w:after="0" w:line="145" w:lineRule="exact"/>
              <w:rPr>
                <w:sz w:val="20"/>
                <w:szCs w:val="20"/>
                <w:color w:val="auto"/>
              </w:rPr>
            </w:pPr>
            <w:r>
              <w:rPr>
                <w:rFonts w:ascii="Arial" w:cs="Arial" w:eastAsia="Arial" w:hAnsi="Arial"/>
                <w:sz w:val="13"/>
                <w:szCs w:val="13"/>
                <w:color w:val="auto"/>
              </w:rPr>
              <w:t>Common equity tier 1 capital ratio (to risk-weighted</w:t>
            </w:r>
          </w:p>
        </w:tc>
        <w:tc>
          <w:tcPr>
            <w:tcW w:w="4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166,984</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13.81</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84,620</w:t>
            </w: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7.00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vMerge w:val="restart"/>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166"/>
        </w:trPr>
        <w:tc>
          <w:tcPr>
            <w:tcW w:w="3280" w:type="dxa"/>
            <w:vAlign w:val="bottom"/>
            <w:gridSpan w:val="4"/>
          </w:tcPr>
          <w:p>
            <w:pPr>
              <w:ind w:left="300"/>
              <w:spacing w:after="0"/>
              <w:rPr>
                <w:sz w:val="20"/>
                <w:szCs w:val="20"/>
                <w:color w:val="auto"/>
              </w:rPr>
            </w:pPr>
            <w:r>
              <w:rPr>
                <w:rFonts w:ascii="Arial" w:cs="Arial" w:eastAsia="Arial" w:hAnsi="Arial"/>
                <w:sz w:val="13"/>
                <w:szCs w:val="13"/>
                <w:color w:val="auto"/>
              </w:rPr>
              <w:t>assets)</w:t>
            </w:r>
          </w:p>
        </w:tc>
        <w:tc>
          <w:tcPr>
            <w:tcW w:w="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194,283</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16.07</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126,930</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10.50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94"/>
              <w:spacing w:after="0"/>
              <w:rPr>
                <w:sz w:val="20"/>
                <w:szCs w:val="20"/>
                <w:color w:val="auto"/>
              </w:rPr>
            </w:pPr>
            <w:r>
              <w:rPr>
                <w:rFonts w:ascii="Arial" w:cs="Arial" w:eastAsia="Arial" w:hAnsi="Arial"/>
                <w:sz w:val="13"/>
                <w:szCs w:val="13"/>
                <w:b w:val="1"/>
                <w:bCs w:val="1"/>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w w:val="84"/>
              </w:rPr>
              <w:t>N</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144,245</w:t>
            </w:r>
          </w:p>
        </w:tc>
        <w:tc>
          <w:tcPr>
            <w:tcW w:w="1160" w:type="dxa"/>
            <w:vAlign w:val="bottom"/>
          </w:tcPr>
          <w:p>
            <w:pPr>
              <w:jc w:val="right"/>
              <w:ind w:right="234"/>
              <w:spacing w:after="0"/>
              <w:rPr>
                <w:sz w:val="20"/>
                <w:szCs w:val="20"/>
                <w:color w:val="auto"/>
              </w:rPr>
            </w:pPr>
            <w:r>
              <w:rPr>
                <w:rFonts w:ascii="Arial" w:cs="Arial" w:eastAsia="Arial" w:hAnsi="Arial"/>
                <w:sz w:val="13"/>
                <w:szCs w:val="13"/>
                <w:b w:val="1"/>
                <w:bCs w:val="1"/>
                <w:color w:val="auto"/>
              </w:rPr>
              <w:t>7.54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434"/>
              <w:spacing w:after="0"/>
              <w:rPr>
                <w:sz w:val="20"/>
                <w:szCs w:val="20"/>
                <w:color w:val="auto"/>
              </w:rPr>
            </w:pPr>
            <w:r>
              <w:rPr>
                <w:rFonts w:ascii="Arial" w:cs="Arial" w:eastAsia="Arial" w:hAnsi="Arial"/>
                <w:sz w:val="13"/>
                <w:szCs w:val="13"/>
                <w:b w:val="1"/>
                <w:bCs w:val="1"/>
                <w:color w:val="auto"/>
              </w:rPr>
              <w:t>76,515</w:t>
            </w:r>
          </w:p>
        </w:tc>
        <w:tc>
          <w:tcPr>
            <w:tcW w:w="680" w:type="dxa"/>
            <w:vAlign w:val="bottom"/>
          </w:tcPr>
          <w:p>
            <w:pPr>
              <w:jc w:val="right"/>
              <w:ind w:right="233"/>
              <w:spacing w:after="0"/>
              <w:rPr>
                <w:sz w:val="20"/>
                <w:szCs w:val="20"/>
                <w:color w:val="auto"/>
              </w:rPr>
            </w:pPr>
            <w:r>
              <w:rPr>
                <w:rFonts w:ascii="Arial" w:cs="Arial" w:eastAsia="Arial" w:hAnsi="Arial"/>
                <w:sz w:val="13"/>
                <w:szCs w:val="13"/>
                <w:b w:val="1"/>
                <w:bCs w:val="1"/>
                <w:color w:val="auto"/>
              </w:rPr>
              <w:t>4.00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434"/>
              <w:spacing w:after="0"/>
              <w:rPr>
                <w:sz w:val="20"/>
                <w:szCs w:val="20"/>
                <w:color w:val="auto"/>
              </w:rPr>
            </w:pPr>
            <w:r>
              <w:rPr>
                <w:rFonts w:ascii="Arial" w:cs="Arial" w:eastAsia="Arial" w:hAnsi="Arial"/>
                <w:sz w:val="13"/>
                <w:szCs w:val="13"/>
                <w:b w:val="1"/>
                <w:bCs w:val="1"/>
                <w:color w:val="auto"/>
              </w:rPr>
              <w:t>95,643</w:t>
            </w:r>
          </w:p>
        </w:tc>
        <w:tc>
          <w:tcPr>
            <w:tcW w:w="740" w:type="dxa"/>
            <w:vAlign w:val="bottom"/>
          </w:tcPr>
          <w:p>
            <w:pPr>
              <w:jc w:val="right"/>
              <w:ind w:right="293"/>
              <w:spacing w:after="0"/>
              <w:rPr>
                <w:sz w:val="20"/>
                <w:szCs w:val="20"/>
                <w:color w:val="auto"/>
              </w:rPr>
            </w:pPr>
            <w:r>
              <w:rPr>
                <w:rFonts w:ascii="Arial" w:cs="Arial" w:eastAsia="Arial" w:hAnsi="Arial"/>
                <w:sz w:val="13"/>
                <w:szCs w:val="13"/>
                <w:b w:val="1"/>
                <w:bCs w:val="1"/>
                <w:color w:val="auto"/>
              </w:rPr>
              <w:t>5.00</w:t>
            </w: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144,245</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12.29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99,763</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93,895</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8.00</w:t>
            </w:r>
          </w:p>
        </w:tc>
        <w:tc>
          <w:tcPr>
            <w:tcW w:w="0" w:type="dxa"/>
            <w:vAlign w:val="bottom"/>
          </w:tcPr>
          <w:p>
            <w:pPr>
              <w:spacing w:after="0"/>
              <w:rPr>
                <w:sz w:val="1"/>
                <w:szCs w:val="1"/>
                <w:color w:val="auto"/>
              </w:rPr>
            </w:pPr>
          </w:p>
        </w:tc>
      </w:tr>
      <w:tr>
        <w:trPr>
          <w:trHeight w:val="145"/>
        </w:trPr>
        <w:tc>
          <w:tcPr>
            <w:tcW w:w="3280" w:type="dxa"/>
            <w:vAlign w:val="bottom"/>
            <w:gridSpan w:val="4"/>
          </w:tcPr>
          <w:p>
            <w:pPr>
              <w:ind w:left="140"/>
              <w:spacing w:after="0" w:line="145" w:lineRule="exact"/>
              <w:rPr>
                <w:sz w:val="20"/>
                <w:szCs w:val="20"/>
                <w:color w:val="auto"/>
              </w:rPr>
            </w:pPr>
            <w:r>
              <w:rPr>
                <w:rFonts w:ascii="Arial" w:cs="Arial" w:eastAsia="Arial" w:hAnsi="Arial"/>
                <w:sz w:val="13"/>
                <w:szCs w:val="13"/>
                <w:color w:val="auto"/>
              </w:rPr>
              <w:t>Common equity tier 1 capital ratio (to risk-weighted</w:t>
            </w:r>
          </w:p>
        </w:tc>
        <w:tc>
          <w:tcPr>
            <w:tcW w:w="4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144,245</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12.29</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82,158</w:t>
            </w: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7.00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76,289</w:t>
            </w:r>
          </w:p>
        </w:tc>
        <w:tc>
          <w:tcPr>
            <w:tcW w:w="74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166"/>
        </w:trPr>
        <w:tc>
          <w:tcPr>
            <w:tcW w:w="3280" w:type="dxa"/>
            <w:vAlign w:val="bottom"/>
            <w:gridSpan w:val="4"/>
          </w:tcPr>
          <w:p>
            <w:pPr>
              <w:ind w:left="300"/>
              <w:spacing w:after="0"/>
              <w:rPr>
                <w:sz w:val="20"/>
                <w:szCs w:val="20"/>
                <w:color w:val="auto"/>
              </w:rPr>
            </w:pPr>
            <w:r>
              <w:rPr>
                <w:rFonts w:ascii="Arial" w:cs="Arial" w:eastAsia="Arial" w:hAnsi="Arial"/>
                <w:sz w:val="13"/>
                <w:szCs w:val="13"/>
                <w:color w:val="auto"/>
              </w:rPr>
              <w:t>assets)</w:t>
            </w:r>
          </w:p>
        </w:tc>
        <w:tc>
          <w:tcPr>
            <w:tcW w:w="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159,042</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13.55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123,237</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10.50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117,368</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2020</w:t>
            </w:r>
          </w:p>
        </w:tc>
        <w:tc>
          <w:tcPr>
            <w:tcW w:w="17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159,656</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8.78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72,770</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159,656</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13.10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103,559</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8.50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152"/>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risk-weighted</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gridSpan w:val="4"/>
            <w:shd w:val="clear" w:color="auto" w:fill="CCEEFF"/>
          </w:tcPr>
          <w:p>
            <w:pPr>
              <w:ind w:left="300"/>
              <w:spacing w:after="0"/>
              <w:rPr>
                <w:sz w:val="20"/>
                <w:szCs w:val="20"/>
                <w:color w:val="auto"/>
              </w:rPr>
            </w:pPr>
            <w:r>
              <w:rPr>
                <w:rFonts w:ascii="Arial" w:cs="Arial" w:eastAsia="Arial" w:hAnsi="Arial"/>
                <w:sz w:val="13"/>
                <w:szCs w:val="13"/>
                <w:color w:val="auto"/>
              </w:rPr>
              <w:t>assets)</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157,594</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12.94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85,284</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shd w:val="clear" w:color="auto" w:fill="CCEEFF"/>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185,008</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15.19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127,926</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10.50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394"/>
              <w:spacing w:after="0"/>
              <w:rPr>
                <w:sz w:val="20"/>
                <w:szCs w:val="20"/>
                <w:color w:val="auto"/>
              </w:rPr>
            </w:pPr>
            <w:r>
              <w:rPr>
                <w:rFonts w:ascii="Arial" w:cs="Arial" w:eastAsia="Arial" w:hAnsi="Arial"/>
                <w:sz w:val="13"/>
                <w:szCs w:val="13"/>
                <w:color w:val="auto"/>
              </w:rPr>
              <w:t>N/A</w:t>
            </w:r>
          </w:p>
        </w:tc>
        <w:tc>
          <w:tcPr>
            <w:tcW w:w="740" w:type="dxa"/>
            <w:vAlign w:val="bottom"/>
          </w:tcPr>
          <w:p>
            <w:pPr>
              <w:ind w:left="640"/>
              <w:spacing w:after="0"/>
              <w:rPr>
                <w:sz w:val="20"/>
                <w:szCs w:val="20"/>
                <w:color w:val="auto"/>
              </w:rPr>
            </w:pPr>
            <w:r>
              <w:rPr>
                <w:rFonts w:ascii="Arial" w:cs="Arial" w:eastAsia="Arial" w:hAnsi="Arial"/>
                <w:sz w:val="13"/>
                <w:szCs w:val="13"/>
                <w:color w:val="auto"/>
                <w:w w:val="84"/>
              </w:rPr>
              <w:t>N</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294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7.45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72,770</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90,962</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11.34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101,619</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8.50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95,642</w:t>
            </w:r>
          </w:p>
        </w:tc>
        <w:tc>
          <w:tcPr>
            <w:tcW w:w="740" w:type="dxa"/>
            <w:vAlign w:val="bottom"/>
          </w:tcPr>
          <w:p>
            <w:pPr>
              <w:jc w:val="right"/>
              <w:ind w:right="293"/>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52"/>
        </w:trPr>
        <w:tc>
          <w:tcPr>
            <w:tcW w:w="328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risk-weighted</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gridSpan w:val="4"/>
            <w:shd w:val="clear" w:color="auto" w:fill="CCEEFF"/>
          </w:tcPr>
          <w:p>
            <w:pPr>
              <w:ind w:left="300"/>
              <w:spacing w:after="0"/>
              <w:rPr>
                <w:sz w:val="20"/>
                <w:szCs w:val="20"/>
                <w:color w:val="auto"/>
              </w:rPr>
            </w:pPr>
            <w:r>
              <w:rPr>
                <w:rFonts w:ascii="Arial" w:cs="Arial" w:eastAsia="Arial" w:hAnsi="Arial"/>
                <w:sz w:val="13"/>
                <w:szCs w:val="13"/>
                <w:color w:val="auto"/>
              </w:rPr>
              <w:t>assets)</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11.34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83,686</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77,709</w:t>
            </w:r>
          </w:p>
        </w:tc>
        <w:tc>
          <w:tcPr>
            <w:tcW w:w="7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150,593</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12.60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125,530</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10.50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119,552</w:t>
            </w:r>
          </w:p>
        </w:tc>
        <w:tc>
          <w:tcPr>
            <w:tcW w:w="740" w:type="dxa"/>
            <w:vAlign w:val="bottom"/>
          </w:tcPr>
          <w:p>
            <w:pPr>
              <w:jc w:val="right"/>
              <w:ind w:right="293"/>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March 31, 2021.</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CONTRACTUAL OBLIGATIONS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Due in One Year or</w:t>
            </w:r>
          </w:p>
        </w:tc>
        <w:tc>
          <w:tcPr>
            <w:tcW w:w="160" w:type="dxa"/>
            <w:vAlign w:val="bottom"/>
          </w:tcPr>
          <w:p>
            <w:pPr>
              <w:spacing w:after="0"/>
              <w:rPr>
                <w:sz w:val="12"/>
                <w:szCs w:val="12"/>
                <w:color w:val="auto"/>
              </w:rPr>
            </w:pPr>
          </w:p>
        </w:tc>
        <w:tc>
          <w:tcPr>
            <w:tcW w:w="1220" w:type="dxa"/>
            <w:vAlign w:val="bottom"/>
          </w:tcPr>
          <w:p>
            <w:pPr>
              <w:jc w:val="center"/>
              <w:ind w:right="49"/>
              <w:spacing w:after="0" w:line="139" w:lineRule="exact"/>
              <w:rPr>
                <w:sz w:val="20"/>
                <w:szCs w:val="20"/>
                <w:color w:val="auto"/>
              </w:rPr>
            </w:pPr>
            <w:r>
              <w:rPr>
                <w:rFonts w:ascii="Arial" w:cs="Arial" w:eastAsia="Arial" w:hAnsi="Arial"/>
                <w:sz w:val="14"/>
                <w:szCs w:val="14"/>
                <w:b w:val="1"/>
                <w:bCs w:val="1"/>
                <w:color w:val="auto"/>
                <w:w w:val="99"/>
              </w:rPr>
              <w:t>Due After One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rPr>
              <w:t>Through Three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9"/>
              </w:rPr>
              <w:t>Years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9"/>
              </w:rPr>
              <w:t>Through Five Years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FHLB advances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Certificates of deposit $100,000 or more</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179,354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91,519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272,002</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 less than $100,000</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35,165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40,836</w:t>
            </w:r>
          </w:p>
        </w:tc>
        <w:tc>
          <w:tcPr>
            <w:tcW w:w="0" w:type="dxa"/>
            <w:vAlign w:val="bottom"/>
          </w:tcPr>
          <w:p>
            <w:pPr>
              <w:spacing w:after="0"/>
              <w:rPr>
                <w:sz w:val="1"/>
                <w:szCs w:val="1"/>
                <w:color w:val="auto"/>
              </w:rPr>
            </w:pP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Lease payments</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215,540</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98,433</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24,120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12,082</w:t>
            </w:r>
          </w:p>
        </w:tc>
        <w:tc>
          <w:tcPr>
            <w:tcW w:w="12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350,175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0" w:name="page61"/>
    <w:bookmarkEnd w:id="60"/>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35"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 March 31, 2021</w:t>
            </w:r>
          </w:p>
        </w:tc>
        <w:tc>
          <w:tcPr>
            <w:tcW w:w="5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8"/>
        </w:trPr>
        <w:tc>
          <w:tcPr>
            <w:tcW w:w="542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66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w:t>
            </w:r>
          </w:p>
        </w:tc>
        <w:tc>
          <w:tcPr>
            <w:tcW w:w="22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376,308</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420" w:type="dxa"/>
            <w:vAlign w:val="bottom"/>
          </w:tcPr>
          <w:p>
            <w:pPr>
              <w:ind w:left="340"/>
              <w:spacing w:after="0"/>
              <w:rPr>
                <w:sz w:val="20"/>
                <w:szCs w:val="20"/>
                <w:color w:val="auto"/>
              </w:rPr>
            </w:pPr>
            <w:r>
              <w:rPr>
                <w:rFonts w:ascii="Arial" w:cs="Arial" w:eastAsia="Arial" w:hAnsi="Arial"/>
                <w:sz w:val="16"/>
                <w:szCs w:val="16"/>
                <w:color w:val="auto"/>
              </w:rPr>
              <w:t>Unfunded lines of credit</w:t>
            </w:r>
          </w:p>
        </w:tc>
        <w:tc>
          <w:tcPr>
            <w:tcW w:w="660" w:type="dxa"/>
            <w:vAlign w:val="bottom"/>
            <w:vMerge w:val="continue"/>
          </w:tcPr>
          <w:p>
            <w:pPr>
              <w:spacing w:after="0"/>
              <w:rPr>
                <w:sz w:val="20"/>
                <w:szCs w:val="20"/>
                <w:color w:val="auto"/>
              </w:rPr>
            </w:pPr>
          </w:p>
        </w:tc>
        <w:tc>
          <w:tcPr>
            <w:tcW w:w="2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to originate residential loans held for sale</w:t>
            </w:r>
          </w:p>
        </w:tc>
        <w:tc>
          <w:tcPr>
            <w:tcW w:w="66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8,767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2"/>
        </w:trPr>
        <w:tc>
          <w:tcPr>
            <w:tcW w:w="5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Letters of credit</w:t>
            </w:r>
          </w:p>
        </w:tc>
        <w:tc>
          <w:tcPr>
            <w:tcW w:w="6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5,132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credit extension commitments</w:t>
            </w:r>
          </w:p>
        </w:tc>
        <w:tc>
          <w:tcPr>
            <w:tcW w:w="6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2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390,207</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Our credit risk associated with issuing letters of credit is believed to be substantially the same as the risk involved in extending loan facilities to our customers.</w:t>
      </w:r>
    </w:p>
    <w:p>
      <w:pPr>
        <w:spacing w:after="0" w:line="19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there is no guarantee that the lines of credit will be used.</w:t>
      </w:r>
    </w:p>
    <w:p>
      <w:pPr>
        <w:spacing w:after="0" w:line="208"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1" w:name="page62"/>
    <w:bookmarkEnd w:id="61"/>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manage our sensitivity position within our established guidelines.</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After Three</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Greater Than One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9"/>
              </w:rPr>
              <w:t>Through Three</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Through Twelve</w:t>
            </w:r>
          </w:p>
        </w:tc>
        <w:tc>
          <w:tcPr>
            <w:tcW w:w="12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Year or Non-</w:t>
            </w:r>
          </w:p>
        </w:tc>
        <w:tc>
          <w:tcPr>
            <w:tcW w:w="28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580" w:type="dxa"/>
            <w:vAlign w:val="bottom"/>
            <w:vMerge w:val="continue"/>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8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140"/>
              <w:spacing w:after="0" w:line="186"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713,968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69,062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248,332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1,031,362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607,541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1,638,903</w:t>
            </w: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14,038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16,038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111,985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128,023</w:t>
            </w:r>
          </w:p>
        </w:tc>
        <w:tc>
          <w:tcPr>
            <w:tcW w:w="0" w:type="dxa"/>
            <w:vAlign w:val="bottom"/>
          </w:tcPr>
          <w:p>
            <w:pPr>
              <w:spacing w:after="0"/>
              <w:rPr>
                <w:sz w:val="1"/>
                <w:szCs w:val="1"/>
                <w:color w:val="auto"/>
              </w:rPr>
            </w:pPr>
          </w:p>
        </w:tc>
      </w:tr>
      <w:tr>
        <w:trPr>
          <w:trHeight w:val="150"/>
        </w:trPr>
        <w:tc>
          <w:tcPr>
            <w:tcW w:w="258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Interest bearing deposits at other</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294,777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294,777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294,777</w:t>
            </w:r>
          </w:p>
        </w:tc>
        <w:tc>
          <w:tcPr>
            <w:tcW w:w="0" w:type="dxa"/>
            <w:vAlign w:val="bottom"/>
          </w:tcPr>
          <w:p>
            <w:pPr>
              <w:spacing w:after="0"/>
              <w:rPr>
                <w:sz w:val="1"/>
                <w:szCs w:val="1"/>
                <w:color w:val="auto"/>
              </w:rPr>
            </w:pPr>
          </w:p>
        </w:tc>
      </w:tr>
      <w:tr>
        <w:trPr>
          <w:trHeight w:val="168"/>
        </w:trPr>
        <w:tc>
          <w:tcPr>
            <w:tcW w:w="2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04"/>
        </w:trPr>
        <w:tc>
          <w:tcPr>
            <w:tcW w:w="2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1,023,350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69,062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250,332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1,342,744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719,526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2,062,270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Interest bearing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778,306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778,306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778,306</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10,146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43,720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160,654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214,520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98,319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312,839</w:t>
            </w:r>
          </w:p>
        </w:tc>
        <w:tc>
          <w:tcPr>
            <w:tcW w:w="0" w:type="dxa"/>
            <w:vAlign w:val="bottom"/>
          </w:tcPr>
          <w:p>
            <w:pPr>
              <w:spacing w:after="0"/>
              <w:rPr>
                <w:sz w:val="1"/>
                <w:szCs w:val="1"/>
                <w:color w:val="auto"/>
              </w:rPr>
            </w:pPr>
          </w:p>
        </w:tc>
      </w:tr>
      <w:tr>
        <w:trPr>
          <w:trHeight w:val="17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 bearing deposits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788,452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43,720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160,654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992,826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98,319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1,091,145</w:t>
            </w: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79"/>
        </w:trPr>
        <w:tc>
          <w:tcPr>
            <w:tcW w:w="2580" w:type="dxa"/>
            <w:vAlign w:val="bottom"/>
          </w:tcPr>
          <w:p>
            <w:pPr>
              <w:ind w:left="340"/>
              <w:spacing w:after="0"/>
              <w:rPr>
                <w:sz w:val="20"/>
                <w:szCs w:val="20"/>
                <w:color w:val="auto"/>
              </w:rPr>
            </w:pPr>
            <w:r>
              <w:rPr>
                <w:rFonts w:ascii="Arial" w:cs="Arial" w:eastAsia="Arial" w:hAnsi="Arial"/>
                <w:sz w:val="14"/>
                <w:szCs w:val="14"/>
                <w:color w:val="auto"/>
              </w:rPr>
              <w:t>Total interest bearing liabilities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788,452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43,720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160,654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992,826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132,381</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1,125,207</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234,898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25,342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89,678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349,918</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587,145</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937,063</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234,898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260,240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349,918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349,918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937,063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20"/>
              <w:spacing w:after="0" w:line="151" w:lineRule="exact"/>
              <w:rPr>
                <w:sz w:val="20"/>
                <w:szCs w:val="20"/>
                <w:color w:val="auto"/>
              </w:rPr>
            </w:pPr>
            <w:r>
              <w:rPr>
                <w:rFonts w:ascii="Arial" w:cs="Arial" w:eastAsia="Arial" w:hAnsi="Arial"/>
                <w:sz w:val="14"/>
                <w:szCs w:val="14"/>
                <w:color w:val="auto"/>
              </w:rPr>
              <w:t>Ratio of cumulative gap to total earning</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11.39 %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12.62 %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16.97 %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16.97 %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45.44 %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18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9" w:lineRule="auto"/>
        <w:tabs>
          <w:tab w:leader="none" w:pos="32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4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March 31,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Earnings at Risk</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-200 bps</w:t>
            </w: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-100 bps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Flat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+100 bps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+200 bps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+300 bps</w:t>
            </w:r>
          </w:p>
        </w:tc>
        <w:tc>
          <w:tcPr>
            <w:tcW w:w="180" w:type="dxa"/>
            <w:vAlign w:val="bottom"/>
          </w:tcPr>
          <w:p>
            <w:pPr>
              <w:spacing w:after="0"/>
              <w:rPr>
                <w:sz w:val="14"/>
                <w:szCs w:val="14"/>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68"/>
        </w:trPr>
        <w:tc>
          <w:tcPr>
            <w:tcW w:w="1380" w:type="dxa"/>
            <w:vAlign w:val="bottom"/>
            <w:gridSpan w:val="2"/>
          </w:tcPr>
          <w:p>
            <w:pPr>
              <w:spacing w:after="0"/>
              <w:rPr>
                <w:sz w:val="20"/>
                <w:szCs w:val="20"/>
                <w:color w:val="auto"/>
              </w:rPr>
            </w:pPr>
            <w:r>
              <w:rPr>
                <w:rFonts w:ascii="Arial" w:cs="Arial" w:eastAsia="Arial" w:hAnsi="Arial"/>
                <w:sz w:val="14"/>
                <w:szCs w:val="14"/>
                <w:color w:val="auto"/>
              </w:rPr>
              <w:t>March 31, 2021</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(2.2)</w:t>
            </w:r>
          </w:p>
        </w:tc>
        <w:tc>
          <w:tcPr>
            <w:tcW w:w="4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169"/>
              <w:spacing w:after="0"/>
              <w:rPr>
                <w:sz w:val="20"/>
                <w:szCs w:val="20"/>
                <w:color w:val="auto"/>
              </w:rPr>
            </w:pPr>
            <w:r>
              <w:rPr>
                <w:rFonts w:ascii="Arial" w:cs="Arial" w:eastAsia="Arial" w:hAnsi="Arial"/>
                <w:sz w:val="14"/>
                <w:szCs w:val="14"/>
                <w:color w:val="auto"/>
              </w:rPr>
              <w:t>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3.0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8.6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14.6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0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March 31,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Economic</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 bps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 bps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Flat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6"/>
              </w:rPr>
              <w:t>+100 bps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 bps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6"/>
              </w:rPr>
              <w:t>+300 bps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 of Equity</w:t>
            </w:r>
          </w:p>
        </w:tc>
        <w:tc>
          <w:tcPr>
            <w:tcW w:w="1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40" w:type="dxa"/>
            <w:vAlign w:val="bottom"/>
            <w:gridSpan w:val="2"/>
          </w:tcPr>
          <w:p>
            <w:pPr>
              <w:ind w:left="340"/>
              <w:spacing w:after="0"/>
              <w:rPr>
                <w:sz w:val="20"/>
                <w:szCs w:val="20"/>
                <w:color w:val="auto"/>
              </w:rPr>
            </w:pPr>
            <w:r>
              <w:rPr>
                <w:rFonts w:ascii="Arial" w:cs="Arial" w:eastAsia="Arial" w:hAnsi="Arial"/>
                <w:sz w:val="14"/>
                <w:szCs w:val="14"/>
                <w:color w:val="auto"/>
              </w:rPr>
              <w:t>March 31, 2021</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(16.1)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(7.4)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tcPr>
          <w:p>
            <w:pPr>
              <w:ind w:left="460"/>
              <w:spacing w:after="0"/>
              <w:rPr>
                <w:sz w:val="20"/>
                <w:szCs w:val="20"/>
                <w:color w:val="auto"/>
              </w:rPr>
            </w:pPr>
            <w:r>
              <w:rPr>
                <w:rFonts w:ascii="Arial" w:cs="Arial" w:eastAsia="Arial" w:hAnsi="Arial"/>
                <w:sz w:val="14"/>
                <w:szCs w:val="14"/>
                <w:color w:val="auto"/>
              </w:rPr>
              <w:t>10.3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1080" w:type="dxa"/>
            <w:vAlign w:val="bottom"/>
          </w:tcPr>
          <w:p>
            <w:pPr>
              <w:jc w:val="right"/>
              <w:ind w:right="289"/>
              <w:spacing w:after="0"/>
              <w:rPr>
                <w:sz w:val="20"/>
                <w:szCs w:val="20"/>
                <w:color w:val="auto"/>
              </w:rPr>
            </w:pPr>
            <w:r>
              <w:rPr>
                <w:rFonts w:ascii="Arial" w:cs="Arial" w:eastAsia="Arial" w:hAnsi="Arial"/>
                <w:sz w:val="14"/>
                <w:szCs w:val="14"/>
                <w:color w:val="auto"/>
              </w:rPr>
              <w:t>18.5</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80" w:type="dxa"/>
            <w:vAlign w:val="bottom"/>
          </w:tcPr>
          <w:p>
            <w:pPr>
              <w:ind w:left="460"/>
              <w:spacing w:after="0"/>
              <w:rPr>
                <w:sz w:val="20"/>
                <w:szCs w:val="20"/>
                <w:color w:val="auto"/>
              </w:rPr>
            </w:pPr>
            <w:r>
              <w:rPr>
                <w:rFonts w:ascii="Arial" w:cs="Arial" w:eastAsia="Arial" w:hAnsi="Arial"/>
                <w:sz w:val="14"/>
                <w:szCs w:val="14"/>
                <w:color w:val="auto"/>
              </w:rPr>
              <w:t>26.1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for the year ended December 31, 2020 in addition to and other reports as filed with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2, 2021 the Company announced a new stock repurchase program. Under the new program, the Company is authorized to repurchase up to $7.5 million of its outstanding common stock. During the three months ended March 31, 2021, the Company did not repurchase any shares under the stock repurchase program.</w:t>
      </w:r>
    </w:p>
    <w:p>
      <w:pPr>
        <w:spacing w:after="0" w:line="18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new program replaces the previous $5.0 million stock repurchase program approved by the Board in April 2019, which concluded in the fourth quarter of 2020. In connection with the prior repurchase program, the Company purchased an aggregate of 304,114 shares of its common stock at an average price of $10.81 per share during the twelve months ended December 31, 2020, as reflected in the following table.</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tcPr>
          <w:p>
            <w:pPr>
              <w:jc w:val="center"/>
              <w:ind w:left="49"/>
              <w:spacing w:after="0"/>
              <w:rPr>
                <w:sz w:val="20"/>
                <w:szCs w:val="20"/>
                <w:color w:val="auto"/>
              </w:rPr>
            </w:pPr>
            <w:r>
              <w:rPr>
                <w:rFonts w:ascii="Arial" w:cs="Arial" w:eastAsia="Arial" w:hAnsi="Arial"/>
                <w:sz w:val="14"/>
                <w:szCs w:val="14"/>
                <w:b w:val="1"/>
                <w:bCs w:val="1"/>
                <w:color w:val="auto"/>
                <w:w w:val="99"/>
              </w:rPr>
              <w:t>Maximum Dollar Value of</w:t>
            </w: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2340" w:type="dxa"/>
            <w:vAlign w:val="bottom"/>
            <w:vMerge w:val="restart"/>
          </w:tcPr>
          <w:p>
            <w:pPr>
              <w:jc w:val="center"/>
              <w:ind w:left="789"/>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Purchased as Part of</w:t>
            </w:r>
          </w:p>
        </w:tc>
        <w:tc>
          <w:tcPr>
            <w:tcW w:w="2060" w:type="dxa"/>
            <w:vAlign w:val="bottom"/>
          </w:tcPr>
          <w:p>
            <w:pPr>
              <w:jc w:val="center"/>
              <w:ind w:left="49"/>
              <w:spacing w:after="0" w:line="133"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33"/>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Periods</w:t>
            </w:r>
          </w:p>
        </w:tc>
        <w:tc>
          <w:tcPr>
            <w:tcW w:w="23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Publicly Announced Plans</w:t>
            </w:r>
          </w:p>
        </w:tc>
        <w:tc>
          <w:tcPr>
            <w:tcW w:w="2060" w:type="dxa"/>
            <w:vAlign w:val="bottom"/>
          </w:tcPr>
          <w:p>
            <w:pPr>
              <w:jc w:val="center"/>
              <w:ind w:left="49"/>
              <w:spacing w:after="0" w:line="133" w:lineRule="exact"/>
              <w:rPr>
                <w:sz w:val="20"/>
                <w:szCs w:val="20"/>
                <w:color w:val="auto"/>
              </w:rPr>
            </w:pPr>
            <w:r>
              <w:rPr>
                <w:rFonts w:ascii="Arial" w:cs="Arial" w:eastAsia="Arial" w:hAnsi="Arial"/>
                <w:sz w:val="14"/>
                <w:szCs w:val="14"/>
                <w:b w:val="1"/>
                <w:bCs w:val="1"/>
                <w:color w:val="auto"/>
                <w:w w:val="99"/>
              </w:rPr>
              <w:t>Purchased Under the Plans</w:t>
            </w:r>
          </w:p>
        </w:tc>
        <w:tc>
          <w:tcPr>
            <w:tcW w:w="0" w:type="dxa"/>
            <w:vAlign w:val="bottom"/>
          </w:tcPr>
          <w:p>
            <w:pPr>
              <w:spacing w:after="0"/>
              <w:rPr>
                <w:sz w:val="1"/>
                <w:szCs w:val="1"/>
                <w:color w:val="auto"/>
              </w:rPr>
            </w:pPr>
          </w:p>
        </w:tc>
      </w:tr>
      <w:tr>
        <w:trPr>
          <w:trHeight w:val="172"/>
        </w:trPr>
        <w:tc>
          <w:tcPr>
            <w:tcW w:w="3480" w:type="dxa"/>
            <w:vAlign w:val="bottom"/>
            <w:tcBorders>
              <w:bottom w:val="single" w:sz="8" w:color="CCEEFF"/>
            </w:tcBorders>
            <w:vMerge w:val="continue"/>
          </w:tcPr>
          <w:p>
            <w:pPr>
              <w:spacing w:after="0"/>
              <w:rPr>
                <w:sz w:val="14"/>
                <w:szCs w:val="14"/>
                <w:color w:val="auto"/>
              </w:rPr>
            </w:pPr>
          </w:p>
        </w:tc>
        <w:tc>
          <w:tcPr>
            <w:tcW w:w="2340" w:type="dxa"/>
            <w:vAlign w:val="bottom"/>
            <w:tcBorders>
              <w:bottom w:val="single" w:sz="8" w:color="CCEEFF"/>
            </w:tcBorders>
          </w:tcPr>
          <w:p>
            <w:pPr>
              <w:jc w:val="center"/>
              <w:ind w:left="789"/>
              <w:spacing w:after="0"/>
              <w:rPr>
                <w:sz w:val="20"/>
                <w:szCs w:val="20"/>
                <w:color w:val="auto"/>
              </w:rPr>
            </w:pPr>
            <w:r>
              <w:rPr>
                <w:rFonts w:ascii="Arial" w:cs="Arial" w:eastAsia="Arial" w:hAnsi="Arial"/>
                <w:sz w:val="14"/>
                <w:szCs w:val="14"/>
                <w:b w:val="1"/>
                <w:bCs w:val="1"/>
                <w:color w:val="auto"/>
              </w:rPr>
              <w:t>Shares Purchased</w:t>
            </w:r>
          </w:p>
        </w:tc>
        <w:tc>
          <w:tcPr>
            <w:tcW w:w="13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b w:val="1"/>
                <w:bCs w:val="1"/>
                <w:color w:val="auto"/>
              </w:rPr>
              <w:t>paid 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2060" w:type="dxa"/>
            <w:vAlign w:val="bottom"/>
            <w:tcBorders>
              <w:bottom w:val="single" w:sz="8" w:color="CCEEFF"/>
            </w:tcBorders>
          </w:tcPr>
          <w:p>
            <w:pPr>
              <w:jc w:val="center"/>
              <w:ind w:left="29"/>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179"/>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2020</w:t>
            </w:r>
          </w:p>
        </w:tc>
        <w:tc>
          <w:tcPr>
            <w:tcW w:w="23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304,114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10.81</w:t>
            </w:r>
          </w:p>
        </w:tc>
        <w:tc>
          <w:tcPr>
            <w:tcW w:w="19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304,114</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1,340,875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jc w:val="right"/>
              <w:ind w:right="349"/>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5"/>
                <w:szCs w:val="15"/>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86"/>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57"/>
        </w:trPr>
        <w:tc>
          <w:tcPr>
            <w:tcW w:w="1080" w:type="dxa"/>
            <w:vAlign w:val="bottom"/>
          </w:tcPr>
          <w:p>
            <w:pPr>
              <w:jc w:val="right"/>
              <w:ind w:right="309"/>
              <w:spacing w:after="0" w:line="157" w:lineRule="exact"/>
              <w:rPr>
                <w:sz w:val="20"/>
                <w:szCs w:val="20"/>
                <w:color w:val="auto"/>
              </w:rPr>
            </w:pPr>
            <w:r>
              <w:rPr>
                <w:rFonts w:ascii="Arial" w:cs="Arial" w:eastAsia="Arial" w:hAnsi="Arial"/>
                <w:sz w:val="14"/>
                <w:szCs w:val="14"/>
                <w:color w:val="auto"/>
              </w:rPr>
              <w:t>31.1</w:t>
            </w:r>
          </w:p>
        </w:tc>
        <w:tc>
          <w:tcPr>
            <w:tcW w:w="340" w:type="dxa"/>
            <w:vAlign w:val="bottom"/>
          </w:tcPr>
          <w:p>
            <w:pPr>
              <w:spacing w:after="0"/>
              <w:rPr>
                <w:sz w:val="13"/>
                <w:szCs w:val="13"/>
                <w:color w:val="auto"/>
              </w:rPr>
            </w:pPr>
          </w:p>
        </w:tc>
        <w:tc>
          <w:tcPr>
            <w:tcW w:w="3840" w:type="dxa"/>
            <w:vAlign w:val="bottom"/>
            <w:tcBorders>
              <w:bottom w:val="single" w:sz="8" w:color="0000FF"/>
            </w:tcBorders>
            <w:gridSpan w:val="2"/>
          </w:tcPr>
          <w:p>
            <w:pPr>
              <w:spacing w:after="0" w:line="157" w:lineRule="exact"/>
              <w:rPr>
                <w:rFonts w:ascii="Arial" w:cs="Arial" w:eastAsia="Arial" w:hAnsi="Arial"/>
                <w:sz w:val="14"/>
                <w:szCs w:val="14"/>
                <w:color w:val="0000FF"/>
              </w:rPr>
            </w:pPr>
            <w:hyperlink w:anchor="page70">
              <w:r>
                <w:rPr>
                  <w:rFonts w:ascii="Arial" w:cs="Arial" w:eastAsia="Arial" w:hAnsi="Arial"/>
                  <w:sz w:val="14"/>
                  <w:szCs w:val="14"/>
                  <w:color w:val="0000FF"/>
                </w:rPr>
                <w:t>Rule 13a-14(a) Certification of the Principal Executive Officer.</w:t>
              </w:r>
            </w:hyperlink>
          </w:p>
        </w:tc>
        <w:tc>
          <w:tcPr>
            <w:tcW w:w="5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31.2</w:t>
            </w:r>
          </w:p>
        </w:tc>
        <w:tc>
          <w:tcPr>
            <w:tcW w:w="340" w:type="dxa"/>
            <w:vAlign w:val="bottom"/>
          </w:tcPr>
          <w:p>
            <w:pPr>
              <w:spacing w:after="0"/>
              <w:rPr>
                <w:sz w:val="14"/>
                <w:szCs w:val="14"/>
                <w:color w:val="auto"/>
              </w:rPr>
            </w:pPr>
          </w:p>
        </w:tc>
        <w:tc>
          <w:tcPr>
            <w:tcW w:w="9380" w:type="dxa"/>
            <w:vAlign w:val="bottom"/>
            <w:gridSpan w:val="3"/>
          </w:tcPr>
          <w:p>
            <w:pPr>
              <w:spacing w:after="0"/>
              <w:rPr>
                <w:rFonts w:ascii="Arial" w:cs="Arial" w:eastAsia="Arial" w:hAnsi="Arial"/>
                <w:sz w:val="14"/>
                <w:szCs w:val="14"/>
                <w:color w:val="0000FF"/>
              </w:rPr>
            </w:pPr>
            <w:hyperlink w:anchor="page72">
              <w:r>
                <w:rPr>
                  <w:rFonts w:ascii="Arial" w:cs="Arial" w:eastAsia="Arial" w:hAnsi="Arial"/>
                  <w:sz w:val="14"/>
                  <w:szCs w:val="14"/>
                  <w:color w:val="0000FF"/>
                </w:rPr>
                <w:t>Rule 13a-14(a) Certification of the Principal Financial Officer</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960" w:hanging="878"/>
        <w:spacing w:after="0"/>
        <w:tabs>
          <w:tab w:leader="none" w:pos="1960" w:val="left"/>
        </w:tabs>
        <w:numPr>
          <w:ilvl w:val="0"/>
          <w:numId w:val="16"/>
        </w:numPr>
        <w:rPr>
          <w:rFonts w:ascii="Arial" w:cs="Arial" w:eastAsia="Arial" w:hAnsi="Arial"/>
          <w:sz w:val="14"/>
          <w:szCs w:val="14"/>
          <w:u w:val="single" w:color="auto"/>
          <w:color w:val="0000FF"/>
        </w:rPr>
      </w:pPr>
      <w:hyperlink w:anchor="page74">
        <w:r>
          <w:rPr>
            <w:rFonts w:ascii="Arial" w:cs="Arial" w:eastAsia="Arial" w:hAnsi="Arial"/>
            <w:sz w:val="14"/>
            <w:szCs w:val="14"/>
            <w:u w:val="single" w:color="auto"/>
            <w:color w:val="0000FF"/>
          </w:rPr>
          <w:t>Section 1350 Certification of Chief Executive Officer and Chief Financial Officer.</w:t>
        </w:r>
      </w:hyperlink>
    </w:p>
    <w:p>
      <w:pPr>
        <w:spacing w:after="0" w:line="25" w:lineRule="exact"/>
        <w:rPr>
          <w:sz w:val="20"/>
          <w:szCs w:val="20"/>
          <w:color w:val="auto"/>
        </w:rPr>
      </w:pPr>
    </w:p>
    <w:p>
      <w:pPr>
        <w:ind w:left="1640" w:hanging="637"/>
        <w:spacing w:after="0" w:line="211" w:lineRule="auto"/>
        <w:tabs>
          <w:tab w:leader="none" w:pos="19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March 31, 2021,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7"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8" w:name="page69"/>
    <w:bookmarkEnd w:id="68"/>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-20955</wp:posOffset>
            </wp:positionV>
            <wp:extent cx="14414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Date: May 10, 2021</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 Barry</w:t>
            </w:r>
          </w:p>
        </w:tc>
      </w:tr>
      <w:tr>
        <w:trPr>
          <w:trHeight w:val="231"/>
        </w:trPr>
        <w:tc>
          <w:tcPr>
            <w:tcW w:w="2140" w:type="dxa"/>
            <w:vAlign w:val="bottom"/>
          </w:tcPr>
          <w:p>
            <w:pPr>
              <w:ind w:left="980"/>
              <w:spacing w:after="0"/>
              <w:rPr>
                <w:sz w:val="20"/>
                <w:szCs w:val="20"/>
                <w:color w:val="auto"/>
              </w:rPr>
            </w:pPr>
            <w:r>
              <w:rPr>
                <w:rFonts w:ascii="Arial" w:cs="Arial" w:eastAsia="Arial" w:hAnsi="Arial"/>
                <w:sz w:val="18"/>
                <w:szCs w:val="18"/>
                <w:color w:val="auto"/>
              </w:rPr>
              <w:t>Ed Barry</w:t>
            </w:r>
          </w:p>
        </w:tc>
        <w:tc>
          <w:tcPr>
            <w:tcW w:w="1500" w:type="dxa"/>
            <w:vAlign w:val="bottom"/>
          </w:tcPr>
          <w:p>
            <w:pPr>
              <w:spacing w:after="0"/>
              <w:rPr>
                <w:sz w:val="20"/>
                <w:szCs w:val="20"/>
                <w:color w:val="auto"/>
              </w:rPr>
            </w:pPr>
          </w:p>
        </w:tc>
      </w:tr>
    </w:tbl>
    <w:p>
      <w:pPr>
        <w:ind w:left="318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Executive Officer)</w:t>
      </w:r>
    </w:p>
    <w:p>
      <w:pPr>
        <w:spacing w:after="0" w:line="217"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7"/>
          <w:szCs w:val="17"/>
          <w:color w:val="auto"/>
        </w:rPr>
        <w:t>/s/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-20955</wp:posOffset>
            </wp:positionV>
            <wp:extent cx="12274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00" w:val="left"/>
          <w:tab w:leader="none" w:pos="2260" w:val="left"/>
        </w:tabs>
        <w:rPr>
          <w:sz w:val="20"/>
          <w:szCs w:val="20"/>
          <w:color w:val="auto"/>
        </w:rPr>
      </w:pPr>
      <w:r>
        <w:rPr>
          <w:rFonts w:ascii="Arial" w:cs="Arial" w:eastAsia="Arial" w:hAnsi="Arial"/>
          <w:sz w:val="18"/>
          <w:szCs w:val="18"/>
          <w:color w:val="auto"/>
        </w:rPr>
        <w:t>Date:</w:t>
        <w:tab/>
        <w:t>May 10,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-20955</wp:posOffset>
            </wp:positionV>
            <wp:extent cx="835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9099"/>
          </w:cols>
          <w:pgMar w:left="1360" w:top="894"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7" w:lineRule="exact"/>
        <w:rPr>
          <w:sz w:val="20"/>
          <w:szCs w:val="20"/>
          <w:color w:val="auto"/>
        </w:rPr>
      </w:pPr>
    </w:p>
    <w:p>
      <w:pPr>
        <w:ind w:left="200" w:hanging="194"/>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-20955</wp:posOffset>
            </wp:positionV>
            <wp:extent cx="11029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Alan W. Jackson</w:t>
      </w:r>
    </w:p>
    <w:p>
      <w:pPr>
        <w:sectPr>
          <w:pgSz w:w="11900" w:h="16838" w:orient="portrait"/>
          <w:cols w:equalWidth="0" w:num="1">
            <w:col w:w="11240"/>
          </w:cols>
          <w:pgMar w:left="320" w:top="872" w:right="339" w:bottom="1440" w:gutter="0" w:footer="0" w:header="0"/>
        </w:sectPr>
      </w:pPr>
    </w:p>
    <w:bookmarkStart w:id="72" w:name="page73"/>
    <w:bookmarkEnd w:id="72"/>
    <w:p>
      <w:pPr>
        <w:ind w:left="1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9019"/>
          </w:cols>
          <w:pgMar w:left="1440" w:top="894" w:right="1440" w:bottom="1440" w:gutter="0" w:footer="0" w:header="0"/>
        </w:sectPr>
      </w:pPr>
    </w:p>
    <w:bookmarkStart w:id="73" w:name="page74"/>
    <w:bookmarkEnd w:id="73"/>
    <w:p>
      <w:pPr>
        <w:ind w:right="120"/>
        <w:spacing w:after="0" w:line="276"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March 31, 2021,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8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51"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0" w:val="left"/>
          <w:tab w:leader="none" w:pos="2260" w:val="left"/>
        </w:tabs>
        <w:rPr>
          <w:sz w:val="20"/>
          <w:szCs w:val="20"/>
          <w:color w:val="auto"/>
        </w:rPr>
      </w:pPr>
      <w:r>
        <w:rPr>
          <w:rFonts w:ascii="Arial" w:cs="Arial" w:eastAsia="Arial" w:hAnsi="Arial"/>
          <w:sz w:val="18"/>
          <w:szCs w:val="18"/>
          <w:color w:val="auto"/>
        </w:rPr>
        <w:t>Date:</w:t>
        <w:tab/>
        <w:t>May 10,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-20955</wp:posOffset>
            </wp:positionV>
            <wp:extent cx="8350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-20955</wp:posOffset>
            </wp:positionV>
            <wp:extent cx="11029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10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2021-05-10T14:53:54Z</dcterms:created>
  <dcterms:modified xsi:type="dcterms:W3CDTF">2021-05-10T14:53:54Z</dcterms:modified>
</cp:coreProperties>
</file>