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296556.xml.htm"/>
      <w:bookmarkStart w:id="1" w:name="kswkform4_17902965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MCCONNELL MARC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2275 RESEARCH BLVD, SUITE 600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CBNK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50"/>
        <w:gridCol w:w="937"/>
        <w:gridCol w:w="804"/>
        <w:gridCol w:w="622"/>
        <w:gridCol w:w="347"/>
        <w:gridCol w:w="779"/>
        <w:gridCol w:w="431"/>
        <w:gridCol w:w="762"/>
        <w:gridCol w:w="1139"/>
        <w:gridCol w:w="986"/>
        <w:gridCol w:w="134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5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4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5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4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646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16.09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19,172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375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30.51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19,547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156,926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McConnell Legacy Investments, LLC</w:t>
            </w:r>
          </w:p>
        </w:tc>
      </w:tr>
      <w:tr>
        <w:trPr/>
        <w:tc>
          <w:tcPr>
            <w:tcW w:w="20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3,345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Marc H McConnell IRA</w:t>
            </w:r>
          </w:p>
        </w:tc>
      </w:tr>
      <w:tr>
        <w:trPr/>
        <w:tc>
          <w:tcPr>
            <w:tcW w:w="20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44,823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Marc H McConnell Revocable Trust</w:t>
            </w:r>
          </w:p>
        </w:tc>
      </w:tr>
      <w:tr>
        <w:trPr/>
        <w:tc>
          <w:tcPr>
            <w:tcW w:w="20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son</w:t>
            </w:r>
          </w:p>
        </w:tc>
      </w:tr>
      <w:tr>
        <w:trPr/>
        <w:tc>
          <w:tcPr>
            <w:tcW w:w="205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daughter</w:t>
            </w:r>
          </w:p>
        </w:tc>
      </w:tr>
    </w:tbl>
    <w:tbl>
      <w:tblPr>
        <w:tblW w:w="1188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8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16.09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09/20/2033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30.51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1,125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17.95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01/24/2034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1,614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29.41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Received in the Merger in exchange for an employee stock option to acquire 2,000 shares of IFHI common stock for $26.00 per share. The stock options vest 40% on October 1, 2024 and 20% on each of September 21, 2025, September 21, 2026 and September 21,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Options vest in four equal annual installments beginning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Received in the Merger in exchange for an employee stock option to acquire 2,500 shares of IFHI common stock for $29.00 per share. The stock options vest 20% on October 1, 2024 and 20% on each of January 25, 2025, January 25, 2026, January 25, 2027 and January 25,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Restricted Stock Unit represents the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Restricted Stock Units will vest on 3/2/2027.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Marc H. McConnell, by Gerrie Lenn Boonstra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7238" TargetMode="External"/><Relationship Id="rId5" Type="http://schemas.openxmlformats.org/officeDocument/2006/relationships/hyperlink" Target="http://www.sec.gov/cgi-bin/browse-edgar?action=getcompany&amp;CIK=0001419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821</Words>
  <Characters>4257</Characters>
  <CharactersWithSpaces>4931</CharactersWithSpaces>
  <Paragraphs>175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