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UNITED STATES</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SECURITIES AND EXCHANGE COMMISSION</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12"/>
          <w:szCs w:val="12"/>
          <w:color w:val="auto"/>
        </w:rPr>
        <w:t>Washington, D.C. 20549</w:t>
      </w:r>
    </w:p>
    <w:p>
      <w:pPr>
        <w:spacing w:after="0" w:line="108"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FORM 10-K</w:t>
      </w:r>
    </w:p>
    <w:p>
      <w:pPr>
        <w:spacing w:after="0" w:line="206" w:lineRule="exact"/>
        <w:rPr>
          <w:sz w:val="24"/>
          <w:szCs w:val="24"/>
          <w:color w:val="auto"/>
        </w:rPr>
      </w:pPr>
    </w:p>
    <w:p>
      <w:pPr>
        <w:ind w:left="180" w:hanging="170"/>
        <w:spacing w:after="0"/>
        <w:tabs>
          <w:tab w:leader="none" w:pos="1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ANNUAL REPORT PURSUANT TO SECTION 13 OR 15(d) OF THE SECURITIES EXCHANGE ACT OF 1934</w:t>
      </w:r>
    </w:p>
    <w:p>
      <w:pPr>
        <w:spacing w:after="0" w:line="184" w:lineRule="exact"/>
        <w:rPr>
          <w:sz w:val="24"/>
          <w:szCs w:val="24"/>
          <w:color w:val="auto"/>
        </w:rPr>
      </w:pPr>
    </w:p>
    <w:p>
      <w:pPr>
        <w:jc w:val="center"/>
        <w:ind w:right="80"/>
        <w:spacing w:after="0"/>
        <w:rPr>
          <w:sz w:val="20"/>
          <w:szCs w:val="20"/>
          <w:color w:val="auto"/>
        </w:rPr>
      </w:pPr>
      <w:r>
        <w:rPr>
          <w:rFonts w:ascii="Arial" w:cs="Arial" w:eastAsia="Arial" w:hAnsi="Arial"/>
          <w:sz w:val="15"/>
          <w:szCs w:val="15"/>
          <w:color w:val="auto"/>
        </w:rPr>
        <w:t>For the fiscal year ended December 31, 2021</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2"/>
          <w:szCs w:val="12"/>
          <w:color w:val="auto"/>
        </w:rPr>
        <w:t>OR</w:t>
      </w:r>
    </w:p>
    <w:p>
      <w:pPr>
        <w:spacing w:after="0" w:line="3"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PURSUANT TO SECTION 13 OR 15 (D) OF THE SECURITIES EXCHANGE ACT OF 1934</w:t>
      </w:r>
    </w:p>
    <w:p>
      <w:pPr>
        <w:spacing w:after="0" w:line="184" w:lineRule="exact"/>
        <w:rPr>
          <w:sz w:val="24"/>
          <w:szCs w:val="24"/>
          <w:color w:val="auto"/>
        </w:rPr>
      </w:pPr>
    </w:p>
    <w:tbl>
      <w:tblPr>
        <w:tblLayout w:type="fixed"/>
        <w:tblInd w:w="20" w:type="dxa"/>
        <w:tblCellMar>
          <w:top w:w="0" w:type="dxa"/>
          <w:left w:w="0" w:type="dxa"/>
          <w:bottom w:w="0" w:type="dxa"/>
          <w:right w:w="0" w:type="dxa"/>
        </w:tblCellMar>
      </w:tblPr>
      <w:tr>
        <w:trPr>
          <w:trHeight w:val="179"/>
        </w:trPr>
        <w:tc>
          <w:tcPr>
            <w:tcW w:w="2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8"/>
          </w:tcPr>
          <w:p>
            <w:pPr>
              <w:jc w:val="center"/>
              <w:ind w:right="360"/>
              <w:spacing w:after="0"/>
              <w:rPr>
                <w:sz w:val="20"/>
                <w:szCs w:val="20"/>
                <w:color w:val="auto"/>
              </w:rPr>
            </w:pPr>
            <w:r>
              <w:rPr>
                <w:rFonts w:ascii="Arial" w:cs="Arial" w:eastAsia="Arial" w:hAnsi="Arial"/>
                <w:sz w:val="15"/>
                <w:szCs w:val="15"/>
                <w:color w:val="auto"/>
                <w:w w:val="99"/>
              </w:rPr>
              <w:t>For the Transition Period from to</w:t>
            </w: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740" w:type="dxa"/>
            <w:vAlign w:val="bottom"/>
            <w:gridSpan w:val="8"/>
          </w:tcPr>
          <w:p>
            <w:pPr>
              <w:jc w:val="center"/>
              <w:ind w:right="380"/>
              <w:spacing w:after="0"/>
              <w:rPr>
                <w:sz w:val="20"/>
                <w:szCs w:val="20"/>
                <w:color w:val="auto"/>
              </w:rPr>
            </w:pPr>
            <w:r>
              <w:rPr>
                <w:rFonts w:ascii="Arial" w:cs="Arial" w:eastAsia="Arial" w:hAnsi="Arial"/>
                <w:sz w:val="15"/>
                <w:szCs w:val="15"/>
                <w:color w:val="auto"/>
                <w:w w:val="99"/>
              </w:rPr>
              <w:t>Commission file number 001-38671</w:t>
            </w:r>
          </w:p>
        </w:tc>
        <w:tc>
          <w:tcPr>
            <w:tcW w:w="4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2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7"/>
          </w:tcPr>
          <w:p>
            <w:pPr>
              <w:jc w:val="center"/>
              <w:ind w:right="660"/>
              <w:spacing w:after="0"/>
              <w:rPr>
                <w:sz w:val="20"/>
                <w:szCs w:val="20"/>
                <w:color w:val="auto"/>
              </w:rPr>
            </w:pPr>
            <w:r>
              <w:rPr>
                <w:rFonts w:ascii="Arial" w:cs="Arial" w:eastAsia="Arial" w:hAnsi="Arial"/>
                <w:sz w:val="15"/>
                <w:szCs w:val="15"/>
                <w:b w:val="1"/>
                <w:bCs w:val="1"/>
                <w:color w:val="auto"/>
                <w:w w:val="98"/>
              </w:rPr>
              <w:t>CAPITAL BANCORP, INC.</w:t>
            </w: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740" w:type="dxa"/>
            <w:vAlign w:val="bottom"/>
            <w:gridSpan w:val="8"/>
          </w:tcPr>
          <w:p>
            <w:pPr>
              <w:jc w:val="center"/>
              <w:ind w:right="380"/>
              <w:spacing w:after="0"/>
              <w:rPr>
                <w:sz w:val="20"/>
                <w:szCs w:val="20"/>
                <w:color w:val="auto"/>
              </w:rPr>
            </w:pPr>
            <w:r>
              <w:rPr>
                <w:rFonts w:ascii="Arial" w:cs="Arial" w:eastAsia="Arial" w:hAnsi="Arial"/>
                <w:sz w:val="9"/>
                <w:szCs w:val="9"/>
                <w:color w:val="auto"/>
                <w:w w:val="99"/>
              </w:rPr>
              <w:t>(Exact name of registrant as specified in its charter)</w:t>
            </w:r>
          </w:p>
        </w:tc>
        <w:tc>
          <w:tcPr>
            <w:tcW w:w="4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8"/>
        </w:trPr>
        <w:tc>
          <w:tcPr>
            <w:tcW w:w="260" w:type="dxa"/>
            <w:vAlign w:val="bottom"/>
          </w:tcPr>
          <w:p>
            <w:pPr>
              <w:spacing w:after="0"/>
              <w:rPr>
                <w:sz w:val="24"/>
                <w:szCs w:val="24"/>
                <w:color w:val="auto"/>
              </w:rPr>
            </w:pPr>
          </w:p>
        </w:tc>
        <w:tc>
          <w:tcPr>
            <w:tcW w:w="4180" w:type="dxa"/>
            <w:vAlign w:val="bottom"/>
            <w:tcBorders>
              <w:bottom w:val="single" w:sz="8" w:color="auto"/>
            </w:tcBorders>
            <w:gridSpan w:val="2"/>
          </w:tcPr>
          <w:p>
            <w:pPr>
              <w:jc w:val="center"/>
              <w:ind w:left="1497"/>
              <w:spacing w:after="0"/>
              <w:rPr>
                <w:sz w:val="20"/>
                <w:szCs w:val="20"/>
                <w:color w:val="auto"/>
              </w:rPr>
            </w:pPr>
            <w:r>
              <w:rPr>
                <w:rFonts w:ascii="Arial" w:cs="Arial" w:eastAsia="Arial" w:hAnsi="Arial"/>
                <w:sz w:val="15"/>
                <w:szCs w:val="15"/>
                <w:b w:val="1"/>
                <w:bCs w:val="1"/>
                <w:color w:val="auto"/>
              </w:rPr>
              <w:t>Maryland</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right"/>
              <w:ind w:right="1777"/>
              <w:spacing w:after="0"/>
              <w:rPr>
                <w:sz w:val="20"/>
                <w:szCs w:val="20"/>
                <w:color w:val="auto"/>
              </w:rPr>
            </w:pPr>
            <w:r>
              <w:rPr>
                <w:rFonts w:ascii="Arial" w:cs="Arial" w:eastAsia="Arial" w:hAnsi="Arial"/>
                <w:sz w:val="15"/>
                <w:szCs w:val="15"/>
                <w:b w:val="1"/>
                <w:bCs w:val="1"/>
                <w:color w:val="auto"/>
              </w:rPr>
              <w:t>52-2083046</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60" w:type="dxa"/>
            <w:vAlign w:val="bottom"/>
          </w:tcPr>
          <w:p>
            <w:pPr>
              <w:spacing w:after="0"/>
              <w:rPr>
                <w:sz w:val="9"/>
                <w:szCs w:val="9"/>
                <w:color w:val="auto"/>
              </w:rPr>
            </w:pPr>
          </w:p>
        </w:tc>
        <w:tc>
          <w:tcPr>
            <w:tcW w:w="4180" w:type="dxa"/>
            <w:vAlign w:val="bottom"/>
            <w:gridSpan w:val="2"/>
          </w:tcPr>
          <w:p>
            <w:pPr>
              <w:jc w:val="center"/>
              <w:ind w:left="1497"/>
              <w:spacing w:after="0"/>
              <w:rPr>
                <w:sz w:val="20"/>
                <w:szCs w:val="20"/>
                <w:color w:val="auto"/>
              </w:rPr>
            </w:pPr>
            <w:r>
              <w:rPr>
                <w:rFonts w:ascii="Arial" w:cs="Arial" w:eastAsia="Arial" w:hAnsi="Arial"/>
                <w:sz w:val="9"/>
                <w:szCs w:val="9"/>
                <w:color w:val="auto"/>
                <w:w w:val="99"/>
              </w:rPr>
              <w:t>(State or other jurisdiction of incorporation or organization)</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160" w:type="dxa"/>
            <w:vAlign w:val="bottom"/>
            <w:gridSpan w:val="2"/>
          </w:tcPr>
          <w:p>
            <w:pPr>
              <w:jc w:val="center"/>
              <w:ind w:right="540"/>
              <w:spacing w:after="0"/>
              <w:rPr>
                <w:sz w:val="20"/>
                <w:szCs w:val="20"/>
                <w:color w:val="auto"/>
              </w:rPr>
            </w:pPr>
            <w:r>
              <w:rPr>
                <w:rFonts w:ascii="Arial" w:cs="Arial" w:eastAsia="Arial" w:hAnsi="Arial"/>
                <w:sz w:val="9"/>
                <w:szCs w:val="9"/>
                <w:color w:val="auto"/>
                <w:w w:val="99"/>
              </w:rPr>
              <w:t>(IRS Employer Identification No.)</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180" w:type="dxa"/>
            <w:vAlign w:val="bottom"/>
            <w:gridSpan w:val="2"/>
          </w:tcPr>
          <w:p>
            <w:pPr>
              <w:jc w:val="center"/>
              <w:ind w:left="1497"/>
              <w:spacing w:after="0"/>
              <w:rPr>
                <w:sz w:val="20"/>
                <w:szCs w:val="20"/>
                <w:color w:val="auto"/>
              </w:rPr>
            </w:pPr>
            <w:r>
              <w:rPr>
                <w:rFonts w:ascii="Arial" w:cs="Arial" w:eastAsia="Arial" w:hAnsi="Arial"/>
                <w:sz w:val="13"/>
                <w:szCs w:val="13"/>
                <w:b w:val="1"/>
                <w:bCs w:val="1"/>
                <w:color w:val="auto"/>
              </w:rPr>
              <w:t>2275 Research Boulevard, Suite 600,</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60" w:type="dxa"/>
            <w:vAlign w:val="bottom"/>
            <w:vMerge w:val="restart"/>
          </w:tcPr>
          <w:p>
            <w:pPr>
              <w:jc w:val="right"/>
              <w:ind w:right="1997"/>
              <w:spacing w:after="0"/>
              <w:rPr>
                <w:sz w:val="20"/>
                <w:szCs w:val="20"/>
                <w:color w:val="auto"/>
              </w:rPr>
            </w:pPr>
            <w:r>
              <w:rPr>
                <w:rFonts w:ascii="Arial" w:cs="Arial" w:eastAsia="Arial" w:hAnsi="Arial"/>
                <w:sz w:val="13"/>
                <w:szCs w:val="13"/>
                <w:b w:val="1"/>
                <w:bCs w:val="1"/>
                <w:color w:val="auto"/>
              </w:rPr>
              <w:t>20850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4180" w:type="dxa"/>
            <w:vAlign w:val="bottom"/>
            <w:tcBorders>
              <w:bottom w:val="single" w:sz="8" w:color="auto"/>
            </w:tcBorders>
            <w:gridSpan w:val="2"/>
          </w:tcPr>
          <w:p>
            <w:pPr>
              <w:jc w:val="center"/>
              <w:ind w:left="1497"/>
              <w:spacing w:after="0"/>
              <w:rPr>
                <w:sz w:val="20"/>
                <w:szCs w:val="20"/>
                <w:color w:val="auto"/>
              </w:rPr>
            </w:pPr>
            <w:r>
              <w:rPr>
                <w:rFonts w:ascii="Arial" w:cs="Arial" w:eastAsia="Arial" w:hAnsi="Arial"/>
                <w:sz w:val="13"/>
                <w:szCs w:val="13"/>
                <w:b w:val="1"/>
                <w:bCs w:val="1"/>
                <w:color w:val="auto"/>
              </w:rPr>
              <w:t>Rockville, Maryland 20850</w:t>
            </w: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60" w:type="dxa"/>
            <w:vAlign w:val="bottom"/>
          </w:tcPr>
          <w:p>
            <w:pPr>
              <w:spacing w:after="0"/>
              <w:rPr>
                <w:sz w:val="9"/>
                <w:szCs w:val="9"/>
                <w:color w:val="auto"/>
              </w:rPr>
            </w:pPr>
          </w:p>
        </w:tc>
        <w:tc>
          <w:tcPr>
            <w:tcW w:w="4180" w:type="dxa"/>
            <w:vAlign w:val="bottom"/>
            <w:gridSpan w:val="2"/>
          </w:tcPr>
          <w:p>
            <w:pPr>
              <w:jc w:val="center"/>
              <w:ind w:left="1497"/>
              <w:spacing w:after="0"/>
              <w:rPr>
                <w:sz w:val="20"/>
                <w:szCs w:val="20"/>
                <w:color w:val="auto"/>
              </w:rPr>
            </w:pPr>
            <w:r>
              <w:rPr>
                <w:rFonts w:ascii="Arial" w:cs="Arial" w:eastAsia="Arial" w:hAnsi="Arial"/>
                <w:sz w:val="9"/>
                <w:szCs w:val="9"/>
                <w:color w:val="auto"/>
                <w:w w:val="99"/>
              </w:rPr>
              <w:t>(Address of principal executive offices)</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160" w:type="dxa"/>
            <w:vAlign w:val="bottom"/>
            <w:gridSpan w:val="2"/>
          </w:tcPr>
          <w:p>
            <w:pPr>
              <w:jc w:val="center"/>
              <w:ind w:right="540"/>
              <w:spacing w:after="0"/>
              <w:rPr>
                <w:sz w:val="20"/>
                <w:szCs w:val="20"/>
                <w:color w:val="auto"/>
              </w:rPr>
            </w:pPr>
            <w:r>
              <w:rPr>
                <w:rFonts w:ascii="Arial" w:cs="Arial" w:eastAsia="Arial" w:hAnsi="Arial"/>
                <w:sz w:val="9"/>
                <w:szCs w:val="9"/>
                <w:color w:val="auto"/>
                <w:w w:val="98"/>
              </w:rPr>
              <w:t>(Zip Code)</w:t>
            </w:r>
          </w:p>
        </w:tc>
        <w:tc>
          <w:tcPr>
            <w:tcW w:w="0" w:type="dxa"/>
            <w:vAlign w:val="bottom"/>
          </w:tcPr>
          <w:p>
            <w:pPr>
              <w:spacing w:after="0"/>
              <w:rPr>
                <w:sz w:val="1"/>
                <w:szCs w:val="1"/>
                <w:color w:val="auto"/>
              </w:rPr>
            </w:pPr>
          </w:p>
        </w:tc>
      </w:tr>
      <w:tr>
        <w:trPr>
          <w:trHeight w:val="478"/>
        </w:trPr>
        <w:tc>
          <w:tcPr>
            <w:tcW w:w="2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4"/>
          </w:tcPr>
          <w:p>
            <w:pPr>
              <w:jc w:val="center"/>
              <w:ind w:left="720"/>
              <w:spacing w:after="0"/>
              <w:rPr>
                <w:sz w:val="20"/>
                <w:szCs w:val="20"/>
                <w:color w:val="auto"/>
              </w:rPr>
            </w:pPr>
            <w:r>
              <w:rPr>
                <w:rFonts w:ascii="Arial" w:cs="Arial" w:eastAsia="Arial" w:hAnsi="Arial"/>
                <w:sz w:val="12"/>
                <w:szCs w:val="12"/>
                <w:b w:val="1"/>
                <w:bCs w:val="1"/>
                <w:color w:val="auto"/>
                <w:w w:val="99"/>
              </w:rPr>
              <w:t>(301) 468-8848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gridSpan w:val="8"/>
          </w:tcPr>
          <w:p>
            <w:pPr>
              <w:jc w:val="center"/>
              <w:ind w:right="380"/>
              <w:spacing w:after="0" w:line="98" w:lineRule="exact"/>
              <w:rPr>
                <w:sz w:val="20"/>
                <w:szCs w:val="20"/>
                <w:color w:val="auto"/>
              </w:rPr>
            </w:pPr>
            <w:r>
              <w:rPr>
                <w:rFonts w:ascii="Arial" w:cs="Arial" w:eastAsia="Arial" w:hAnsi="Arial"/>
                <w:sz w:val="9"/>
                <w:szCs w:val="9"/>
                <w:color w:val="auto"/>
                <w:w w:val="99"/>
              </w:rPr>
              <w:t>Registrant’s telephone number, including area code</w:t>
            </w: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60" w:type="dxa"/>
            <w:vAlign w:val="bottom"/>
          </w:tcPr>
          <w:p>
            <w:pPr>
              <w:spacing w:after="0"/>
              <w:rPr>
                <w:sz w:val="24"/>
                <w:szCs w:val="24"/>
                <w:color w:val="auto"/>
              </w:rPr>
            </w:pPr>
          </w:p>
        </w:tc>
        <w:tc>
          <w:tcPr>
            <w:tcW w:w="6920" w:type="dxa"/>
            <w:vAlign w:val="bottom"/>
            <w:gridSpan w:val="10"/>
          </w:tcPr>
          <w:p>
            <w:pPr>
              <w:jc w:val="center"/>
              <w:ind w:left="3737"/>
              <w:spacing w:after="0"/>
              <w:rPr>
                <w:sz w:val="20"/>
                <w:szCs w:val="20"/>
                <w:color w:val="auto"/>
              </w:rPr>
            </w:pPr>
            <w:r>
              <w:rPr>
                <w:rFonts w:ascii="Arial" w:cs="Arial" w:eastAsia="Arial" w:hAnsi="Arial"/>
                <w:sz w:val="12"/>
                <w:szCs w:val="12"/>
                <w:color w:val="auto"/>
                <w:w w:val="99"/>
              </w:rPr>
              <w:t>Securities registered pursuant to Section 12(b) of the Act:</w:t>
            </w: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6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tcPr>
          <w:p>
            <w:pPr>
              <w:jc w:val="center"/>
              <w:ind w:right="177"/>
              <w:spacing w:after="0"/>
              <w:rPr>
                <w:sz w:val="20"/>
                <w:szCs w:val="20"/>
                <w:color w:val="auto"/>
              </w:rPr>
            </w:pPr>
            <w:r>
              <w:rPr>
                <w:rFonts w:ascii="Arial" w:cs="Arial" w:eastAsia="Arial" w:hAnsi="Arial"/>
                <w:sz w:val="15"/>
                <w:szCs w:val="15"/>
                <w:b w:val="1"/>
                <w:bCs w:val="1"/>
                <w:color w:val="auto"/>
                <w:w w:val="98"/>
              </w:rPr>
              <w:t>Title of Each Class</w:t>
            </w:r>
          </w:p>
        </w:tc>
        <w:tc>
          <w:tcPr>
            <w:tcW w:w="2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5"/>
                <w:szCs w:val="15"/>
                <w:b w:val="1"/>
                <w:bCs w:val="1"/>
                <w:color w:val="auto"/>
                <w:w w:val="98"/>
              </w:rPr>
              <w:t>Trading Symbol</w:t>
            </w:r>
          </w:p>
        </w:tc>
        <w:tc>
          <w:tcPr>
            <w:tcW w:w="28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right="617"/>
              <w:spacing w:after="0"/>
              <w:rPr>
                <w:sz w:val="20"/>
                <w:szCs w:val="20"/>
                <w:color w:val="auto"/>
              </w:rPr>
            </w:pPr>
            <w:r>
              <w:rPr>
                <w:rFonts w:ascii="Arial" w:cs="Arial" w:eastAsia="Arial" w:hAnsi="Arial"/>
                <w:sz w:val="15"/>
                <w:szCs w:val="15"/>
                <w:b w:val="1"/>
                <w:bCs w:val="1"/>
                <w:color w:val="auto"/>
                <w:w w:val="99"/>
              </w:rPr>
              <w:t>Name of Each Exchange on Which Registered</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180" w:type="dxa"/>
            <w:vAlign w:val="bottom"/>
            <w:gridSpan w:val="2"/>
          </w:tcPr>
          <w:p>
            <w:pPr>
              <w:jc w:val="center"/>
              <w:ind w:right="500"/>
              <w:spacing w:after="0"/>
              <w:rPr>
                <w:sz w:val="20"/>
                <w:szCs w:val="20"/>
                <w:color w:val="auto"/>
              </w:rPr>
            </w:pPr>
            <w:r>
              <w:rPr>
                <w:rFonts w:ascii="Arial" w:cs="Arial" w:eastAsia="Arial" w:hAnsi="Arial"/>
                <w:sz w:val="15"/>
                <w:szCs w:val="15"/>
                <w:color w:val="auto"/>
                <w:w w:val="99"/>
              </w:rPr>
              <w:t>Common Stock, par value $0.01 per share</w:t>
            </w:r>
          </w:p>
        </w:tc>
        <w:tc>
          <w:tcPr>
            <w:tcW w:w="280" w:type="dxa"/>
            <w:vAlign w:val="bottom"/>
          </w:tcPr>
          <w:p>
            <w:pPr>
              <w:spacing w:after="0"/>
              <w:rPr>
                <w:sz w:val="15"/>
                <w:szCs w:val="15"/>
                <w:color w:val="auto"/>
              </w:rPr>
            </w:pPr>
          </w:p>
        </w:tc>
        <w:tc>
          <w:tcPr>
            <w:tcW w:w="2460" w:type="dxa"/>
            <w:vAlign w:val="bottom"/>
            <w:gridSpan w:val="7"/>
          </w:tcPr>
          <w:p>
            <w:pPr>
              <w:jc w:val="center"/>
              <w:ind w:right="1220"/>
              <w:spacing w:after="0"/>
              <w:rPr>
                <w:sz w:val="20"/>
                <w:szCs w:val="20"/>
                <w:color w:val="auto"/>
              </w:rPr>
            </w:pPr>
            <w:r>
              <w:rPr>
                <w:rFonts w:ascii="Arial" w:cs="Arial" w:eastAsia="Arial" w:hAnsi="Arial"/>
                <w:sz w:val="15"/>
                <w:szCs w:val="15"/>
                <w:color w:val="auto"/>
                <w:w w:val="95"/>
              </w:rPr>
              <w:t>CBNK</w:t>
            </w:r>
          </w:p>
        </w:tc>
        <w:tc>
          <w:tcPr>
            <w:tcW w:w="4160" w:type="dxa"/>
            <w:vAlign w:val="bottom"/>
            <w:gridSpan w:val="2"/>
          </w:tcPr>
          <w:p>
            <w:pPr>
              <w:jc w:val="center"/>
              <w:ind w:right="780"/>
              <w:spacing w:after="0"/>
              <w:rPr>
                <w:sz w:val="20"/>
                <w:szCs w:val="20"/>
                <w:color w:val="auto"/>
              </w:rPr>
            </w:pPr>
            <w:r>
              <w:rPr>
                <w:rFonts w:ascii="Arial" w:cs="Arial" w:eastAsia="Arial" w:hAnsi="Arial"/>
                <w:sz w:val="15"/>
                <w:szCs w:val="15"/>
                <w:color w:val="auto"/>
                <w:w w:val="98"/>
              </w:rPr>
              <w:t>The NASDAQ Stock Market, LLC</w:t>
            </w:r>
          </w:p>
        </w:tc>
        <w:tc>
          <w:tcPr>
            <w:tcW w:w="0" w:type="dxa"/>
            <w:vAlign w:val="bottom"/>
          </w:tcPr>
          <w:p>
            <w:pPr>
              <w:spacing w:after="0"/>
              <w:rPr>
                <w:sz w:val="1"/>
                <w:szCs w:val="1"/>
                <w:color w:val="auto"/>
              </w:rPr>
            </w:pPr>
          </w:p>
        </w:tc>
      </w:tr>
    </w:tbl>
    <w:p>
      <w:pPr>
        <w:spacing w:after="0" w:line="270" w:lineRule="exact"/>
        <w:rPr>
          <w:sz w:val="24"/>
          <w:szCs w:val="24"/>
          <w:color w:val="auto"/>
        </w:rPr>
      </w:pPr>
    </w:p>
    <w:p>
      <w:pPr>
        <w:jc w:val="center"/>
        <w:ind w:right="80"/>
        <w:spacing w:after="0"/>
        <w:rPr>
          <w:sz w:val="20"/>
          <w:szCs w:val="20"/>
          <w:color w:val="auto"/>
        </w:rPr>
      </w:pPr>
      <w:r>
        <w:rPr>
          <w:rFonts w:ascii="Arial" w:cs="Arial" w:eastAsia="Arial" w:hAnsi="Arial"/>
          <w:sz w:val="12"/>
          <w:szCs w:val="12"/>
          <w:color w:val="auto"/>
        </w:rPr>
        <w:t xml:space="preserve">Securities registered pursuant to Section 12(g) of the Act: </w:t>
      </w:r>
      <w:r>
        <w:rPr>
          <w:rFonts w:ascii="Arial" w:cs="Arial" w:eastAsia="Arial" w:hAnsi="Arial"/>
          <w:sz w:val="12"/>
          <w:szCs w:val="12"/>
          <w:b w:val="1"/>
          <w:bCs w:val="1"/>
          <w:color w:val="auto"/>
        </w:rPr>
        <w:t>None</w:t>
      </w:r>
      <w:r>
        <w:rPr>
          <w:rFonts w:ascii="Arial" w:cs="Arial" w:eastAsia="Arial" w:hAnsi="Arial"/>
          <w:sz w:val="12"/>
          <w:szCs w:val="12"/>
          <w:color w:val="auto"/>
        </w:rPr>
        <w:t>.</w:t>
      </w:r>
    </w:p>
    <w:p>
      <w:pPr>
        <w:spacing w:after="0" w:line="200" w:lineRule="exact"/>
        <w:rPr>
          <w:sz w:val="24"/>
          <w:szCs w:val="24"/>
          <w:color w:val="auto"/>
        </w:rPr>
      </w:pPr>
    </w:p>
    <w:p>
      <w:pPr>
        <w:spacing w:after="0" w:line="254" w:lineRule="exact"/>
        <w:rPr>
          <w:sz w:val="24"/>
          <w:szCs w:val="24"/>
          <w:color w:val="auto"/>
        </w:rPr>
      </w:pPr>
    </w:p>
    <w:p>
      <w:pPr>
        <w:ind w:right="3560"/>
        <w:spacing w:after="0" w:line="21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0" w:lineRule="exact"/>
        <w:rPr>
          <w:sz w:val="24"/>
          <w:szCs w:val="24"/>
          <w:color w:val="auto"/>
        </w:rPr>
      </w:pPr>
    </w:p>
    <w:p>
      <w:pPr>
        <w:ind w:right="40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330" w:lineRule="exact"/>
        <w:rPr>
          <w:sz w:val="24"/>
          <w:szCs w:val="24"/>
          <w:color w:val="auto"/>
        </w:rPr>
      </w:pPr>
    </w:p>
    <w:p>
      <w:pPr>
        <w:ind w:right="8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1" w:lineRule="exact"/>
        <w:rPr>
          <w:sz w:val="24"/>
          <w:szCs w:val="24"/>
          <w:color w:val="auto"/>
        </w:rPr>
      </w:pPr>
    </w:p>
    <w:p>
      <w:pPr>
        <w:ind w:right="420"/>
        <w:spacing w:after="0" w:line="27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760730</wp:posOffset>
            </wp:positionV>
            <wp:extent cx="7181215"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440" w:right="239" w:bottom="1440" w:gutter="0" w:footer="0" w:header="0"/>
        </w:sectPr>
      </w:pPr>
    </w:p>
    <w:bookmarkStart w:id="1" w:name="page2"/>
    <w:bookmarkEnd w:id="1"/>
    <w:tbl>
      <w:tblPr>
        <w:tblLayout w:type="fixed"/>
        <w:tblInd w:w="1000" w:type="dxa"/>
        <w:tblCellMar>
          <w:top w:w="0" w:type="dxa"/>
          <w:left w:w="0" w:type="dxa"/>
          <w:bottom w:w="0" w:type="dxa"/>
          <w:right w:w="0" w:type="dxa"/>
        </w:tblCellMar>
      </w:tblPr>
      <w:tr>
        <w:trPr>
          <w:trHeight w:val="174"/>
        </w:trPr>
        <w:tc>
          <w:tcPr>
            <w:tcW w:w="15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64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spacing w:after="0"/>
              <w:rPr>
                <w:sz w:val="15"/>
                <w:szCs w:val="15"/>
                <w:color w:val="auto"/>
              </w:rPr>
            </w:pPr>
          </w:p>
        </w:tc>
        <w:tc>
          <w:tcPr>
            <w:tcW w:w="2760" w:type="dxa"/>
            <w:vAlign w:val="bottom"/>
          </w:tcPr>
          <w:p>
            <w:pPr>
              <w:ind w:left="780"/>
              <w:spacing w:after="0"/>
              <w:rPr>
                <w:sz w:val="20"/>
                <w:szCs w:val="20"/>
                <w:color w:val="auto"/>
              </w:rPr>
            </w:pPr>
            <w:r>
              <w:rPr>
                <w:rFonts w:ascii="Arial" w:cs="Arial" w:eastAsia="Arial" w:hAnsi="Arial"/>
                <w:sz w:val="12"/>
                <w:szCs w:val="12"/>
                <w:color w:val="auto"/>
              </w:rPr>
              <w:t>Accelerated filer</w:t>
            </w:r>
          </w:p>
        </w:tc>
        <w:tc>
          <w:tcPr>
            <w:tcW w:w="70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90"/>
        </w:trPr>
        <w:tc>
          <w:tcPr>
            <w:tcW w:w="1580" w:type="dxa"/>
            <w:vAlign w:val="bottom"/>
          </w:tcPr>
          <w:p>
            <w:pPr>
              <w:spacing w:after="0"/>
              <w:rPr>
                <w:sz w:val="20"/>
                <w:szCs w:val="20"/>
                <w:color w:val="auto"/>
              </w:rPr>
            </w:pPr>
            <w:r>
              <w:rPr>
                <w:rFonts w:ascii="Arial" w:cs="Arial" w:eastAsia="Arial" w:hAnsi="Arial"/>
                <w:sz w:val="12"/>
                <w:szCs w:val="12"/>
                <w:color w:val="auto"/>
              </w:rPr>
              <w:t>Non-accelerated filer</w:t>
            </w:r>
          </w:p>
        </w:tc>
        <w:tc>
          <w:tcPr>
            <w:tcW w:w="64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ind w:left="120"/>
              <w:spacing w:after="0"/>
              <w:rPr>
                <w:sz w:val="20"/>
                <w:szCs w:val="20"/>
                <w:color w:val="auto"/>
              </w:rPr>
            </w:pPr>
            <w:r>
              <w:rPr>
                <w:rFonts w:ascii="Arial" w:cs="Arial" w:eastAsia="Arial" w:hAnsi="Arial"/>
                <w:sz w:val="12"/>
                <w:szCs w:val="12"/>
                <w:color w:val="auto"/>
              </w:rPr>
              <w:t>(Do not check if a smaller reporting company)</w:t>
            </w:r>
          </w:p>
        </w:tc>
        <w:tc>
          <w:tcPr>
            <w:tcW w:w="2760" w:type="dxa"/>
            <w:vAlign w:val="bottom"/>
          </w:tcPr>
          <w:p>
            <w:pPr>
              <w:ind w:left="780"/>
              <w:spacing w:after="0"/>
              <w:rPr>
                <w:sz w:val="20"/>
                <w:szCs w:val="20"/>
                <w:color w:val="auto"/>
              </w:rPr>
            </w:pPr>
            <w:r>
              <w:rPr>
                <w:rFonts w:ascii="Arial" w:cs="Arial" w:eastAsia="Arial" w:hAnsi="Arial"/>
                <w:sz w:val="12"/>
                <w:szCs w:val="12"/>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1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760" w:type="dxa"/>
            <w:vAlign w:val="bottom"/>
          </w:tcPr>
          <w:p>
            <w:pPr>
              <w:ind w:left="780"/>
              <w:spacing w:after="0"/>
              <w:rPr>
                <w:sz w:val="20"/>
                <w:szCs w:val="20"/>
                <w:color w:val="auto"/>
              </w:rPr>
            </w:pPr>
            <w:r>
              <w:rPr>
                <w:rFonts w:ascii="Arial" w:cs="Arial" w:eastAsia="Arial" w:hAnsi="Arial"/>
                <w:sz w:val="12"/>
                <w:szCs w:val="12"/>
                <w:color w:val="auto"/>
              </w:rPr>
              <w:t>Emerging growth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44" w:lineRule="exact"/>
        <w:rPr>
          <w:sz w:val="20"/>
          <w:szCs w:val="20"/>
          <w:color w:val="auto"/>
        </w:rPr>
      </w:pPr>
    </w:p>
    <w:p>
      <w:pPr>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1" w:lineRule="exact"/>
        <w:rPr>
          <w:sz w:val="20"/>
          <w:szCs w:val="20"/>
          <w:color w:val="auto"/>
        </w:rPr>
      </w:pPr>
    </w:p>
    <w:p>
      <w:pPr>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26"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2021 was $158.2 million.</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As of March 11, 2022, the Registrant had 13,999,609 shares of common stock outstanding.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186" w:lineRule="exact"/>
        <w:rPr>
          <w:sz w:val="20"/>
          <w:szCs w:val="20"/>
          <w:color w:val="auto"/>
        </w:rPr>
      </w:pPr>
    </w:p>
    <w:p>
      <w:pPr>
        <w:ind w:right="140"/>
        <w:spacing w:after="0" w:line="270" w:lineRule="auto"/>
        <w:rPr>
          <w:sz w:val="20"/>
          <w:szCs w:val="20"/>
          <w:color w:val="auto"/>
        </w:rPr>
      </w:pPr>
      <w:r>
        <w:rPr>
          <w:rFonts w:ascii="Arial" w:cs="Arial" w:eastAsia="Arial" w:hAnsi="Arial"/>
          <w:sz w:val="13"/>
          <w:szCs w:val="13"/>
          <w:color w:val="auto"/>
        </w:rPr>
        <w:t>The information required by Items 10, 11, 12, 13 and 14 of Part III of this Annual Report on Form 10-K will be found in the Company’s definitive proxy statement for its 2021 Annual Meeting of Stockholders, to be filed pursuant to Regulation 14A under the Securities Exchange Act of 1934, as amended, and such information is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1236345</wp:posOffset>
            </wp:positionV>
            <wp:extent cx="718121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3"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1"/>
          <w:szCs w:val="21"/>
          <w:b w:val="1"/>
          <w:bCs w:val="1"/>
          <w:color w:val="auto"/>
        </w:rPr>
        <w:t>Capital Bancorp, Inc. and Subsidiaries</w:t>
      </w:r>
    </w:p>
    <w:p>
      <w:pPr>
        <w:spacing w:after="0" w:line="35"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Annual Report on Form 10-K</w:t>
      </w:r>
    </w:p>
    <w:p>
      <w:pPr>
        <w:spacing w:after="0" w:line="11"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12065</wp:posOffset>
            </wp:positionV>
            <wp:extent cx="70370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0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40" w:type="dxa"/>
            <w:vAlign w:val="bottom"/>
          </w:tcPr>
          <w:p>
            <w:pPr>
              <w:spacing w:after="0"/>
              <w:rPr>
                <w:sz w:val="20"/>
                <w:szCs w:val="20"/>
                <w:color w:val="auto"/>
              </w:rPr>
            </w:pPr>
            <w:r>
              <w:rPr>
                <w:rFonts w:ascii="Arial" w:cs="Arial" w:eastAsia="Arial" w:hAnsi="Arial"/>
                <w:sz w:val="13"/>
                <w:szCs w:val="13"/>
                <w:b w:val="1"/>
                <w:bCs w:val="1"/>
                <w:color w:val="auto"/>
              </w:rPr>
              <w:t>PART I</w:t>
            </w:r>
          </w:p>
        </w:tc>
        <w:tc>
          <w:tcPr>
            <w:tcW w:w="8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Pag</w:t>
            </w: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w:t>
            </w:r>
          </w:p>
        </w:tc>
        <w:tc>
          <w:tcPr>
            <w:tcW w:w="8260" w:type="dxa"/>
            <w:vAlign w:val="bottom"/>
          </w:tcPr>
          <w:p>
            <w:pPr>
              <w:ind w:left="180"/>
              <w:spacing w:after="0"/>
              <w:rPr>
                <w:sz w:val="20"/>
                <w:szCs w:val="20"/>
                <w:color w:val="auto"/>
              </w:rPr>
            </w:pPr>
            <w:r>
              <w:rPr>
                <w:rFonts w:ascii="Arial" w:cs="Arial" w:eastAsia="Arial" w:hAnsi="Arial"/>
                <w:sz w:val="13"/>
                <w:szCs w:val="13"/>
                <w:color w:val="auto"/>
              </w:rPr>
              <w:t>Business</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1A.</w:t>
            </w:r>
          </w:p>
        </w:tc>
        <w:tc>
          <w:tcPr>
            <w:tcW w:w="8260" w:type="dxa"/>
            <w:vAlign w:val="bottom"/>
          </w:tcPr>
          <w:p>
            <w:pPr>
              <w:ind w:left="180"/>
              <w:spacing w:after="0"/>
              <w:rPr>
                <w:sz w:val="20"/>
                <w:szCs w:val="20"/>
                <w:color w:val="auto"/>
              </w:rPr>
            </w:pPr>
            <w:r>
              <w:rPr>
                <w:rFonts w:ascii="Arial" w:cs="Arial" w:eastAsia="Arial" w:hAnsi="Arial"/>
                <w:sz w:val="13"/>
                <w:szCs w:val="13"/>
                <w:color w:val="auto"/>
              </w:rPr>
              <w:t>Risk Factors</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1B.</w:t>
            </w:r>
          </w:p>
        </w:tc>
        <w:tc>
          <w:tcPr>
            <w:tcW w:w="8260" w:type="dxa"/>
            <w:vAlign w:val="bottom"/>
          </w:tcPr>
          <w:p>
            <w:pPr>
              <w:ind w:left="180"/>
              <w:spacing w:after="0"/>
              <w:rPr>
                <w:sz w:val="20"/>
                <w:szCs w:val="20"/>
                <w:color w:val="auto"/>
              </w:rPr>
            </w:pPr>
            <w:r>
              <w:rPr>
                <w:rFonts w:ascii="Arial" w:cs="Arial" w:eastAsia="Arial" w:hAnsi="Arial"/>
                <w:sz w:val="13"/>
                <w:szCs w:val="13"/>
                <w:color w:val="auto"/>
              </w:rPr>
              <w:t>Unresolved Staff Comments</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2.</w:t>
            </w:r>
          </w:p>
        </w:tc>
        <w:tc>
          <w:tcPr>
            <w:tcW w:w="8260" w:type="dxa"/>
            <w:vAlign w:val="bottom"/>
          </w:tcPr>
          <w:p>
            <w:pPr>
              <w:ind w:left="180"/>
              <w:spacing w:after="0"/>
              <w:rPr>
                <w:sz w:val="20"/>
                <w:szCs w:val="20"/>
                <w:color w:val="auto"/>
              </w:rPr>
            </w:pPr>
            <w:r>
              <w:rPr>
                <w:rFonts w:ascii="Arial" w:cs="Arial" w:eastAsia="Arial" w:hAnsi="Arial"/>
                <w:sz w:val="13"/>
                <w:szCs w:val="13"/>
                <w:color w:val="auto"/>
              </w:rPr>
              <w:t>Properties</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3.</w:t>
            </w:r>
          </w:p>
        </w:tc>
        <w:tc>
          <w:tcPr>
            <w:tcW w:w="8260" w:type="dxa"/>
            <w:vAlign w:val="bottom"/>
          </w:tcPr>
          <w:p>
            <w:pPr>
              <w:ind w:left="180"/>
              <w:spacing w:after="0"/>
              <w:rPr>
                <w:sz w:val="20"/>
                <w:szCs w:val="20"/>
                <w:color w:val="auto"/>
              </w:rPr>
            </w:pPr>
            <w:r>
              <w:rPr>
                <w:rFonts w:ascii="Arial" w:cs="Arial" w:eastAsia="Arial" w:hAnsi="Arial"/>
                <w:sz w:val="13"/>
                <w:szCs w:val="13"/>
                <w:color w:val="auto"/>
              </w:rPr>
              <w:t>Legal Proceedings</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4.</w:t>
            </w:r>
          </w:p>
        </w:tc>
        <w:tc>
          <w:tcPr>
            <w:tcW w:w="8260" w:type="dxa"/>
            <w:vAlign w:val="bottom"/>
          </w:tcPr>
          <w:p>
            <w:pPr>
              <w:ind w:left="180"/>
              <w:spacing w:after="0"/>
              <w:rPr>
                <w:sz w:val="20"/>
                <w:szCs w:val="20"/>
                <w:color w:val="auto"/>
              </w:rPr>
            </w:pPr>
            <w:r>
              <w:rPr>
                <w:rFonts w:ascii="Arial" w:cs="Arial" w:eastAsia="Arial" w:hAnsi="Arial"/>
                <w:sz w:val="13"/>
                <w:szCs w:val="13"/>
                <w:color w:val="auto"/>
              </w:rPr>
              <w:t>Mine Safety Disclosures</w:t>
            </w:r>
          </w:p>
        </w:tc>
        <w:tc>
          <w:tcPr>
            <w:tcW w:w="1500" w:type="dxa"/>
            <w:vAlign w:val="bottom"/>
          </w:tcPr>
          <w:p>
            <w:pPr>
              <w:spacing w:after="0"/>
              <w:rPr>
                <w:sz w:val="15"/>
                <w:szCs w:val="15"/>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3"/>
                <w:szCs w:val="13"/>
                <w:b w:val="1"/>
                <w:bCs w:val="1"/>
                <w:color w:val="auto"/>
              </w:rPr>
              <w:t>PART II</w:t>
            </w:r>
          </w:p>
        </w:tc>
        <w:tc>
          <w:tcPr>
            <w:tcW w:w="8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5.</w:t>
            </w:r>
          </w:p>
        </w:tc>
        <w:tc>
          <w:tcPr>
            <w:tcW w:w="8260" w:type="dxa"/>
            <w:vAlign w:val="bottom"/>
          </w:tcPr>
          <w:p>
            <w:pPr>
              <w:ind w:left="180"/>
              <w:spacing w:after="0"/>
              <w:rPr>
                <w:sz w:val="20"/>
                <w:szCs w:val="20"/>
                <w:color w:val="auto"/>
              </w:rPr>
            </w:pPr>
            <w:r>
              <w:rPr>
                <w:rFonts w:ascii="Arial" w:cs="Arial" w:eastAsia="Arial" w:hAnsi="Arial"/>
                <w:sz w:val="13"/>
                <w:szCs w:val="13"/>
                <w:color w:val="auto"/>
              </w:rPr>
              <w:t>Market for the Registrant’s Common Equity, Related Stockholder Matters and Issuer Purchases of Equity Securities</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6</w:t>
            </w:r>
          </w:p>
        </w:tc>
        <w:tc>
          <w:tcPr>
            <w:tcW w:w="8260" w:type="dxa"/>
            <w:vAlign w:val="bottom"/>
          </w:tcPr>
          <w:p>
            <w:pPr>
              <w:ind w:left="180"/>
              <w:spacing w:after="0"/>
              <w:rPr>
                <w:sz w:val="20"/>
                <w:szCs w:val="20"/>
                <w:color w:val="auto"/>
              </w:rPr>
            </w:pPr>
            <w:r>
              <w:rPr>
                <w:rFonts w:ascii="Arial" w:cs="Arial" w:eastAsia="Arial" w:hAnsi="Arial"/>
                <w:sz w:val="13"/>
                <w:szCs w:val="13"/>
                <w:color w:val="auto"/>
              </w:rPr>
              <w:t>[Reserved]</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7.</w:t>
            </w:r>
          </w:p>
        </w:tc>
        <w:tc>
          <w:tcPr>
            <w:tcW w:w="8260" w:type="dxa"/>
            <w:vAlign w:val="bottom"/>
          </w:tcPr>
          <w:p>
            <w:pPr>
              <w:ind w:left="180"/>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7A.</w:t>
            </w:r>
          </w:p>
        </w:tc>
        <w:tc>
          <w:tcPr>
            <w:tcW w:w="8260" w:type="dxa"/>
            <w:vAlign w:val="bottom"/>
          </w:tcPr>
          <w:p>
            <w:pPr>
              <w:ind w:left="180"/>
              <w:spacing w:after="0"/>
              <w:rPr>
                <w:sz w:val="20"/>
                <w:szCs w:val="20"/>
                <w:color w:val="auto"/>
              </w:rPr>
            </w:pPr>
            <w:r>
              <w:rPr>
                <w:rFonts w:ascii="Arial" w:cs="Arial" w:eastAsia="Arial" w:hAnsi="Arial"/>
                <w:sz w:val="13"/>
                <w:szCs w:val="13"/>
                <w:color w:val="auto"/>
              </w:rPr>
              <w:t>Quantitative and Qualitative Disclosures about Market Risk</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8.</w:t>
            </w:r>
          </w:p>
        </w:tc>
        <w:tc>
          <w:tcPr>
            <w:tcW w:w="8260" w:type="dxa"/>
            <w:vAlign w:val="bottom"/>
          </w:tcPr>
          <w:p>
            <w:pPr>
              <w:ind w:left="180"/>
              <w:spacing w:after="0"/>
              <w:rPr>
                <w:sz w:val="20"/>
                <w:szCs w:val="20"/>
                <w:color w:val="auto"/>
              </w:rPr>
            </w:pPr>
            <w:r>
              <w:rPr>
                <w:rFonts w:ascii="Arial" w:cs="Arial" w:eastAsia="Arial" w:hAnsi="Arial"/>
                <w:sz w:val="13"/>
                <w:szCs w:val="13"/>
                <w:color w:val="auto"/>
              </w:rPr>
              <w:t>Financial Statements and Supplementary Data</w:t>
            </w:r>
          </w:p>
        </w:tc>
        <w:tc>
          <w:tcPr>
            <w:tcW w:w="1500" w:type="dxa"/>
            <w:vAlign w:val="bottom"/>
          </w:tcPr>
          <w:p>
            <w:pPr>
              <w:spacing w:after="0"/>
              <w:rPr>
                <w:sz w:val="15"/>
                <w:szCs w:val="15"/>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9.</w:t>
            </w:r>
          </w:p>
        </w:tc>
        <w:tc>
          <w:tcPr>
            <w:tcW w:w="8260" w:type="dxa"/>
            <w:vAlign w:val="bottom"/>
          </w:tcPr>
          <w:p>
            <w:pPr>
              <w:ind w:left="180"/>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1500" w:type="dxa"/>
            <w:vAlign w:val="bottom"/>
          </w:tcPr>
          <w:p>
            <w:pPr>
              <w:jc w:val="right"/>
              <w:spacing w:after="0"/>
              <w:rPr>
                <w:rFonts w:ascii="Arial" w:cs="Arial" w:eastAsia="Arial" w:hAnsi="Arial"/>
                <w:sz w:val="13"/>
                <w:szCs w:val="13"/>
                <w:color w:val="0000FF"/>
              </w:rPr>
            </w:pPr>
            <w:hyperlink w:anchor="page101">
              <w:r>
                <w:rPr>
                  <w:rFonts w:ascii="Arial" w:cs="Arial" w:eastAsia="Arial" w:hAnsi="Arial"/>
                  <w:sz w:val="13"/>
                  <w:szCs w:val="13"/>
                  <w:color w:val="0000FF"/>
                </w:rPr>
                <w:t>1</w:t>
              </w:r>
            </w:hyperlink>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9A.</w:t>
            </w:r>
          </w:p>
        </w:tc>
        <w:tc>
          <w:tcPr>
            <w:tcW w:w="8260" w:type="dxa"/>
            <w:vAlign w:val="bottom"/>
          </w:tcPr>
          <w:p>
            <w:pPr>
              <w:ind w:left="180"/>
              <w:spacing w:after="0"/>
              <w:rPr>
                <w:sz w:val="20"/>
                <w:szCs w:val="20"/>
                <w:color w:val="auto"/>
              </w:rPr>
            </w:pPr>
            <w:r>
              <w:rPr>
                <w:rFonts w:ascii="Arial" w:cs="Arial" w:eastAsia="Arial" w:hAnsi="Arial"/>
                <w:sz w:val="13"/>
                <w:szCs w:val="13"/>
                <w:color w:val="auto"/>
              </w:rPr>
              <w:t>Controls and Procedures</w:t>
            </w:r>
          </w:p>
        </w:tc>
        <w:tc>
          <w:tcPr>
            <w:tcW w:w="1500" w:type="dxa"/>
            <w:vAlign w:val="bottom"/>
          </w:tcPr>
          <w:p>
            <w:pPr>
              <w:jc w:val="right"/>
              <w:spacing w:after="0"/>
              <w:rPr>
                <w:rFonts w:ascii="Arial" w:cs="Arial" w:eastAsia="Arial" w:hAnsi="Arial"/>
                <w:sz w:val="13"/>
                <w:szCs w:val="13"/>
                <w:color w:val="0000FF"/>
              </w:rPr>
            </w:pPr>
            <w:hyperlink w:anchor="page102">
              <w:r>
                <w:rPr>
                  <w:rFonts w:ascii="Arial" w:cs="Arial" w:eastAsia="Arial" w:hAnsi="Arial"/>
                  <w:sz w:val="13"/>
                  <w:szCs w:val="13"/>
                  <w:color w:val="0000FF"/>
                </w:rPr>
                <w:t>1</w:t>
              </w:r>
            </w:hyperlink>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9B.</w:t>
            </w:r>
          </w:p>
        </w:tc>
        <w:tc>
          <w:tcPr>
            <w:tcW w:w="8260" w:type="dxa"/>
            <w:vAlign w:val="bottom"/>
          </w:tcPr>
          <w:p>
            <w:pPr>
              <w:ind w:left="180"/>
              <w:spacing w:after="0"/>
              <w:rPr>
                <w:sz w:val="20"/>
                <w:szCs w:val="20"/>
                <w:color w:val="auto"/>
              </w:rPr>
            </w:pPr>
            <w:r>
              <w:rPr>
                <w:rFonts w:ascii="Arial" w:cs="Arial" w:eastAsia="Arial" w:hAnsi="Arial"/>
                <w:sz w:val="13"/>
                <w:szCs w:val="13"/>
                <w:color w:val="auto"/>
              </w:rPr>
              <w:t>Other Information</w:t>
            </w:r>
          </w:p>
        </w:tc>
        <w:tc>
          <w:tcPr>
            <w:tcW w:w="1500" w:type="dxa"/>
            <w:vAlign w:val="bottom"/>
          </w:tcPr>
          <w:p>
            <w:pPr>
              <w:jc w:val="right"/>
              <w:spacing w:after="0"/>
              <w:rPr>
                <w:rFonts w:ascii="Arial" w:cs="Arial" w:eastAsia="Arial" w:hAnsi="Arial"/>
                <w:sz w:val="13"/>
                <w:szCs w:val="13"/>
                <w:color w:val="0000FF"/>
              </w:rPr>
            </w:pPr>
            <w:hyperlink w:anchor="page103">
              <w:r>
                <w:rPr>
                  <w:rFonts w:ascii="Arial" w:cs="Arial" w:eastAsia="Arial" w:hAnsi="Arial"/>
                  <w:sz w:val="13"/>
                  <w:szCs w:val="13"/>
                  <w:color w:val="0000FF"/>
                </w:rPr>
                <w:t>1</w:t>
              </w:r>
            </w:hyperlink>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9C.</w:t>
            </w:r>
          </w:p>
        </w:tc>
        <w:tc>
          <w:tcPr>
            <w:tcW w:w="8260" w:type="dxa"/>
            <w:vAlign w:val="bottom"/>
          </w:tcPr>
          <w:p>
            <w:pPr>
              <w:ind w:left="180"/>
              <w:spacing w:after="0"/>
              <w:rPr>
                <w:sz w:val="20"/>
                <w:szCs w:val="20"/>
                <w:color w:val="auto"/>
              </w:rPr>
            </w:pPr>
            <w:r>
              <w:rPr>
                <w:rFonts w:ascii="Arial" w:cs="Arial" w:eastAsia="Arial" w:hAnsi="Arial"/>
                <w:sz w:val="13"/>
                <w:szCs w:val="13"/>
                <w:color w:val="auto"/>
              </w:rPr>
              <w:t>Disclosure Regarding Foreign Jurisdictions that Prevent Inspections</w:t>
            </w:r>
          </w:p>
        </w:tc>
        <w:tc>
          <w:tcPr>
            <w:tcW w:w="1500" w:type="dxa"/>
            <w:vAlign w:val="bottom"/>
          </w:tcPr>
          <w:p>
            <w:pPr>
              <w:jc w:val="right"/>
              <w:spacing w:after="0"/>
              <w:rPr>
                <w:rFonts w:ascii="Arial" w:cs="Arial" w:eastAsia="Arial" w:hAnsi="Arial"/>
                <w:sz w:val="13"/>
                <w:szCs w:val="13"/>
                <w:color w:val="0000FF"/>
              </w:rPr>
            </w:pPr>
            <w:hyperlink w:anchor="page103">
              <w:r>
                <w:rPr>
                  <w:rFonts w:ascii="Arial" w:cs="Arial" w:eastAsia="Arial" w:hAnsi="Arial"/>
                  <w:sz w:val="13"/>
                  <w:szCs w:val="13"/>
                  <w:color w:val="0000FF"/>
                </w:rPr>
                <w:t>1</w:t>
              </w:r>
            </w:hyperlink>
          </w:p>
        </w:tc>
      </w:tr>
      <w:tr>
        <w:trPr>
          <w:trHeight w:val="358"/>
        </w:trPr>
        <w:tc>
          <w:tcPr>
            <w:tcW w:w="1040" w:type="dxa"/>
            <w:vAlign w:val="bottom"/>
          </w:tcPr>
          <w:p>
            <w:pPr>
              <w:spacing w:after="0"/>
              <w:rPr>
                <w:sz w:val="20"/>
                <w:szCs w:val="20"/>
                <w:color w:val="auto"/>
              </w:rPr>
            </w:pPr>
            <w:r>
              <w:rPr>
                <w:rFonts w:ascii="Arial" w:cs="Arial" w:eastAsia="Arial" w:hAnsi="Arial"/>
                <w:sz w:val="13"/>
                <w:szCs w:val="13"/>
                <w:b w:val="1"/>
                <w:bCs w:val="1"/>
                <w:color w:val="auto"/>
              </w:rPr>
              <w:t>PART III</w:t>
            </w:r>
          </w:p>
        </w:tc>
        <w:tc>
          <w:tcPr>
            <w:tcW w:w="8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10.</w:t>
            </w:r>
          </w:p>
        </w:tc>
        <w:tc>
          <w:tcPr>
            <w:tcW w:w="8260" w:type="dxa"/>
            <w:vAlign w:val="bottom"/>
          </w:tcPr>
          <w:p>
            <w:pPr>
              <w:ind w:left="180"/>
              <w:spacing w:after="0"/>
              <w:rPr>
                <w:sz w:val="20"/>
                <w:szCs w:val="20"/>
                <w:color w:val="auto"/>
              </w:rPr>
            </w:pPr>
            <w:r>
              <w:rPr>
                <w:rFonts w:ascii="Arial" w:cs="Arial" w:eastAsia="Arial" w:hAnsi="Arial"/>
                <w:sz w:val="13"/>
                <w:szCs w:val="13"/>
                <w:color w:val="auto"/>
              </w:rPr>
              <w:t>Directors, Executive Officers and Corporate Governance</w:t>
            </w:r>
          </w:p>
        </w:tc>
        <w:tc>
          <w:tcPr>
            <w:tcW w:w="1500" w:type="dxa"/>
            <w:vAlign w:val="bottom"/>
          </w:tcPr>
          <w:p>
            <w:pPr>
              <w:jc w:val="right"/>
              <w:spacing w:after="0"/>
              <w:rPr>
                <w:rFonts w:ascii="Arial" w:cs="Arial" w:eastAsia="Arial" w:hAnsi="Arial"/>
                <w:sz w:val="13"/>
                <w:szCs w:val="13"/>
                <w:color w:val="0000FF"/>
              </w:rPr>
            </w:pPr>
            <w:hyperlink w:anchor="page103">
              <w:r>
                <w:rPr>
                  <w:rFonts w:ascii="Arial" w:cs="Arial" w:eastAsia="Arial" w:hAnsi="Arial"/>
                  <w:sz w:val="13"/>
                  <w:szCs w:val="13"/>
                  <w:color w:val="0000FF"/>
                </w:rPr>
                <w:t>1</w:t>
              </w:r>
            </w:hyperlink>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11.</w:t>
            </w:r>
          </w:p>
        </w:tc>
        <w:tc>
          <w:tcPr>
            <w:tcW w:w="8260" w:type="dxa"/>
            <w:vAlign w:val="bottom"/>
          </w:tcPr>
          <w:p>
            <w:pPr>
              <w:ind w:left="180"/>
              <w:spacing w:after="0"/>
              <w:rPr>
                <w:sz w:val="20"/>
                <w:szCs w:val="20"/>
                <w:color w:val="auto"/>
              </w:rPr>
            </w:pPr>
            <w:r>
              <w:rPr>
                <w:rFonts w:ascii="Arial" w:cs="Arial" w:eastAsia="Arial" w:hAnsi="Arial"/>
                <w:sz w:val="13"/>
                <w:szCs w:val="13"/>
                <w:color w:val="auto"/>
              </w:rPr>
              <w:t>Executive Compensation</w:t>
            </w:r>
          </w:p>
        </w:tc>
        <w:tc>
          <w:tcPr>
            <w:tcW w:w="1500" w:type="dxa"/>
            <w:vAlign w:val="bottom"/>
          </w:tcPr>
          <w:p>
            <w:pPr>
              <w:jc w:val="right"/>
              <w:spacing w:after="0"/>
              <w:rPr>
                <w:rFonts w:ascii="Arial" w:cs="Arial" w:eastAsia="Arial" w:hAnsi="Arial"/>
                <w:sz w:val="13"/>
                <w:szCs w:val="13"/>
                <w:color w:val="0000FF"/>
              </w:rPr>
            </w:pPr>
            <w:hyperlink w:anchor="page103">
              <w:r>
                <w:rPr>
                  <w:rFonts w:ascii="Arial" w:cs="Arial" w:eastAsia="Arial" w:hAnsi="Arial"/>
                  <w:sz w:val="13"/>
                  <w:szCs w:val="13"/>
                  <w:color w:val="0000FF"/>
                </w:rPr>
                <w:t>1</w:t>
              </w:r>
            </w:hyperlink>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12.</w:t>
            </w:r>
          </w:p>
        </w:tc>
        <w:tc>
          <w:tcPr>
            <w:tcW w:w="8260" w:type="dxa"/>
            <w:vAlign w:val="bottom"/>
          </w:tcPr>
          <w:p>
            <w:pPr>
              <w:ind w:left="180"/>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1500" w:type="dxa"/>
            <w:vAlign w:val="bottom"/>
          </w:tcPr>
          <w:p>
            <w:pPr>
              <w:jc w:val="right"/>
              <w:spacing w:after="0"/>
              <w:rPr>
                <w:rFonts w:ascii="Arial" w:cs="Arial" w:eastAsia="Arial" w:hAnsi="Arial"/>
                <w:sz w:val="13"/>
                <w:szCs w:val="13"/>
                <w:color w:val="0000FF"/>
              </w:rPr>
            </w:pPr>
            <w:hyperlink w:anchor="page103">
              <w:r>
                <w:rPr>
                  <w:rFonts w:ascii="Arial" w:cs="Arial" w:eastAsia="Arial" w:hAnsi="Arial"/>
                  <w:sz w:val="13"/>
                  <w:szCs w:val="13"/>
                  <w:color w:val="0000FF"/>
                </w:rPr>
                <w:t>1</w:t>
              </w:r>
            </w:hyperlink>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13.</w:t>
            </w:r>
          </w:p>
        </w:tc>
        <w:tc>
          <w:tcPr>
            <w:tcW w:w="8260" w:type="dxa"/>
            <w:vAlign w:val="bottom"/>
          </w:tcPr>
          <w:p>
            <w:pPr>
              <w:ind w:left="180"/>
              <w:spacing w:after="0"/>
              <w:rPr>
                <w:sz w:val="20"/>
                <w:szCs w:val="20"/>
                <w:color w:val="auto"/>
              </w:rPr>
            </w:pPr>
            <w:r>
              <w:rPr>
                <w:rFonts w:ascii="Arial" w:cs="Arial" w:eastAsia="Arial" w:hAnsi="Arial"/>
                <w:sz w:val="13"/>
                <w:szCs w:val="13"/>
                <w:color w:val="auto"/>
              </w:rPr>
              <w:t>Certain Relationships and Related Transactions and Director Independence</w:t>
            </w:r>
          </w:p>
        </w:tc>
        <w:tc>
          <w:tcPr>
            <w:tcW w:w="1500" w:type="dxa"/>
            <w:vAlign w:val="bottom"/>
          </w:tcPr>
          <w:p>
            <w:pPr>
              <w:jc w:val="right"/>
              <w:spacing w:after="0"/>
              <w:rPr>
                <w:rFonts w:ascii="Arial" w:cs="Arial" w:eastAsia="Arial" w:hAnsi="Arial"/>
                <w:sz w:val="13"/>
                <w:szCs w:val="13"/>
                <w:color w:val="0000FF"/>
              </w:rPr>
            </w:pPr>
            <w:hyperlink w:anchor="page103">
              <w:r>
                <w:rPr>
                  <w:rFonts w:ascii="Arial" w:cs="Arial" w:eastAsia="Arial" w:hAnsi="Arial"/>
                  <w:sz w:val="13"/>
                  <w:szCs w:val="13"/>
                  <w:color w:val="0000FF"/>
                </w:rPr>
                <w:t>1</w:t>
              </w:r>
            </w:hyperlink>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14.</w:t>
            </w:r>
          </w:p>
        </w:tc>
        <w:tc>
          <w:tcPr>
            <w:tcW w:w="8260" w:type="dxa"/>
            <w:vAlign w:val="bottom"/>
          </w:tcPr>
          <w:p>
            <w:pPr>
              <w:ind w:left="180"/>
              <w:spacing w:after="0"/>
              <w:rPr>
                <w:sz w:val="20"/>
                <w:szCs w:val="20"/>
                <w:color w:val="auto"/>
              </w:rPr>
            </w:pPr>
            <w:r>
              <w:rPr>
                <w:rFonts w:ascii="Arial" w:cs="Arial" w:eastAsia="Arial" w:hAnsi="Arial"/>
                <w:sz w:val="13"/>
                <w:szCs w:val="13"/>
                <w:color w:val="auto"/>
              </w:rPr>
              <w:t>Principal Accounting Fees and Services</w:t>
            </w:r>
          </w:p>
        </w:tc>
        <w:tc>
          <w:tcPr>
            <w:tcW w:w="1500" w:type="dxa"/>
            <w:vAlign w:val="bottom"/>
          </w:tcPr>
          <w:p>
            <w:pPr>
              <w:jc w:val="right"/>
              <w:spacing w:after="0"/>
              <w:rPr>
                <w:rFonts w:ascii="Arial" w:cs="Arial" w:eastAsia="Arial" w:hAnsi="Arial"/>
                <w:sz w:val="13"/>
                <w:szCs w:val="13"/>
                <w:color w:val="0000FF"/>
              </w:rPr>
            </w:pPr>
            <w:hyperlink w:anchor="page103">
              <w:r>
                <w:rPr>
                  <w:rFonts w:ascii="Arial" w:cs="Arial" w:eastAsia="Arial" w:hAnsi="Arial"/>
                  <w:sz w:val="13"/>
                  <w:szCs w:val="13"/>
                  <w:color w:val="0000FF"/>
                </w:rPr>
                <w:t>1</w:t>
              </w:r>
            </w:hyperlink>
          </w:p>
        </w:tc>
      </w:tr>
      <w:tr>
        <w:trPr>
          <w:trHeight w:val="358"/>
        </w:trPr>
        <w:tc>
          <w:tcPr>
            <w:tcW w:w="1040" w:type="dxa"/>
            <w:vAlign w:val="bottom"/>
          </w:tcPr>
          <w:p>
            <w:pPr>
              <w:spacing w:after="0"/>
              <w:rPr>
                <w:sz w:val="20"/>
                <w:szCs w:val="20"/>
                <w:color w:val="auto"/>
              </w:rPr>
            </w:pPr>
            <w:r>
              <w:rPr>
                <w:rFonts w:ascii="Arial" w:cs="Arial" w:eastAsia="Arial" w:hAnsi="Arial"/>
                <w:sz w:val="13"/>
                <w:szCs w:val="13"/>
                <w:b w:val="1"/>
                <w:bCs w:val="1"/>
                <w:color w:val="auto"/>
              </w:rPr>
              <w:t>PART IV</w:t>
            </w:r>
          </w:p>
        </w:tc>
        <w:tc>
          <w:tcPr>
            <w:tcW w:w="8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15.</w:t>
            </w:r>
          </w:p>
        </w:tc>
        <w:tc>
          <w:tcPr>
            <w:tcW w:w="8260" w:type="dxa"/>
            <w:vAlign w:val="bottom"/>
          </w:tcPr>
          <w:p>
            <w:pPr>
              <w:ind w:left="180"/>
              <w:spacing w:after="0"/>
              <w:rPr>
                <w:sz w:val="20"/>
                <w:szCs w:val="20"/>
                <w:color w:val="auto"/>
              </w:rPr>
            </w:pPr>
            <w:r>
              <w:rPr>
                <w:rFonts w:ascii="Arial" w:cs="Arial" w:eastAsia="Arial" w:hAnsi="Arial"/>
                <w:sz w:val="13"/>
                <w:szCs w:val="13"/>
                <w:color w:val="auto"/>
              </w:rPr>
              <w:t>Exhibits and Financial Statement Schedules</w:t>
            </w:r>
          </w:p>
        </w:tc>
        <w:tc>
          <w:tcPr>
            <w:tcW w:w="1500" w:type="dxa"/>
            <w:vAlign w:val="bottom"/>
          </w:tcPr>
          <w:p>
            <w:pPr>
              <w:jc w:val="right"/>
              <w:spacing w:after="0"/>
              <w:rPr>
                <w:rFonts w:ascii="Arial" w:cs="Arial" w:eastAsia="Arial" w:hAnsi="Arial"/>
                <w:sz w:val="13"/>
                <w:szCs w:val="13"/>
                <w:color w:val="0000FF"/>
              </w:rPr>
            </w:pPr>
            <w:hyperlink w:anchor="page105">
              <w:r>
                <w:rPr>
                  <w:rFonts w:ascii="Arial" w:cs="Arial" w:eastAsia="Arial" w:hAnsi="Arial"/>
                  <w:sz w:val="13"/>
                  <w:szCs w:val="13"/>
                  <w:color w:val="0000FF"/>
                </w:rPr>
                <w:t>1</w:t>
              </w:r>
            </w:hyperlink>
          </w:p>
        </w:tc>
      </w:t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Item 16.</w:t>
            </w:r>
          </w:p>
        </w:tc>
        <w:tc>
          <w:tcPr>
            <w:tcW w:w="8260" w:type="dxa"/>
            <w:vAlign w:val="bottom"/>
          </w:tcPr>
          <w:p>
            <w:pPr>
              <w:ind w:left="180"/>
              <w:spacing w:after="0"/>
              <w:rPr>
                <w:sz w:val="20"/>
                <w:szCs w:val="20"/>
                <w:color w:val="auto"/>
              </w:rPr>
            </w:pPr>
            <w:r>
              <w:rPr>
                <w:rFonts w:ascii="Arial" w:cs="Arial" w:eastAsia="Arial" w:hAnsi="Arial"/>
                <w:sz w:val="13"/>
                <w:szCs w:val="13"/>
                <w:color w:val="auto"/>
              </w:rPr>
              <w:t>Form 10K Summary</w:t>
            </w:r>
          </w:p>
        </w:tc>
        <w:tc>
          <w:tcPr>
            <w:tcW w:w="1500" w:type="dxa"/>
            <w:vAlign w:val="bottom"/>
          </w:tcPr>
          <w:p>
            <w:pPr>
              <w:jc w:val="right"/>
              <w:spacing w:after="0"/>
              <w:rPr>
                <w:rFonts w:ascii="Arial" w:cs="Arial" w:eastAsia="Arial" w:hAnsi="Arial"/>
                <w:sz w:val="13"/>
                <w:szCs w:val="13"/>
                <w:color w:val="0000FF"/>
              </w:rPr>
            </w:pPr>
            <w:hyperlink w:anchor="page105">
              <w:r>
                <w:rPr>
                  <w:rFonts w:ascii="Arial" w:cs="Arial" w:eastAsia="Arial" w:hAnsi="Arial"/>
                  <w:sz w:val="13"/>
                  <w:szCs w:val="13"/>
                  <w:color w:val="0000FF"/>
                </w:rPr>
                <w:t>1</w:t>
              </w:r>
            </w:hyperlink>
          </w:p>
        </w:tc>
      </w:tr>
      <w:tr>
        <w:trPr>
          <w:trHeight w:val="358"/>
        </w:trPr>
        <w:tc>
          <w:tcPr>
            <w:tcW w:w="1040" w:type="dxa"/>
            <w:vAlign w:val="bottom"/>
          </w:tcPr>
          <w:p>
            <w:pPr>
              <w:spacing w:after="0"/>
              <w:rPr>
                <w:sz w:val="20"/>
                <w:szCs w:val="20"/>
                <w:color w:val="auto"/>
              </w:rPr>
            </w:pPr>
            <w:r>
              <w:rPr>
                <w:rFonts w:ascii="Arial" w:cs="Arial" w:eastAsia="Arial" w:hAnsi="Arial"/>
                <w:sz w:val="13"/>
                <w:szCs w:val="13"/>
                <w:b w:val="1"/>
                <w:bCs w:val="1"/>
                <w:color w:val="auto"/>
              </w:rPr>
              <w:t>SIGNATURES</w:t>
            </w:r>
          </w:p>
        </w:tc>
        <w:tc>
          <w:tcPr>
            <w:tcW w:w="8260" w:type="dxa"/>
            <w:vAlign w:val="bottom"/>
          </w:tcPr>
          <w:p>
            <w:pPr>
              <w:spacing w:after="0"/>
              <w:rPr>
                <w:sz w:val="24"/>
                <w:szCs w:val="24"/>
                <w:color w:val="auto"/>
              </w:rPr>
            </w:pPr>
          </w:p>
        </w:tc>
        <w:tc>
          <w:tcPr>
            <w:tcW w:w="1500" w:type="dxa"/>
            <w:vAlign w:val="bottom"/>
          </w:tcPr>
          <w:p>
            <w:pPr>
              <w:jc w:val="right"/>
              <w:spacing w:after="0"/>
              <w:rPr>
                <w:rFonts w:ascii="Arial" w:cs="Arial" w:eastAsia="Arial" w:hAnsi="Arial"/>
                <w:sz w:val="13"/>
                <w:szCs w:val="13"/>
                <w:color w:val="0000FF"/>
              </w:rPr>
            </w:pPr>
            <w:hyperlink w:anchor="page106">
              <w:r>
                <w:rPr>
                  <w:rFonts w:ascii="Arial" w:cs="Arial" w:eastAsia="Arial" w:hAnsi="Arial"/>
                  <w:sz w:val="13"/>
                  <w:szCs w:val="13"/>
                  <w:color w:val="0000FF"/>
                </w:rPr>
                <w:t>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212090</wp:posOffset>
            </wp:positionV>
            <wp:extent cx="718121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0800"/>
          </w:cols>
          <w:pgMar w:left="860" w:top="518" w:right="239" w:bottom="1440" w:gutter="0" w:footer="0" w:header="0"/>
        </w:sectPr>
      </w:pPr>
    </w:p>
    <w:bookmarkStart w:id="3" w:name="page4"/>
    <w:bookmarkEnd w:id="3"/>
    <w:p>
      <w:pPr>
        <w:ind w:left="280"/>
        <w:spacing w:after="0"/>
        <w:rPr>
          <w:sz w:val="20"/>
          <w:szCs w:val="20"/>
          <w:color w:val="auto"/>
        </w:rPr>
      </w:pPr>
      <w:r>
        <w:rPr>
          <w:rFonts w:ascii="Arial" w:cs="Arial" w:eastAsia="Arial" w:hAnsi="Arial"/>
          <w:sz w:val="15"/>
          <w:szCs w:val="15"/>
          <w:b w:val="1"/>
          <w:bCs w:val="1"/>
          <w:color w:val="auto"/>
        </w:rPr>
        <w:t>PRIVATE SECURITIES LITIGATION REFORM ACT SAFE HARBOR STATEMENT</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This Report on Form 10-K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General Economic Conditions</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These forward-looking statements are subject to risks and uncertainties that could cause actual results, performance or achievements to differ materially from those projected. These risks and uncertainties, some of which are beyond our control, include, but are not limited to:</w:t>
      </w:r>
    </w:p>
    <w:p>
      <w:pPr>
        <w:spacing w:after="0" w:line="166" w:lineRule="exact"/>
        <w:rPr>
          <w:sz w:val="20"/>
          <w:szCs w:val="20"/>
          <w:color w:val="auto"/>
        </w:rPr>
      </w:pPr>
    </w:p>
    <w:p>
      <w:pPr>
        <w:jc w:val="both"/>
        <w:ind w:left="820" w:hanging="542"/>
        <w:spacing w:after="0" w:line="252"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uncertainties and other factors relating to the COVID-19 pandemic, including the length of time that the pandemic continues, the effectiveness and acceptance of vaccination programs, the imposition of any restrictions on business operations and/or travel, the effect of the pandemic on the general economy and on the businesses of our borrowers and their ability to make payments on their obligations, the remedial actions and stimulus measures adopted by federal, state and local governments, the inability of employees to work due to illness, quarantine, or government mandates;</w:t>
      </w:r>
    </w:p>
    <w:p>
      <w:pPr>
        <w:spacing w:after="0" w:line="126" w:lineRule="exact"/>
        <w:rPr>
          <w:rFonts w:ascii="Arial" w:cs="Arial" w:eastAsia="Arial" w:hAnsi="Arial"/>
          <w:sz w:val="15"/>
          <w:szCs w:val="15"/>
          <w:color w:val="auto"/>
        </w:rPr>
      </w:pPr>
    </w:p>
    <w:p>
      <w:pPr>
        <w:ind w:left="820" w:hanging="542"/>
        <w:spacing w:after="0" w:line="258"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121" w:lineRule="exact"/>
        <w:rPr>
          <w:rFonts w:ascii="Arial" w:cs="Arial" w:eastAsia="Arial" w:hAnsi="Arial"/>
          <w:sz w:val="15"/>
          <w:szCs w:val="15"/>
          <w:color w:val="auto"/>
        </w:rPr>
      </w:pPr>
    </w:p>
    <w:p>
      <w:pPr>
        <w:ind w:left="820" w:hanging="542"/>
        <w:spacing w:after="0" w:line="258"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concentration of our business in the Washington, D.C. and Baltimore metropolitan areas and the effect of changes in the economic, political and environmental conditions on these markets;</w:t>
      </w:r>
    </w:p>
    <w:p>
      <w:pPr>
        <w:spacing w:after="0" w:line="121" w:lineRule="exact"/>
        <w:rPr>
          <w:rFonts w:ascii="Arial" w:cs="Arial" w:eastAsia="Arial" w:hAnsi="Arial"/>
          <w:sz w:val="15"/>
          <w:szCs w:val="15"/>
          <w:color w:val="auto"/>
        </w:rPr>
      </w:pPr>
    </w:p>
    <w:p>
      <w:pPr>
        <w:ind w:left="820" w:hanging="542"/>
        <w:spacing w:after="0"/>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prudently manage our growth and execute our strategy;</w:t>
      </w:r>
    </w:p>
    <w:p>
      <w:pPr>
        <w:spacing w:after="0" w:line="140" w:lineRule="exact"/>
        <w:rPr>
          <w:rFonts w:ascii="Arial" w:cs="Arial" w:eastAsia="Arial" w:hAnsi="Arial"/>
          <w:sz w:val="15"/>
          <w:szCs w:val="15"/>
          <w:color w:val="auto"/>
        </w:rPr>
      </w:pPr>
    </w:p>
    <w:p>
      <w:pPr>
        <w:ind w:left="820" w:hanging="542"/>
        <w:spacing w:after="0" w:line="258"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plans to grow our commercial real estate and commercial business loan portfolios which may carry greater risks of non-payment or other unfavorable consequences;</w:t>
      </w:r>
    </w:p>
    <w:p>
      <w:pPr>
        <w:spacing w:after="0" w:line="121" w:lineRule="exact"/>
        <w:rPr>
          <w:rFonts w:ascii="Arial" w:cs="Arial" w:eastAsia="Arial" w:hAnsi="Arial"/>
          <w:sz w:val="15"/>
          <w:szCs w:val="15"/>
          <w:color w:val="auto"/>
        </w:rPr>
      </w:pPr>
    </w:p>
    <w:p>
      <w:pPr>
        <w:ind w:left="820" w:hanging="542"/>
        <w:spacing w:after="0"/>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adequacy of reserves, including our allowance for loan losses;</w:t>
      </w:r>
    </w:p>
    <w:p>
      <w:pPr>
        <w:spacing w:after="0" w:line="140" w:lineRule="exact"/>
        <w:rPr>
          <w:rFonts w:ascii="Arial" w:cs="Arial" w:eastAsia="Arial" w:hAnsi="Arial"/>
          <w:sz w:val="15"/>
          <w:szCs w:val="15"/>
          <w:color w:val="auto"/>
        </w:rPr>
      </w:pPr>
    </w:p>
    <w:p>
      <w:pPr>
        <w:ind w:left="820" w:hanging="542"/>
        <w:spacing w:after="0"/>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deterioration of our asset quality;</w:t>
      </w:r>
    </w:p>
    <w:p>
      <w:pPr>
        <w:spacing w:after="0" w:line="140" w:lineRule="exact"/>
        <w:rPr>
          <w:rFonts w:ascii="Arial" w:cs="Arial" w:eastAsia="Arial" w:hAnsi="Arial"/>
          <w:sz w:val="15"/>
          <w:szCs w:val="15"/>
          <w:color w:val="auto"/>
        </w:rPr>
      </w:pPr>
    </w:p>
    <w:p>
      <w:pPr>
        <w:ind w:left="820" w:hanging="542"/>
        <w:spacing w:after="0"/>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associated with our residential mortgage banking business;</w:t>
      </w:r>
    </w:p>
    <w:p>
      <w:pPr>
        <w:spacing w:after="0" w:line="132" w:lineRule="exact"/>
        <w:rPr>
          <w:rFonts w:ascii="Arial" w:cs="Arial" w:eastAsia="Arial" w:hAnsi="Arial"/>
          <w:sz w:val="15"/>
          <w:szCs w:val="15"/>
          <w:color w:val="auto"/>
        </w:rPr>
      </w:pPr>
    </w:p>
    <w:p>
      <w:pPr>
        <w:ind w:left="820" w:hanging="542"/>
        <w:spacing w:after="0"/>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associated with our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credit card division, including compliance with applicable consumer finance and fraud prevention regulations;</w:t>
      </w:r>
    </w:p>
    <w:p>
      <w:pPr>
        <w:spacing w:after="0" w:line="103" w:lineRule="exact"/>
        <w:rPr>
          <w:rFonts w:ascii="Arial" w:cs="Arial" w:eastAsia="Arial" w:hAnsi="Arial"/>
          <w:sz w:val="15"/>
          <w:szCs w:val="15"/>
          <w:color w:val="auto"/>
        </w:rPr>
      </w:pPr>
    </w:p>
    <w:p>
      <w:pPr>
        <w:ind w:left="820" w:right="20" w:hanging="542"/>
        <w:spacing w:after="0" w:line="258"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results of examinations of us by our regulators, including the possibility that our regulators may, among other things, require us to increase our allowance for loan losses or to write-down assets;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4" w:name="page5"/>
    <w:bookmarkEnd w:id="4"/>
    <w:p>
      <w:pPr>
        <w:ind w:left="542" w:hanging="542"/>
        <w:spacing w:after="0" w:line="258" w:lineRule="auto"/>
        <w:tabs>
          <w:tab w:leader="none" w:pos="538"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effectiveness of our internal control over financial reporting and our ability to remediate any future material weakness or significant deficiency in our internal control over financial reporting;</w:t>
      </w:r>
    </w:p>
    <w:p>
      <w:pPr>
        <w:spacing w:after="0" w:line="121"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the value of collateral securing our loans;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dependence on our management team and board of directors and changes in management and board composition;</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liquidity risks associated with our business;</w:t>
      </w:r>
    </w:p>
    <w:p>
      <w:pPr>
        <w:spacing w:after="0" w:line="140" w:lineRule="exact"/>
        <w:rPr>
          <w:rFonts w:ascii="Arial" w:cs="Arial" w:eastAsia="Arial" w:hAnsi="Arial"/>
          <w:sz w:val="15"/>
          <w:szCs w:val="15"/>
          <w:color w:val="auto"/>
        </w:rPr>
      </w:pPr>
    </w:p>
    <w:p>
      <w:pPr>
        <w:ind w:left="542" w:hanging="542"/>
        <w:spacing w:after="0" w:line="258" w:lineRule="auto"/>
        <w:tabs>
          <w:tab w:leader="none" w:pos="538" w:val="left"/>
        </w:tabs>
        <w:numPr>
          <w:ilvl w:val="0"/>
          <w:numId w:val="4"/>
        </w:numPr>
        <w:rPr>
          <w:rFonts w:ascii="Arial" w:cs="Arial" w:eastAsia="Arial" w:hAnsi="Arial"/>
          <w:sz w:val="15"/>
          <w:szCs w:val="15"/>
          <w:color w:val="auto"/>
        </w:rPr>
      </w:pPr>
      <w:r>
        <w:rPr>
          <w:rFonts w:ascii="Arial" w:cs="Arial" w:eastAsia="Arial" w:hAnsi="Arial"/>
          <w:sz w:val="15"/>
          <w:szCs w:val="15"/>
          <w:color w:val="auto"/>
        </w:rPr>
        <w:t>interest rate risk associated with our business, including sensitivity of our interest earning assets and interest bearing liabilities to interest rates, and the impact to our earnings from changes in interest rates;</w:t>
      </w:r>
    </w:p>
    <w:p>
      <w:pPr>
        <w:spacing w:after="0" w:line="121"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maintain important customer deposit relationships and our reputation;</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operational risks associated with our business;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strategic acquisitions we may undertake to achieve our goals;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sufficiency of our capital, including sources of capital and the extent to which we may be required to raise additional capital to meet our goals;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fluctuations in the fair value of our investment securities that are beyond our control;</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potential exposure to fraud, negligence, computer theft and cyber-crime;</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adequacy of our risk management framework;</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dependence on our information technology and telecommunications systems and the potential for any systems failures or interruptions;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dependence upon outside third parties for the processing and handling of our records and data;</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adapt to technological change;</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engagement in derivative transactions;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volatility and direction of market interest rates;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increased competition in the financial services industry, particularly from regional and national institutions;</w:t>
      </w:r>
    </w:p>
    <w:p>
      <w:pPr>
        <w:spacing w:after="0" w:line="141" w:lineRule="exact"/>
        <w:rPr>
          <w:sz w:val="20"/>
          <w:szCs w:val="20"/>
          <w:color w:val="auto"/>
        </w:rPr>
      </w:pPr>
    </w:p>
    <w:p>
      <w:pPr>
        <w:ind w:left="542" w:hanging="542"/>
        <w:spacing w:after="0" w:line="258" w:lineRule="auto"/>
        <w:tabs>
          <w:tab w:leader="none" w:pos="55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transition away from USD London Interbank Offering Rate (“LIBOR”) and related uncertainty and costs regarding potential alternatives reference rates, including the Secured Overnight Financing Rate (“SOFR”);</w:t>
      </w:r>
    </w:p>
    <w:p>
      <w:pPr>
        <w:spacing w:after="0" w:line="122" w:lineRule="exact"/>
        <w:rPr>
          <w:sz w:val="20"/>
          <w:szCs w:val="20"/>
          <w:color w:val="auto"/>
        </w:rPr>
      </w:pPr>
    </w:p>
    <w:p>
      <w:pPr>
        <w:ind w:left="542" w:hanging="542"/>
        <w:spacing w:after="0"/>
        <w:tabs>
          <w:tab w:leader="none" w:pos="542"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involvement from time to time in legal proceedings, examinations and remedial actions by regulators;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the laws, rules, regulations, interpretations or policies relating to financial institution, accounting, tax, trade, monetary and fiscal matters;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financial soundness of other financial institutions;</w:t>
      </w:r>
    </w:p>
    <w:p>
      <w:pPr>
        <w:spacing w:after="0" w:line="140" w:lineRule="exact"/>
        <w:rPr>
          <w:rFonts w:ascii="Arial" w:cs="Arial" w:eastAsia="Arial" w:hAnsi="Arial"/>
          <w:sz w:val="15"/>
          <w:szCs w:val="15"/>
          <w:color w:val="auto"/>
        </w:rPr>
      </w:pPr>
    </w:p>
    <w:p>
      <w:pPr>
        <w:ind w:left="542" w:hanging="542"/>
        <w:spacing w:after="0"/>
        <w:tabs>
          <w:tab w:leader="none" w:pos="542" w:val="left"/>
        </w:tabs>
        <w:numPr>
          <w:ilvl w:val="0"/>
          <w:numId w:val="6"/>
        </w:numPr>
        <w:rPr>
          <w:rFonts w:ascii="Arial" w:cs="Arial" w:eastAsia="Arial" w:hAnsi="Arial"/>
          <w:sz w:val="15"/>
          <w:szCs w:val="15"/>
          <w:color w:val="auto"/>
        </w:rPr>
      </w:pPr>
      <w:r>
        <w:rPr>
          <w:rFonts w:ascii="Arial" w:cs="Arial" w:eastAsia="Arial" w:hAnsi="Arial"/>
          <w:sz w:val="15"/>
          <w:szCs w:val="15"/>
          <w:color w:val="auto"/>
        </w:rPr>
        <w:t>further government intervention in the U.S. financial system;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78"/>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212090</wp:posOffset>
            </wp:positionV>
            <wp:extent cx="718121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002"/>
          </w:cols>
          <w:pgMar w:left="578" w:top="1392" w:right="319" w:bottom="1440" w:gutter="0" w:footer="0" w:header="0"/>
        </w:sectPr>
      </w:pPr>
    </w:p>
    <w:bookmarkStart w:id="5" w:name="page6"/>
    <w:bookmarkEnd w:id="5"/>
    <w:p>
      <w:pPr>
        <w:ind w:left="820" w:hanging="542"/>
        <w:spacing w:after="0" w:line="258" w:lineRule="auto"/>
        <w:tabs>
          <w:tab w:leader="none" w:pos="816" w:val="left"/>
        </w:tabs>
        <w:numPr>
          <w:ilvl w:val="0"/>
          <w:numId w:val="7"/>
        </w:numPr>
        <w:rPr>
          <w:rFonts w:ascii="Arial" w:cs="Arial" w:eastAsia="Arial" w:hAnsi="Arial"/>
          <w:sz w:val="15"/>
          <w:szCs w:val="15"/>
          <w:color w:val="auto"/>
        </w:rPr>
      </w:pPr>
      <w:r>
        <w:rPr>
          <w:rFonts w:ascii="Arial" w:cs="Arial" w:eastAsia="Arial" w:hAnsi="Arial"/>
          <w:sz w:val="15"/>
          <w:szCs w:val="15"/>
          <w:color w:val="auto"/>
        </w:rPr>
        <w:t>natural disasters and adverse weather, acts of terrorism, an outbreak of hostilities or other international or domestic calamities, and other matters beyond our control; and</w:t>
      </w:r>
    </w:p>
    <w:p>
      <w:pPr>
        <w:spacing w:after="0" w:line="121" w:lineRule="exact"/>
        <w:rPr>
          <w:rFonts w:ascii="Arial" w:cs="Arial" w:eastAsia="Arial" w:hAnsi="Arial"/>
          <w:sz w:val="15"/>
          <w:szCs w:val="15"/>
          <w:color w:val="auto"/>
        </w:rPr>
      </w:pPr>
    </w:p>
    <w:p>
      <w:pPr>
        <w:ind w:left="820" w:hanging="542"/>
        <w:spacing w:after="0"/>
        <w:tabs>
          <w:tab w:leader="none" w:pos="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factors that are discussed in Item 1A. Risk Factors.</w:t>
      </w:r>
    </w:p>
    <w:p>
      <w:pPr>
        <w:spacing w:after="0" w:line="141" w:lineRule="exact"/>
        <w:rPr>
          <w:sz w:val="20"/>
          <w:szCs w:val="20"/>
          <w:color w:val="auto"/>
        </w:rPr>
      </w:pPr>
    </w:p>
    <w:p>
      <w:pPr>
        <w:jc w:val="both"/>
        <w:ind w:firstLine="268"/>
        <w:spacing w:after="0" w:line="270" w:lineRule="auto"/>
        <w:rPr>
          <w:sz w:val="20"/>
          <w:szCs w:val="20"/>
          <w:color w:val="auto"/>
        </w:rPr>
      </w:pPr>
      <w:r>
        <w:rPr>
          <w:rFonts w:ascii="Arial" w:cs="Arial" w:eastAsia="Arial" w:hAnsi="Arial"/>
          <w:sz w:val="14"/>
          <w:szCs w:val="14"/>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Item 1A. hereunder. 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 forward-looking statement made in this document or elsewhere might not reflect actual results.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w:t>
      </w:r>
    </w:p>
    <w:p>
      <w:pPr>
        <w:spacing w:after="0" w:line="20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In this annual report, unless we state otherwise or the context otherwise requires, references to “we,” “our,” “us,” “the Company” and “Capital” refer to Capital Bancorp, Inc. and its wholly owned subsidiaries, Capital Bank, N.A., which we sometimes refer to as “Capital Bank,” “the Bank” or “our Bank,” and Church Street Capital, LLC. “Church Street Capital” or “CSC” refer to our wholly owned subsidiary, Church Street Capital, LLC.</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 BUSINESS</w:t>
      </w:r>
    </w:p>
    <w:p>
      <w:pPr>
        <w:spacing w:after="0" w:line="204"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We are Capital Bancorp, Inc., a bank holding company and a Maryland corporation established in 1998, operating primarily through our wholly owned subsidiary, Capital Bank, N.A., a commercial-focused community bank based in the Washington, D.C. and Baltimore metropolitan areas. We serve businesses, not-for-profit associations and entrepreneurs throughout the region. Capital Bank is headquartered in Rockville, Maryland and operates a branch-lite model through four commercial bank branches, four mortgage offices and one loan production office.</w:t>
      </w:r>
    </w:p>
    <w:p>
      <w:pPr>
        <w:spacing w:after="0" w:line="162" w:lineRule="exact"/>
        <w:rPr>
          <w:sz w:val="20"/>
          <w:szCs w:val="20"/>
          <w:color w:val="auto"/>
        </w:rPr>
      </w:pPr>
    </w:p>
    <w:p>
      <w:pPr>
        <w:jc w:val="both"/>
        <w:ind w:firstLine="268"/>
        <w:spacing w:after="0" w:line="216" w:lineRule="auto"/>
        <w:rPr>
          <w:sz w:val="20"/>
          <w:szCs w:val="20"/>
          <w:color w:val="auto"/>
        </w:rPr>
      </w:pPr>
      <w:r>
        <w:rPr>
          <w:rFonts w:ascii="Arial" w:cs="Arial" w:eastAsia="Arial" w:hAnsi="Arial"/>
          <w:sz w:val="15"/>
          <w:szCs w:val="15"/>
          <w:color w:val="auto"/>
        </w:rPr>
        <w:t>Capital Bank currently operates three divisions: Commercial Banking, Capital Bank Home Loans, and OpenSky</w:t>
      </w:r>
      <w:r>
        <w:rPr>
          <w:rFonts w:ascii="Arial" w:cs="Arial" w:eastAsia="Arial" w:hAnsi="Arial"/>
          <w:sz w:val="19"/>
          <w:szCs w:val="19"/>
          <w:color w:val="auto"/>
          <w:vertAlign w:val="superscript"/>
        </w:rPr>
        <w:t>®</w:t>
      </w:r>
      <w:r>
        <w:rPr>
          <w:rFonts w:ascii="Arial" w:cs="Arial" w:eastAsia="Arial" w:hAnsi="Arial"/>
          <w:sz w:val="15"/>
          <w:szCs w:val="15"/>
          <w:color w:val="auto"/>
        </w:rPr>
        <w:t>. Our Commercial Banking division operates in the Washington, D.C. and Baltimore metropolitan areas and focuses on providing personalized service to commercial clients throughout our area of operations. Capital Bank Home Loans and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both leverage Capital Bank’s national banking charter to operate as national consumer business lines; Capital Bank Home Loans acts as our residential mortgage origination platform and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provides nationwide, digitally-based, unsecured credit cards as well as secured credit cards to under-banked populations and those looking to rebuild their credit scores.</w:t>
      </w:r>
    </w:p>
    <w:p>
      <w:pPr>
        <w:spacing w:after="0" w:line="183"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In addition to the three divisions of Capital Bank, Church Street Capital also operates as a wholly owned subsidiary of Capital Bancorp, Inc. CSC originates and services a portfolio of mezzanine loans with certain characteristics that do not meet Capital Bank’s general underwriting standards, but command a higher rate of return. Until recently, CSC typically sold participation interests in these loans to third parties (including to certain of the Company’s and Bank's directors), and retained exposure of as little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6" w:name="page7"/>
    <w:bookmarkEnd w:id="6"/>
    <w:p>
      <w:pPr>
        <w:jc w:val="both"/>
        <w:ind w:right="20"/>
        <w:spacing w:after="0" w:line="258" w:lineRule="auto"/>
        <w:rPr>
          <w:sz w:val="20"/>
          <w:szCs w:val="20"/>
          <w:color w:val="auto"/>
        </w:rPr>
      </w:pPr>
      <w:r>
        <w:rPr>
          <w:rFonts w:ascii="Arial" w:cs="Arial" w:eastAsia="Arial" w:hAnsi="Arial"/>
          <w:sz w:val="15"/>
          <w:szCs w:val="15"/>
          <w:color w:val="auto"/>
        </w:rPr>
        <w:t>10 percent. Beginning in 2019, CSC more typically retained 100% of the exposures. In all cases CSC had retained servicing of the loans, thereby maintaining a relationship with the customer.</w:t>
      </w:r>
    </w:p>
    <w:p>
      <w:pPr>
        <w:spacing w:after="0" w:line="166"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In addition to its subsidiaries discussed above, Capital Bank, N.A. and Church Street Capital, Capital Bancorp, Inc. owns all of the stock of Capital Bancorp (MD) Statutory Trust I (the “Trust”). The Trust is a special purpose non-consolidated entity organized for the sole purpose of issuing trust preferred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Commercial Banking Division</w:t>
      </w:r>
    </w:p>
    <w:p>
      <w:pPr>
        <w:spacing w:after="0" w:line="202"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The Commercial Banking division operates out of four full service banking locations, each of which is in the Washington, D.C. Metropolitan Statistical Area (“MSA”), and its full service banking location in Columbia, Maryland in the Baltimore, Maryland MSA. Additionally, we have one loan production office located in the Washington, D.C. area. Our Commercial Banking division’s commercial loan officers and commercial real estate loan officers provide commercial and industrial, or C&amp;I, commercial real estate and construction lending solutions to business clients in Capital Bank’s operating markets.</w:t>
      </w:r>
    </w:p>
    <w:p>
      <w:pPr>
        <w:spacing w:after="0" w:line="17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Construction lending is a core competency of our Commercial Banking division. Our construction loan portfolio provides Capital Bank with short duration and higher yield loans. Our construction lending is focused on commercial and residential construction projects within the Washington, D.C. and Baltimore-Columbia-Towson, Maryland metropolitan operating areas, with limited exposure to suburban subdivision tract development.</w:t>
      </w:r>
    </w:p>
    <w:p>
      <w:pPr>
        <w:spacing w:after="0" w:line="17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In addition to its loan officers who have incentives and goals to drive core deposit growth, our Commercial Banking division currently has a team of business development officers concentrating on continuing to diversify Capital Bank’s funding sources away from wholesale funding and towards core deposit funding. We expect that our deposit gathering teams will continue to help maintain our wholesale funding dependence through improved low-cost core funding.</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Capital Bank Home Loans Division</w:t>
      </w:r>
    </w:p>
    <w:p>
      <w:pPr>
        <w:spacing w:after="0" w:line="202"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Capital Bank Home Loans (“CBHL”), formerly known as Church Street Mortgage, originates conventional and government-guaranteed residential mortgage loans on a national basis, for sale into the secondary market and in certain, limited circumstances for our loan portfolio. Loans sold into the secondary market are sold servicing released. Loans retained for our portfolio are generally adjustable rate mortgage loans on primary residences within Capital Bank’s operating markets to individuals who own businesses where Capital Bank may also pursue a commercial lending relationship and has a vested interest in maintaining the fullest possible control of the lending relationship.</w:t>
      </w:r>
    </w:p>
    <w:p>
      <w:pPr>
        <w:spacing w:after="0" w:line="172" w:lineRule="exact"/>
        <w:rPr>
          <w:sz w:val="20"/>
          <w:szCs w:val="20"/>
          <w:color w:val="auto"/>
        </w:rPr>
      </w:pPr>
    </w:p>
    <w:p>
      <w:pPr>
        <w:jc w:val="both"/>
        <w:ind w:firstLine="134"/>
        <w:spacing w:after="0" w:line="252" w:lineRule="auto"/>
        <w:rPr>
          <w:sz w:val="20"/>
          <w:szCs w:val="20"/>
          <w:color w:val="auto"/>
        </w:rPr>
      </w:pPr>
      <w:r>
        <w:rPr>
          <w:rFonts w:ascii="Arial" w:cs="Arial" w:eastAsia="Arial" w:hAnsi="Arial"/>
          <w:sz w:val="15"/>
          <w:szCs w:val="15"/>
          <w:color w:val="auto"/>
        </w:rPr>
        <w:t>In 2020, with the drop in interest rates, CBHL experienced heavy refinance origination volume as opposed to purchase origination volume; however, in 2021, management began to refocus on purchase originations in anticipation of a slow-down in the refinance market. In 2021, market interest rates increased causing the refinance market to further contract. Purchase origination volume was 42.3 percent for the year ended December 31, 2021, compared to 31.9 percent for the year ended December 31, 2020.</w:t>
      </w:r>
    </w:p>
    <w:p>
      <w:pPr>
        <w:spacing w:after="0" w:line="17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Approximately 53.9 percent of CBHL loan originations by volume occur within Capital Bank’s operating markets in Maryland, Virginia and Washington, D.C. The remainder of originations are national in scope and occur primarily through a consumer direct channel utilizing consumer marketing, including through social media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7" w:name="page8"/>
    <w:bookmarkEnd w:id="7"/>
    <w:p>
      <w:pPr>
        <w:spacing w:after="0"/>
        <w:rPr>
          <w:sz w:val="20"/>
          <w:szCs w:val="20"/>
          <w:color w:val="auto"/>
        </w:rPr>
      </w:pPr>
      <w:r>
        <w:rPr>
          <w:rFonts w:ascii="Arial" w:cs="Arial" w:eastAsia="Arial" w:hAnsi="Arial"/>
          <w:sz w:val="15"/>
          <w:szCs w:val="15"/>
          <w:i w:val="1"/>
          <w:iCs w:val="1"/>
          <w:color w:val="auto"/>
        </w:rPr>
        <w:t>OpenSky</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Secured Credit Card Division</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division provides secured, partially secured and unsecured credit cards on a nationwide basis.</w:t>
      </w:r>
    </w:p>
    <w:p>
      <w:pPr>
        <w:spacing w:after="0" w:line="148"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secured credit cards require a minimum initial deposit of $200 and maximum initial deposits of $3,000 per card and $5,000 per individual and are focused on under-banked populations and those looking to rebuild their credit scores. In order to obtain a secured credit card from us, the customer must select a credit line amount that they are willing to secure with a matching deposit amount. A deposit equal to the full credit limit of the card is made into a noninterest bearing demand account with the Bank. Once the account is opened, the deposit is required to be maintained throughout the life of the card. The customer’s funding of the deposit account is collateral and it is not a consideration in the credit card approval process, but is a prerequisite to activating the credit line. Once the customer’s deposit account has been funded, the credit line is activated and the collateral funds are generally available to absorb any losses on the account that may occur. Given the secured nature of the cards, credit checks are not required at the time of application.</w:t>
      </w:r>
    </w:p>
    <w:p>
      <w:pPr>
        <w:spacing w:after="0" w:line="175"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 partially secured credit card uses our proprietary scoring model, which considers credit score and repayment history (typically a minimum of six months of on-time repayments, but ultimately determined on a case-by-case basis), to offer certain customers an unsecured line in excess of their secured line of credit. As each customer’s secured account ages, we obtain credit scores to baseline their improvement as an input into any decision to extend unsecured credit.</w:t>
      </w:r>
    </w:p>
    <w:p>
      <w:pPr>
        <w:spacing w:after="0" w:line="162" w:lineRule="exact"/>
        <w:rPr>
          <w:sz w:val="20"/>
          <w:szCs w:val="20"/>
          <w:color w:val="auto"/>
        </w:rPr>
      </w:pPr>
    </w:p>
    <w:p>
      <w:pPr>
        <w:jc w:val="both"/>
        <w:ind w:firstLine="268"/>
        <w:spacing w:after="0" w:line="234" w:lineRule="auto"/>
        <w:rPr>
          <w:sz w:val="20"/>
          <w:szCs w:val="20"/>
          <w:color w:val="auto"/>
        </w:rPr>
      </w:pPr>
      <w:r>
        <w:rPr>
          <w:rFonts w:ascii="Arial" w:cs="Arial" w:eastAsia="Arial" w:hAnsi="Arial"/>
          <w:sz w:val="15"/>
          <w:szCs w:val="15"/>
          <w:color w:val="auto"/>
        </w:rPr>
        <w:t>The unsecured credit card was added, for qualifying customers, in the fourth quarter of 2021 to expand the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product offering. The addition of the unsecured card allows for an uninterrupted experience for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customers who can now more easily continue in their journey from a secured to unsecured credit card.</w:t>
      </w:r>
    </w:p>
    <w:p>
      <w:pPr>
        <w:spacing w:after="0" w:line="111" w:lineRule="exact"/>
        <w:rPr>
          <w:sz w:val="20"/>
          <w:szCs w:val="20"/>
          <w:color w:val="auto"/>
        </w:rPr>
      </w:pPr>
    </w:p>
    <w:p>
      <w:pPr>
        <w:jc w:val="both"/>
        <w:ind w:firstLine="268"/>
        <w:spacing w:after="0" w:line="230" w:lineRule="auto"/>
        <w:rPr>
          <w:sz w:val="20"/>
          <w:szCs w:val="20"/>
          <w:color w:val="auto"/>
        </w:rPr>
      </w:pPr>
      <w:r>
        <w:rPr>
          <w:rFonts w:ascii="Arial" w:cs="Arial" w:eastAsia="Arial" w:hAnsi="Arial"/>
          <w:sz w:val="15"/>
          <w:szCs w:val="15"/>
          <w:color w:val="auto"/>
        </w:rPr>
        <w:t>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cards operate on a fully digital and mobile platform with all marketing and application procedures conducted through its website or mobile application.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credit cards have floating interest rates, which are beneficial in a rising rate environment, and we believe the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secured credit card product may provide a counter-cyclical benefit as more people enter its target segment of credit rebuilders during an economic downturn. Credit card eligibility for all product offerings is based on identity and income verification. Our prior experience has shown that approximately 19% of our secured credit cards will experience a charge-off within the first year of issuance primarily due to the relative inexperience of this under-banked population in effectively managing credit card debt. As of December 31, 2021, approximately 13.5% of our secured credit card portfolio was delinquent by 30 days or more.</w:t>
      </w:r>
    </w:p>
    <w:p>
      <w:pPr>
        <w:spacing w:after="0" w:line="173" w:lineRule="exact"/>
        <w:rPr>
          <w:sz w:val="20"/>
          <w:szCs w:val="20"/>
          <w:color w:val="auto"/>
        </w:rPr>
      </w:pPr>
    </w:p>
    <w:p>
      <w:pPr>
        <w:jc w:val="both"/>
        <w:ind w:firstLine="268"/>
        <w:spacing w:after="0" w:line="236" w:lineRule="auto"/>
        <w:rPr>
          <w:sz w:val="20"/>
          <w:szCs w:val="20"/>
          <w:color w:val="auto"/>
        </w:rPr>
      </w:pPr>
      <w:r>
        <w:rPr>
          <w:rFonts w:ascii="Arial" w:cs="Arial" w:eastAsia="Arial" w:hAnsi="Arial"/>
          <w:sz w:val="15"/>
          <w:szCs w:val="15"/>
          <w:color w:val="auto"/>
        </w:rPr>
        <w:t>Capital Bank evaluates its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customers using analytics that track consumer behaviors and score each customer on risk and behavior metrics. These real-time monitoring capabilities give our management insight into the credit trends of our portfolio on a consumer by consumer basis, allowing them to identify potential fraud situations and mitigate any associated losses, as well as to obtain insights into how to optimize the profitability and life cycle of each account. The model utilizes data proprietary to Capital Bank.</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Business Strategy</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Regulations, technology and competition have fundamentally impacted the economics of the banking sector. We believe that by using technology-enabled strategies and advice-based solutions, we can deliver attractive shareholder returns in excess of our cost of capital. We have adopted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3" w:right="319" w:bottom="144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strategies that we believe will continue to drive growth while maintaining consistent profitability and enhancing shareholder value: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Deliver premium advice-based solutions that drive organic loan and core deposit growth with corresponding net interest margin</w:t>
      </w:r>
    </w:p>
    <w:p>
      <w:pPr>
        <w:spacing w:after="0" w:line="202" w:lineRule="exact"/>
        <w:rPr>
          <w:sz w:val="20"/>
          <w:szCs w:val="20"/>
          <w:color w:val="auto"/>
        </w:rPr>
      </w:pPr>
    </w:p>
    <w:p>
      <w:pPr>
        <w:ind w:left="820" w:hanging="542"/>
        <w:spacing w:after="0"/>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Serve as financial partners to our customers, helping them to grow their businesses through advice-based financial solutions;</w:t>
      </w:r>
    </w:p>
    <w:p>
      <w:pPr>
        <w:spacing w:after="0" w:line="140" w:lineRule="exact"/>
        <w:rPr>
          <w:rFonts w:ascii="Arial" w:cs="Arial" w:eastAsia="Arial" w:hAnsi="Arial"/>
          <w:sz w:val="15"/>
          <w:szCs w:val="15"/>
          <w:color w:val="auto"/>
        </w:rPr>
      </w:pPr>
    </w:p>
    <w:p>
      <w:pPr>
        <w:ind w:left="820" w:right="20" w:hanging="542"/>
        <w:spacing w:after="0" w:line="258" w:lineRule="auto"/>
        <w:tabs>
          <w:tab w:leader="none" w:pos="816" w:val="left"/>
        </w:tabs>
        <w:numPr>
          <w:ilvl w:val="0"/>
          <w:numId w:val="8"/>
        </w:numPr>
        <w:rPr>
          <w:rFonts w:ascii="Arial" w:cs="Arial" w:eastAsia="Arial" w:hAnsi="Arial"/>
          <w:sz w:val="15"/>
          <w:szCs w:val="15"/>
          <w:color w:val="auto"/>
        </w:rPr>
      </w:pPr>
      <w:r>
        <w:rPr>
          <w:rFonts w:ascii="Arial" w:cs="Arial" w:eastAsia="Arial" w:hAnsi="Arial"/>
          <w:sz w:val="15"/>
          <w:szCs w:val="15"/>
          <w:color w:val="auto"/>
        </w:rPr>
        <w:t>Endeavor to provide comprehensive loan and deposit solutions to our customers that are tailored to their needs, and leverage data, analytics, and financial technology to improve the customer experience;</w:t>
      </w:r>
    </w:p>
    <w:p>
      <w:pPr>
        <w:spacing w:after="0" w:line="121" w:lineRule="exact"/>
        <w:rPr>
          <w:rFonts w:ascii="Arial" w:cs="Arial" w:eastAsia="Arial" w:hAnsi="Arial"/>
          <w:sz w:val="15"/>
          <w:szCs w:val="15"/>
          <w:color w:val="auto"/>
        </w:rPr>
      </w:pPr>
    </w:p>
    <w:p>
      <w:pPr>
        <w:ind w:left="820" w:hanging="542"/>
        <w:spacing w:after="0" w:line="258" w:lineRule="auto"/>
        <w:tabs>
          <w:tab w:leader="none" w:pos="816" w:val="left"/>
        </w:tabs>
        <w:numPr>
          <w:ilvl w:val="0"/>
          <w:numId w:val="8"/>
        </w:numPr>
        <w:rPr>
          <w:rFonts w:ascii="Arial" w:cs="Arial" w:eastAsia="Arial" w:hAnsi="Arial"/>
          <w:sz w:val="15"/>
          <w:szCs w:val="15"/>
          <w:color w:val="auto"/>
        </w:rPr>
      </w:pPr>
      <w:r>
        <w:rPr>
          <w:rFonts w:ascii="Arial" w:cs="Arial" w:eastAsia="Arial" w:hAnsi="Arial"/>
          <w:sz w:val="15"/>
          <w:szCs w:val="15"/>
          <w:color w:val="auto"/>
        </w:rPr>
        <w:t>Scale our consumer fee based platforms by investing in fintech capabilities and digital marketing to deliver high impact products and services and differentiated customer experience;</w:t>
      </w:r>
    </w:p>
    <w:p>
      <w:pPr>
        <w:spacing w:after="0" w:line="121" w:lineRule="exact"/>
        <w:rPr>
          <w:rFonts w:ascii="Arial" w:cs="Arial" w:eastAsia="Arial" w:hAnsi="Arial"/>
          <w:sz w:val="15"/>
          <w:szCs w:val="15"/>
          <w:color w:val="auto"/>
        </w:rPr>
      </w:pPr>
    </w:p>
    <w:p>
      <w:pPr>
        <w:ind w:left="820" w:hanging="542"/>
        <w:spacing w:after="0" w:line="258" w:lineRule="auto"/>
        <w:tabs>
          <w:tab w:leader="none" w:pos="816" w:val="left"/>
        </w:tabs>
        <w:numPr>
          <w:ilvl w:val="0"/>
          <w:numId w:val="8"/>
        </w:numPr>
        <w:rPr>
          <w:rFonts w:ascii="Arial" w:cs="Arial" w:eastAsia="Arial" w:hAnsi="Arial"/>
          <w:sz w:val="15"/>
          <w:szCs w:val="15"/>
          <w:color w:val="auto"/>
        </w:rPr>
      </w:pPr>
      <w:r>
        <w:rPr>
          <w:rFonts w:ascii="Arial" w:cs="Arial" w:eastAsia="Arial" w:hAnsi="Arial"/>
          <w:sz w:val="15"/>
          <w:szCs w:val="15"/>
          <w:color w:val="auto"/>
        </w:rPr>
        <w:t>Capitalize on market dislocation from recent in-market acquisitions to continue to attract top sales talent, and acquire new commercial banking relationships from local competitors; and</w:t>
      </w:r>
    </w:p>
    <w:p>
      <w:pPr>
        <w:spacing w:after="0" w:line="121" w:lineRule="exact"/>
        <w:rPr>
          <w:rFonts w:ascii="Arial" w:cs="Arial" w:eastAsia="Arial" w:hAnsi="Arial"/>
          <w:sz w:val="15"/>
          <w:szCs w:val="15"/>
          <w:color w:val="auto"/>
        </w:rPr>
      </w:pPr>
    </w:p>
    <w:p>
      <w:pPr>
        <w:ind w:left="820" w:hanging="542"/>
        <w:spacing w:after="0"/>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Selectively add banking centers where sales teams have already proved an ability to capture market share and leverage customer relationships.</w:t>
      </w:r>
    </w:p>
    <w:p>
      <w:pPr>
        <w:spacing w:after="0" w:line="200" w:lineRule="exact"/>
        <w:rPr>
          <w:sz w:val="20"/>
          <w:szCs w:val="20"/>
          <w:color w:val="auto"/>
        </w:rPr>
      </w:pPr>
    </w:p>
    <w:p>
      <w:pPr>
        <w:spacing w:after="0" w:line="299" w:lineRule="exact"/>
        <w:rPr>
          <w:sz w:val="20"/>
          <w:szCs w:val="20"/>
          <w:color w:val="auto"/>
        </w:rPr>
      </w:pPr>
    </w:p>
    <w:p>
      <w:pPr>
        <w:ind w:left="820" w:hanging="542"/>
        <w:spacing w:after="0" w:line="258" w:lineRule="auto"/>
        <w:tabs>
          <w:tab w:leader="none" w:pos="816" w:val="left"/>
        </w:tabs>
        <w:numPr>
          <w:ilvl w:val="0"/>
          <w:numId w:val="9"/>
        </w:numPr>
        <w:rPr>
          <w:rFonts w:ascii="Arial" w:cs="Arial" w:eastAsia="Arial" w:hAnsi="Arial"/>
          <w:sz w:val="15"/>
          <w:szCs w:val="15"/>
          <w:color w:val="auto"/>
        </w:rPr>
      </w:pPr>
      <w:r>
        <w:rPr>
          <w:rFonts w:ascii="Arial" w:cs="Arial" w:eastAsia="Arial" w:hAnsi="Arial"/>
          <w:sz w:val="15"/>
          <w:szCs w:val="15"/>
          <w:color w:val="auto"/>
        </w:rPr>
        <w:t>Use solution structuring and customized technology implementation as differentiators to add value to clients with complex needs and enhance our relationships within our existing customer base;</w:t>
      </w:r>
    </w:p>
    <w:p>
      <w:pPr>
        <w:spacing w:after="0" w:line="121" w:lineRule="exact"/>
        <w:rPr>
          <w:rFonts w:ascii="Arial" w:cs="Arial" w:eastAsia="Arial" w:hAnsi="Arial"/>
          <w:sz w:val="15"/>
          <w:szCs w:val="15"/>
          <w:color w:val="auto"/>
        </w:rPr>
      </w:pPr>
    </w:p>
    <w:p>
      <w:pPr>
        <w:ind w:left="820" w:hanging="542"/>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Deploy technologies that better support our lending associates and simplify our processes;</w:t>
      </w:r>
    </w:p>
    <w:p>
      <w:pPr>
        <w:spacing w:after="0" w:line="140" w:lineRule="exact"/>
        <w:rPr>
          <w:rFonts w:ascii="Arial" w:cs="Arial" w:eastAsia="Arial" w:hAnsi="Arial"/>
          <w:sz w:val="15"/>
          <w:szCs w:val="15"/>
          <w:color w:val="auto"/>
        </w:rPr>
      </w:pPr>
    </w:p>
    <w:p>
      <w:pPr>
        <w:ind w:left="820" w:hanging="542"/>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Maximize the potential of web-based and mobile banking applications to drive core funding while maintaining our branch-lite business model; and</w:t>
      </w:r>
    </w:p>
    <w:p>
      <w:pPr>
        <w:spacing w:after="0" w:line="132" w:lineRule="exact"/>
        <w:rPr>
          <w:rFonts w:ascii="Arial" w:cs="Arial" w:eastAsia="Arial" w:hAnsi="Arial"/>
          <w:sz w:val="15"/>
          <w:szCs w:val="15"/>
          <w:color w:val="auto"/>
        </w:rPr>
      </w:pPr>
    </w:p>
    <w:p>
      <w:pPr>
        <w:ind w:left="820" w:hanging="542"/>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Enhance cross-selling capabilities among our OpenSky</w:t>
      </w:r>
      <w:r>
        <w:rPr>
          <w:rFonts w:ascii="Arial" w:cs="Arial" w:eastAsia="Arial" w:hAnsi="Arial"/>
          <w:sz w:val="19"/>
          <w:szCs w:val="19"/>
          <w:color w:val="auto"/>
          <w:vertAlign w:val="superscript"/>
        </w:rPr>
        <w:t>®</w:t>
      </w:r>
      <w:r>
        <w:rPr>
          <w:rFonts w:ascii="Arial" w:cs="Arial" w:eastAsia="Arial" w:hAnsi="Arial"/>
          <w:sz w:val="15"/>
          <w:szCs w:val="15"/>
          <w:color w:val="auto"/>
        </w:rPr>
        <w:t>, Capital Bank Home Loans and Commercial Banking division customers.</w:t>
      </w:r>
    </w:p>
    <w:p>
      <w:pPr>
        <w:spacing w:after="0" w:line="200" w:lineRule="exact"/>
        <w:rPr>
          <w:sz w:val="20"/>
          <w:szCs w:val="20"/>
          <w:color w:val="auto"/>
        </w:rPr>
      </w:pPr>
    </w:p>
    <w:p>
      <w:pPr>
        <w:spacing w:after="0" w:line="262" w:lineRule="exact"/>
        <w:rPr>
          <w:sz w:val="20"/>
          <w:szCs w:val="20"/>
          <w:color w:val="auto"/>
        </w:rPr>
      </w:pPr>
    </w:p>
    <w:p>
      <w:pPr>
        <w:ind w:left="820" w:hanging="542"/>
        <w:spacing w:after="0" w:line="258" w:lineRule="auto"/>
        <w:tabs>
          <w:tab w:leader="none" w:pos="8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Utilize our customer acquisition system, Apollo, and leverage our investment in a new core processing system, together with our expertise in data, analytics and marketing, to deliver new products and services and grow our secured credit card business;</w:t>
      </w:r>
    </w:p>
    <w:p>
      <w:pPr>
        <w:spacing w:after="0" w:line="112" w:lineRule="exact"/>
        <w:rPr>
          <w:rFonts w:ascii="Arial" w:cs="Arial" w:eastAsia="Arial" w:hAnsi="Arial"/>
          <w:sz w:val="15"/>
          <w:szCs w:val="15"/>
          <w:color w:val="auto"/>
        </w:rPr>
      </w:pPr>
    </w:p>
    <w:p>
      <w:pPr>
        <w:ind w:left="820" w:hanging="542"/>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Retain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customers that “graduate” from our secured credit product through the limited use of partially unsecured credit products; and</w:t>
      </w:r>
    </w:p>
    <w:p>
      <w:pPr>
        <w:spacing w:after="0" w:line="103" w:lineRule="exact"/>
        <w:rPr>
          <w:rFonts w:ascii="Arial" w:cs="Arial" w:eastAsia="Arial" w:hAnsi="Arial"/>
          <w:sz w:val="15"/>
          <w:szCs w:val="15"/>
          <w:color w:val="auto"/>
        </w:rPr>
      </w:pPr>
    </w:p>
    <w:p>
      <w:pPr>
        <w:ind w:left="820" w:right="20" w:hanging="542"/>
        <w:spacing w:after="0" w:line="258" w:lineRule="auto"/>
        <w:tabs>
          <w:tab w:leader="none" w:pos="8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Expand our purchase-oriented mortgage loan sales both in-market and in adjacent markets through the hiring of qualified mortgage originators and continue to improve on our direct to consumer marketing channels.</w:t>
      </w:r>
    </w:p>
    <w:p>
      <w:pPr>
        <w:spacing w:after="0" w:line="200" w:lineRule="exact"/>
        <w:rPr>
          <w:sz w:val="20"/>
          <w:szCs w:val="20"/>
          <w:color w:val="auto"/>
        </w:rPr>
      </w:pPr>
    </w:p>
    <w:p>
      <w:pPr>
        <w:spacing w:after="0" w:line="280" w:lineRule="exact"/>
        <w:rPr>
          <w:sz w:val="20"/>
          <w:szCs w:val="20"/>
          <w:color w:val="auto"/>
        </w:rPr>
      </w:pPr>
    </w:p>
    <w:p>
      <w:pPr>
        <w:ind w:left="820" w:hanging="542"/>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Seek strategic acquisitions in the Washington, D.C., Baltimore, Maryland, and surrounding metropolitan areas;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78" w:lineRule="exact"/>
        <w:rPr>
          <w:rFonts w:ascii="Arial" w:cs="Arial" w:eastAsia="Arial" w:hAnsi="Arial"/>
          <w:sz w:val="15"/>
          <w:szCs w:val="15"/>
          <w:color w:val="auto"/>
        </w:rPr>
      </w:pPr>
    </w:p>
    <w:p>
      <w:pPr>
        <w:ind w:left="5600"/>
        <w:spacing w:after="0"/>
        <w:rPr>
          <w:rFonts w:ascii="Arial" w:cs="Arial" w:eastAsia="Arial" w:hAnsi="Arial"/>
          <w:sz w:val="15"/>
          <w:szCs w:val="15"/>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9" w:name="page10"/>
    <w:bookmarkEnd w:id="9"/>
    <w:p>
      <w:pPr>
        <w:ind w:left="820" w:hanging="542"/>
        <w:spacing w:after="0" w:line="258" w:lineRule="auto"/>
        <w:tabs>
          <w:tab w:leader="none" w:pos="8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Evaluate specialty finance company opportunities where we can add value through increasing interest and fee income and leveraging our management’s expertise and existing strategic assets; and</w:t>
      </w:r>
    </w:p>
    <w:p>
      <w:pPr>
        <w:spacing w:after="0" w:line="121" w:lineRule="exact"/>
        <w:rPr>
          <w:rFonts w:ascii="Arial" w:cs="Arial" w:eastAsia="Arial" w:hAnsi="Arial"/>
          <w:sz w:val="15"/>
          <w:szCs w:val="15"/>
          <w:color w:val="auto"/>
        </w:rPr>
      </w:pPr>
    </w:p>
    <w:p>
      <w:pPr>
        <w:ind w:left="820" w:hanging="542"/>
        <w:spacing w:after="0"/>
        <w:tabs>
          <w:tab w:leader="none" w:pos="8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Use our management’s and Board’s expertise to structure transactions that minimize the integration and execution risk for the Bank.</w:t>
      </w:r>
    </w:p>
    <w:p>
      <w:pPr>
        <w:spacing w:after="0" w:line="32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Employees and Human Capital Resources</w:t>
      </w:r>
    </w:p>
    <w:p>
      <w:pPr>
        <w:spacing w:after="0" w:line="204"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At December 31, 2021, we employed 269 persons, of which 257 were employed on a full-time basis. None of our employees are represented by any collective bargaining unit or are a party to a collective bargaining agreement. We believe the relationship with our employees to be excellent and were recently named a Best Bank to Work For by American Banker for the third consecutive year. Our ability to attract and retain employees is a key to our success. We offer a competitive total rewards program to our employees, flexible work arrangements, and monitor the competitiveness of our compensation and benefits programs in our various market areas.</w:t>
      </w:r>
    </w:p>
    <w:p>
      <w:pPr>
        <w:spacing w:after="0" w:line="171"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Company prides itself on being a values-driven organization, where employees are empowered to share Ideas that keep the organization connected. Our company core values guide each team member to:</w:t>
      </w:r>
    </w:p>
    <w:p>
      <w:pPr>
        <w:spacing w:after="0" w:line="166" w:lineRule="exact"/>
        <w:rPr>
          <w:sz w:val="20"/>
          <w:szCs w:val="20"/>
          <w:color w:val="auto"/>
        </w:rPr>
      </w:pPr>
    </w:p>
    <w:p>
      <w:pPr>
        <w:ind w:left="820" w:hanging="542"/>
        <w:spacing w:after="0"/>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Act as an Owner</w:t>
      </w:r>
    </w:p>
    <w:p>
      <w:pPr>
        <w:spacing w:after="0" w:line="140" w:lineRule="exact"/>
        <w:rPr>
          <w:rFonts w:ascii="Arial" w:cs="Arial" w:eastAsia="Arial" w:hAnsi="Arial"/>
          <w:sz w:val="15"/>
          <w:szCs w:val="15"/>
          <w:color w:val="auto"/>
        </w:rPr>
      </w:pPr>
    </w:p>
    <w:p>
      <w:pPr>
        <w:ind w:left="820" w:hanging="542"/>
        <w:spacing w:after="0"/>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Practice Balanced Risk Management</w:t>
      </w:r>
    </w:p>
    <w:p>
      <w:pPr>
        <w:spacing w:after="0" w:line="140" w:lineRule="exact"/>
        <w:rPr>
          <w:rFonts w:ascii="Arial" w:cs="Arial" w:eastAsia="Arial" w:hAnsi="Arial"/>
          <w:sz w:val="15"/>
          <w:szCs w:val="15"/>
          <w:color w:val="auto"/>
        </w:rPr>
      </w:pPr>
    </w:p>
    <w:p>
      <w:pPr>
        <w:ind w:left="820" w:hanging="542"/>
        <w:spacing w:after="0"/>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Challenge the Norm</w:t>
      </w:r>
    </w:p>
    <w:p>
      <w:pPr>
        <w:spacing w:after="0" w:line="140" w:lineRule="exact"/>
        <w:rPr>
          <w:rFonts w:ascii="Arial" w:cs="Arial" w:eastAsia="Arial" w:hAnsi="Arial"/>
          <w:sz w:val="15"/>
          <w:szCs w:val="15"/>
          <w:color w:val="auto"/>
        </w:rPr>
      </w:pPr>
    </w:p>
    <w:p>
      <w:pPr>
        <w:ind w:left="820" w:hanging="542"/>
        <w:spacing w:after="0"/>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Leverage the Team</w:t>
      </w:r>
    </w:p>
    <w:p>
      <w:pPr>
        <w:spacing w:after="0" w:line="14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We believe that these values enable our success with our customers and have helped us build a fun, vibrant and accountability driven culture. In addition, we are committed to developing our staff through internal/external training programs, availability of a robust online training resource, and continuing to implement leadership development programs to all levels of leadership within the organization.</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Available Information</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Company provides access to its SEC filings through its web site at www.capitalbankmd.com. After accessing the web site, the filings are available upon selecting “Investor Relations.” Reports available include the annual report on Form 10-K, quarterly reports on Form 10-Q, current reports on Form 8-K, and all amendments to those reports as soon as reasonably practicable after the reports are electronically filed with or furnished to the SEC. Further, the SEC maintains an internet site that contains reports, proxy and information statements, and other information regarding issuers that file electronically with the SEC at www.sec.gov. The information on, or accessible through, our website or any other website cited in this Annual Report on Form 10-K is not part of, or incorporated by reference into, this Annual Report on Form 10-K and should not be relied upon in determining whether to make an investment decision.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SUPERVISION AND REGULATION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General</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0" w:name="page11"/>
    <w:bookmarkEnd w:id="10"/>
    <w:p>
      <w:pPr>
        <w:jc w:val="both"/>
        <w:spacing w:after="0" w:line="250" w:lineRule="auto"/>
        <w:rPr>
          <w:sz w:val="20"/>
          <w:szCs w:val="20"/>
          <w:color w:val="auto"/>
        </w:rPr>
      </w:pPr>
      <w:r>
        <w:rPr>
          <w:rFonts w:ascii="Arial" w:cs="Arial" w:eastAsia="Arial" w:hAnsi="Arial"/>
          <w:sz w:val="15"/>
          <w:szCs w:val="15"/>
          <w:color w:val="auto"/>
        </w:rPr>
        <w:t>and conditions on a bank holding company’s (“BHC”), ability to repurchase stock or to receive dividends from its subsidiary banks. We are subject to comprehensive examination and supervision by the Federal Reserve, and the Bank is subject to comprehensive examination and supervision by the Office of the Comptroller of the Currency (“OCC”). We are required to file with the Federal Reserve quarterly and annual reports and such additional information as the Federal Reserve may require pursuant to the Bank Holding Company Act of 1956 (“BHC Act”). The Federal Reserve may conduct examinations of BHCs and their subsidiaries. The Bank’s deposits are insured by the Federal Deposit Insurance Corporation (“FDIC”), through the Deposit Insurance Fund (“DIF”). As a result of this deposit insurance function, the FDIC also has certain supervisory authority and powers over the Bank as well as all other FDIC insured institutions. The Company’s and the Bank’s regulators generally have broad discretion to impose restrictions and limitations on our operations. Bank regulation is intended to protect depositors and consumers and not shareholders. This supervisory framework could materially impact the conduct and profitability of our activities.</w:t>
      </w:r>
    </w:p>
    <w:p>
      <w:pPr>
        <w:spacing w:after="0" w:line="174" w:lineRule="exact"/>
        <w:rPr>
          <w:sz w:val="20"/>
          <w:szCs w:val="20"/>
          <w:color w:val="auto"/>
        </w:rPr>
      </w:pPr>
    </w:p>
    <w:p>
      <w:pPr>
        <w:jc w:val="both"/>
        <w:ind w:firstLine="268"/>
        <w:spacing w:after="0" w:line="249" w:lineRule="auto"/>
        <w:rPr>
          <w:sz w:val="20"/>
          <w:szCs w:val="20"/>
          <w:color w:val="auto"/>
        </w:rPr>
      </w:pPr>
      <w:r>
        <w:rPr>
          <w:rFonts w:ascii="Arial" w:cs="Arial" w:eastAsia="Arial" w:hAnsi="Arial"/>
          <w:sz w:val="15"/>
          <w:szCs w:val="15"/>
          <w:color w:val="auto"/>
        </w:rPr>
        <w:t>To the extent that the following information describes statutory and regulatory provisions, it is qualified in its entirety by reference to the text of the applicable statutory and regulatory provisions. Legislative and regulatory initiatives, which necessarily impact the regulation of the financial services industry, are introduced from time to time. We cannot predict whether or when potential legislation or new regulations will be enacted, and if enacted, the effect that new legislation or any implemented regulations and supervisory policies would have on our financial condition and results of operations. The Dodd-Frank Wall Street Reform and Consumer Protection Act (the “Dodd-Frank Act”), by way of example, contains a comprehensive set of provisions designed to govern the practices and oversight of financial institutions and other participants in the financial markets. The Dodd-Frank Act made extensive changes in the regulation of financial institutions and their holding companies. Some of the changes brought about by the Dodd-Frank Act were modified by the Economic Growth, Regulatory Relief, and Consumer Protection Act of 2018 (the “Regulatory Relief Act”), signed into law on May 24, 2018. The Dodd-Frank Act has increased the regulatory burden and compliance costs of the Company. The Dodd-Frank Act also modified the standard under which state consumer financial laws may be applied to national banking associations, such as the Bank. The application of that standard by state regulators and the courts may cause the Bank’s compliance burden and costs to increase. Moreover, bank regulatory agencies can be more aggressive in responding to concerns and trends identified in examinations, which could result in an increased issuance of enforcement actions to financial institutions requiring action to address credit quality, liquidity, risk management and capital adequacy, as well as other safety and soundness concerns.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Regulation of Capital Bancorp, Inc.</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We are registered as a BHC under the BHC Act and are subject to regulation and supervision by the Federal Reserve. The BHC Act requires us to secure the prior approval of the Federal Reserve before we own or control, directly or indirectly, more than 5% of the voting shares or substantially all of the assets of any bank or thrift,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Regulation of Capital Bank</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operations and investments of our Bank are subject to the supervision, examination and reporting requirements of the National Bank Act and the regulations of the OCC as well as other federal banking statutes and regulations, including with respect to the level of reserves that our Bank must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15"/>
          <w:szCs w:val="15"/>
          <w:color w:val="auto"/>
        </w:rPr>
        <w:t>against deposits, restrictions on the types, amount, and terms and conditions of loans it may originate, and limits on the types of other activities in which our Bank may engage and the investments that it may make. The OCC also has the power to prevent the continuance or development of unsafe or unsound banking practices and other violations of law. Because our Bank’s deposits are insured by the FDIC to the maximum extent provided by law, it is also subject to certain FDIC regulations, and the FDIC has backup examination authority and some enforcement powers over our Bank. If, as a result of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require affirmative action to correct any conditions resulting from any violation or practice, issue an administrative order that can be judicially enforced, direct an increase in capital, restrict growth, assess civil monetary penalties and remove officers and directors. The regulators also may request the FDIC to terminate the Bank’s deposit insurance.</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Capital Adequacy Guidelines</w:t>
      </w:r>
    </w:p>
    <w:p>
      <w:pPr>
        <w:spacing w:after="0" w:line="20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Bank holding companies and banks are subject to various regulatory capital requirements administered by state and federal agencies See “Part II, Item 8. Financial Statements and Supplementary Data - Notes to Consolidated Financial Statements - Note 14, Capital Standards” for additional regulatory capital information, including the Bank’s and Company’s Leverage Ratio as of December 31, 2021.</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Community Reinvestment Act</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CRA requires the federal banking regulatory agencies to assess all financial institutions that they regulate to determine whether these institutions are meeting the credit needs of the communities they serve, including their assessment area(s) (as established for these purposes in accordance with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“unsatisfactory.” A rating that is less than “satisfactory” may substantially inhibit the Bank’s opportunities for future growth.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and expansions into non-banking activities. Our Bank received an “outstanding” rating in its most recent CRA evaluation.</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Anti-Terrorism, Money Laundering Legislation and OFAC</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Bank is subject to the Bank Secrecy Act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2" w:name="page13"/>
    <w:bookmarkEnd w:id="12"/>
    <w:p>
      <w:pPr>
        <w:jc w:val="both"/>
        <w:ind w:right="20"/>
        <w:spacing w:after="0" w:line="258" w:lineRule="auto"/>
        <w:rPr>
          <w:sz w:val="20"/>
          <w:szCs w:val="20"/>
          <w:color w:val="auto"/>
        </w:rPr>
      </w:pPr>
      <w:r>
        <w:rPr>
          <w:rFonts w:ascii="Arial" w:cs="Arial" w:eastAsia="Arial" w:hAnsi="Arial"/>
          <w:sz w:val="15"/>
          <w:szCs w:val="15"/>
          <w:color w:val="auto"/>
        </w:rPr>
        <w:t>made available to its primary federal regulator. Anti-money laundering rules and policies are developed by a bureau within the Financial Crimes Enforcement Network, but compliance by individual institutions is overseen by its primary federal regulator.</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Federal Home Loan Bank Membership</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the Company is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Dividends and Share Repurchases</w:t>
      </w:r>
    </w:p>
    <w:p>
      <w:pPr>
        <w:spacing w:after="0" w:line="204"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The ability of the Company to pay dividends on or to repurchase its common stock, and the ability of the Bank to pay dividends to the Company, may be restricted due to several factors including: (a) the Maryland General Corporate Law ("MGCL," in the case of the Company), (b) covenants contained in any subordinated debentures and borrowing agreements in existence now or that may exist in the future, (c) restrictions on the ability of the Bank to declare dividends under the National Bank Act and OCC regulations (in the case of the Bank), and (d) the general supervisory authority of the FRB, and the OCC. Our ability to pay dividends to our stockholders or to repurchase shares of our common stock is subject to the restrictions set forth in the MGCL.</w:t>
      </w:r>
    </w:p>
    <w:p>
      <w:pPr>
        <w:spacing w:after="0" w:line="172" w:lineRule="exact"/>
        <w:rPr>
          <w:sz w:val="20"/>
          <w:szCs w:val="20"/>
          <w:color w:val="auto"/>
        </w:rPr>
      </w:pPr>
    </w:p>
    <w:p>
      <w:pPr>
        <w:jc w:val="both"/>
        <w:ind w:firstLine="268"/>
        <w:spacing w:after="0" w:line="179" w:lineRule="exact"/>
        <w:rPr>
          <w:sz w:val="20"/>
          <w:szCs w:val="20"/>
          <w:color w:val="auto"/>
        </w:rPr>
      </w:pPr>
      <w:r>
        <w:rPr>
          <w:rFonts w:ascii="Arial" w:cs="Arial" w:eastAsia="Arial" w:hAnsi="Arial"/>
          <w:sz w:val="15"/>
          <w:szCs w:val="15"/>
          <w:color w:val="auto"/>
        </w:rPr>
        <w:t>Notification to the FRB is required prior to our declaring and paying a cash dividend to our stockholders during any period in which our quarterly and/or cumulative twelve</w:t>
      </w:r>
      <w:r>
        <w:rPr>
          <w:rFonts w:ascii="MS PGothic" w:cs="MS PGothic" w:eastAsia="MS PGothic" w:hAnsi="MS PGothic"/>
          <w:sz w:val="15"/>
          <w:szCs w:val="15"/>
          <w:color w:val="auto"/>
        </w:rPr>
        <w:t>‑</w:t>
      </w:r>
      <w:r>
        <w:rPr>
          <w:rFonts w:ascii="Arial" w:cs="Arial" w:eastAsia="Arial" w:hAnsi="Arial"/>
          <w:sz w:val="15"/>
          <w:szCs w:val="15"/>
          <w:color w:val="auto"/>
        </w:rPr>
        <w:t>month net earnings are insufficient to fund the dividend amount, among other requirements. Under such circumstances, we may not pay a dividend should the FRB object until such time as we receive approval from the FRB or no longer need to provide notice under applicable regulations. In addition, prior approval of the FRB may be required in certain circumstances prior to our repurchasing shares of our common stock.</w:t>
      </w:r>
    </w:p>
    <w:p>
      <w:pPr>
        <w:spacing w:after="0" w:line="179"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In connection with the decision regarding dividends and share repurchase programs, our Board will take into account general business conditions, our financial results, projected cash flows, capital requirements, contractual, legal and regulatory restrictions on the payment of dividends by the Bank to the Company and such other factors as deemed relevant. We can provide no assurance that we will continue to declare dividends on a quarterly basis or otherwise or to repurchase shares of our common stock. The declaration of dividends by the Company is subject to the discretion of our Board.</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Customer Information Privacy and Cybersecurity</w:t>
      </w:r>
    </w:p>
    <w:p>
      <w:pPr>
        <w:spacing w:after="0" w:line="204" w:lineRule="exact"/>
        <w:rPr>
          <w:sz w:val="20"/>
          <w:szCs w:val="20"/>
          <w:color w:val="auto"/>
        </w:rPr>
      </w:pPr>
    </w:p>
    <w:p>
      <w:pPr>
        <w:jc w:val="both"/>
        <w:ind w:firstLine="268"/>
        <w:spacing w:after="0" w:line="179" w:lineRule="exact"/>
        <w:rPr>
          <w:sz w:val="20"/>
          <w:szCs w:val="20"/>
          <w:color w:val="auto"/>
        </w:rPr>
      </w:pPr>
      <w:r>
        <w:rPr>
          <w:rFonts w:ascii="Arial" w:cs="Arial" w:eastAsia="Arial" w:hAnsi="Arial"/>
          <w:sz w:val="15"/>
          <w:szCs w:val="15"/>
          <w:color w:val="auto"/>
        </w:rPr>
        <w:t>The FRB and other bank regulatory agencies have adopted guidelines for safeguarding confidential, personal, non</w:t>
      </w:r>
      <w:r>
        <w:rPr>
          <w:rFonts w:ascii="MS PGothic" w:cs="MS PGothic" w:eastAsia="MS PGothic" w:hAnsi="MS PGothic"/>
          <w:sz w:val="15"/>
          <w:szCs w:val="15"/>
          <w:color w:val="auto"/>
        </w:rPr>
        <w:t>‑</w:t>
      </w:r>
      <w:r>
        <w:rPr>
          <w:rFonts w:ascii="Arial" w:cs="Arial" w:eastAsia="Arial" w:hAnsi="Arial"/>
          <w:sz w:val="15"/>
          <w:szCs w:val="15"/>
          <w:color w:val="auto"/>
        </w:rPr>
        <w:t>public customer information. These guidelines require each financial institution, under the supervision and ongoing oversight of its board of directors or an appropriate committee thereof, to create, implement, and maintain a comprehensive written information security program designed to ensure the security and confidentiality of customer information, protect against any anticipated threats or hazard to the security or integrity of such information, and protect against unauthorized access to or use of such information that could result in substantial harm or inconvenience to any customer. We have adopted a customer information security program to comply with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3" w:name="page14"/>
    <w:bookmarkEnd w:id="13"/>
    <w:p>
      <w:pPr>
        <w:jc w:val="both"/>
        <w:ind w:firstLine="268"/>
        <w:spacing w:after="0" w:line="179" w:lineRule="exact"/>
        <w:rPr>
          <w:sz w:val="20"/>
          <w:szCs w:val="20"/>
          <w:color w:val="auto"/>
        </w:rPr>
      </w:pPr>
      <w:r>
        <w:rPr>
          <w:rFonts w:ascii="Arial" w:cs="Arial" w:eastAsia="Arial" w:hAnsi="Arial"/>
          <w:sz w:val="15"/>
          <w:szCs w:val="15"/>
          <w:color w:val="auto"/>
        </w:rPr>
        <w:t>The Gramm</w:t>
      </w:r>
      <w:r>
        <w:rPr>
          <w:rFonts w:ascii="MS PGothic" w:cs="MS PGothic" w:eastAsia="MS PGothic" w:hAnsi="MS PGothic"/>
          <w:sz w:val="15"/>
          <w:szCs w:val="15"/>
          <w:color w:val="auto"/>
        </w:rPr>
        <w:t>‑</w:t>
      </w:r>
      <w:r>
        <w:rPr>
          <w:rFonts w:ascii="Arial" w:cs="Arial" w:eastAsia="Arial" w:hAnsi="Arial"/>
          <w:sz w:val="15"/>
          <w:szCs w:val="15"/>
          <w:color w:val="auto"/>
        </w:rPr>
        <w:t>Leach</w:t>
      </w:r>
      <w:r>
        <w:rPr>
          <w:rFonts w:ascii="MS PGothic" w:cs="MS PGothic" w:eastAsia="MS PGothic" w:hAnsi="MS PGothic"/>
          <w:sz w:val="15"/>
          <w:szCs w:val="15"/>
          <w:color w:val="auto"/>
        </w:rPr>
        <w:t>‑</w:t>
      </w:r>
      <w:r>
        <w:rPr>
          <w:rFonts w:ascii="Arial" w:cs="Arial" w:eastAsia="Arial" w:hAnsi="Arial"/>
          <w:sz w:val="15"/>
          <w:szCs w:val="15"/>
          <w:color w:val="auto"/>
        </w:rPr>
        <w:t>Bliley Act of 1999 (the “GLBA”) requires financial institutions to implement policies and procedures regarding the disclosure of non-public personal information about consumers to non</w:t>
      </w:r>
      <w:r>
        <w:rPr>
          <w:rFonts w:ascii="MS PGothic" w:cs="MS PGothic" w:eastAsia="MS PGothic" w:hAnsi="MS PGothic"/>
          <w:sz w:val="15"/>
          <w:szCs w:val="15"/>
          <w:color w:val="auto"/>
        </w:rPr>
        <w:t>‑</w:t>
      </w:r>
      <w:r>
        <w:rPr>
          <w:rFonts w:ascii="Arial" w:cs="Arial" w:eastAsia="Arial" w:hAnsi="Arial"/>
          <w:sz w:val="15"/>
          <w:szCs w:val="15"/>
          <w:color w:val="auto"/>
        </w:rPr>
        <w:t>affiliated third parties. The GLBA requires disclosures to consumers on policies and procedures regarding the disclosure of such non-public personal information and, except as otherwise required by law, prohibits disclosing such information except as provided in the Bank’s policies and procedures. We have implemented privacy policies addressing these restrictions that are distributed regularly to all existing and new customers of the Bank.</w:t>
      </w:r>
    </w:p>
    <w:p>
      <w:pPr>
        <w:spacing w:after="0" w:line="179"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In March 2015, federal regulators issued two related statements regarding cybersecurity. One statement indicates that financial institutions should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The other statement indicates that a financial institution’s management is expected to maintain sufficient business continuity planning processes to ensure the rapid recovery, resumption and maintenance of the institution’s operations after a cyber-attack involving destructive malware. A financial institution is also expected to develop appropriate processes to enable recovery of data and business operations and address rebuilding network capabilities and restoring data if the institution or its critical service providers fall victim to this type of cyber-attack. If we fail to observe the regulatory guidance, we could be subject to various regulatory sanctions, including financial penalties.</w:t>
      </w:r>
    </w:p>
    <w:p>
      <w:pPr>
        <w:spacing w:after="0" w:line="175"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In November 2021, the federal bank regulatory agencies issued a joint rule establishing computer-security incident notification requirements for banking organizations and their service providers. This rule requires new notification requirements where a banking organization experiences a computer-security incident.</w:t>
      </w:r>
    </w:p>
    <w:p>
      <w:pPr>
        <w:spacing w:after="0" w:line="166"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State regulators have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and data privacy requirements.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Deposit Insurance</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Bank is a national banking association, regulated by the OCC. The Bank accepts deposits, and those deposits have the benefit of FDIC insurance up to the applicable limits established by law. The applicable statutory limit for FDIC insurance for most types of accounts is $250,000.</w:t>
      </w:r>
    </w:p>
    <w:p>
      <w:pPr>
        <w:spacing w:after="0" w:line="166"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Under the FDIC's risk-based deposit premium assessment system, the assessment rates for an insured depository institution are determined by an assessment rate calculator, which is based on a number of elements that measure the risk each institution poses to the Deposit Insurance Fund. The calculated assessment rate is applied to average consolidated assets less the average tangible equity of the insured depository institution during the assessment period to determine the dollar amount of the quarterly assessment. Under the current system, premiums are assessed quarterly and could increase if, for example, criticized loans and leases and/or other higher risk assets increase or balance sheet liquidity decreases.</w:t>
      </w:r>
    </w:p>
    <w:p>
      <w:pPr>
        <w:spacing w:after="0" w:line="172"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Under the Federal Deposit Insurance Act, the FDIC may terminate deposit insurance upon a finding that the institution has engaged in unsafe and unsound practices, is in an unsafe or unsound condition to continue operations, or has violated any applicable law, regulation, rule, order or condition imposed by the FDIC. In the event any insured depository institution, such as the Bank, is placed into FDIC receivership due to the termination of deposit insurance, or for any other reason, and the institution is sold or liquidated, the chances of the institution's parent BHC's shareholders recovering any value is very unlikely.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4" w:name="page15"/>
    <w:bookmarkEnd w:id="14"/>
    <w:p>
      <w:pPr>
        <w:spacing w:after="0" w:line="31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1A. RISK FACTORS.</w:t>
      </w:r>
    </w:p>
    <w:p>
      <w:pPr>
        <w:spacing w:after="0" w:line="210" w:lineRule="exact"/>
        <w:rPr>
          <w:sz w:val="20"/>
          <w:szCs w:val="20"/>
          <w:color w:val="auto"/>
        </w:rPr>
      </w:pPr>
    </w:p>
    <w:p>
      <w:pPr>
        <w:jc w:val="both"/>
        <w:ind w:firstLine="268"/>
        <w:spacing w:after="0" w:line="259" w:lineRule="auto"/>
        <w:rPr>
          <w:sz w:val="20"/>
          <w:szCs w:val="20"/>
          <w:color w:val="auto"/>
        </w:rPr>
      </w:pPr>
      <w:r>
        <w:rPr>
          <w:rFonts w:ascii="Arial" w:cs="Arial" w:eastAsia="Arial" w:hAnsi="Arial"/>
          <w:sz w:val="15"/>
          <w:szCs w:val="15"/>
          <w:i w:val="1"/>
          <w:iCs w:val="1"/>
          <w:color w:val="auto"/>
        </w:rPr>
        <w:t>Ownership of our common stock involves certain risks. The risks and uncertainties described below are not the only ones we face. You should carefully consider the risks described below, as well as all other information contained in this Annual Report on Form 10-K. Additional risks and uncertainties not presently known to us or that we currently deem immaterial may also impair our business operations. If any of these risks actually occurs, our business, financial condition or results of operations could be materially, adversely affected.</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Risks Related to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ongoing COVID-19 pandemic and measures taken to limit its spread could adversely impact our business, financial condition, and results of operations.</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COVID-19 pandemic has negatively impacted economic and commercial activity and financial markets, both globally and within the United States. Measures to contain the virus, such as stay-at-home orders, travel restrictions, closure of non-essential businesses, occupancy limitations and social distancing requirements, resulted in significant business and operational disruptions, including business closures, and mass layoffs and furloughs. Though most restrictions have generally been lifted or eased and consumer and business spending and unemployment levels have improved significantly, the economic recovery has been uneven, with industries such as travel, entertainment, hospitality and food service lagging, and, as of December 31, 2021, many companies have not returned workers to their offices. Supply chain disruptions precipitated by the abrupt economic slowdown have contributed to increased costs, lost revenue, and inflationary pressures for many segments of the economy. Further, a significant number of workers left their jobs during the COVID-19 pandemic, leading to wage inflation in many industries as businesses attempt to fill vacant positions.</w:t>
      </w:r>
    </w:p>
    <w:p>
      <w:pPr>
        <w:spacing w:after="0" w:line="17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United States government has taken significant steps to attempt to mitigate the economic effects of the pandemic. Congress appropriated approximately $4.7 trillion of fiscal stimulus in response to the COVID-19 pandemic pursuant to the Coronavirus Aid, Relief, and Economic Security Act, the American Rescue Plan Act and other supplemental legislation. In March 2020, the Federal Open Market Committee of the Federal Reserve reduced the target range for the federal funds rate to between 0.0% and 0.25%, compared to the previous target of between 1.00% and 1.25%. The Federal Reserve also took several actions to support financial markets, enable banks to continue to lend through the pandemic, and support businesses of all sizes. Whether the economic stimulus will have a lasting positive effect or whether it will contribute to higher inflation or other economic ill effects is unknown.</w:t>
      </w:r>
    </w:p>
    <w:p>
      <w:pPr>
        <w:spacing w:after="0" w:line="175"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Several vaccines for COVID-19 have been developed and widely distributed in the United States. However, it is unknown how effective they will be long-term or whether variants of the virus will develop against which the vaccines are less effective.</w:t>
      </w:r>
    </w:p>
    <w:p>
      <w:pPr>
        <w:spacing w:after="0" w:line="166"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The extent to which the COVID-19 pandemic will ultimately affect our business is unknown and will depend, among other things, on the duration of the pandemic, the actions undertaken by national, state and local governments and health officials to contain the virus or mitigate its effects, the safety and effectiveness of the vaccines that have been developed and the extent to which they are accepted by the public, the development of effective therapies, the permanence of operating conditions that developed during the pandemic, and how quickly and to what extent economic conditions improve and normal business and operating conditions resume. The longer the pandemic persists, the more pronounced the ultimate effects are likely to be.</w:t>
      </w:r>
    </w:p>
    <w:p>
      <w:pPr>
        <w:spacing w:after="0" w:line="172"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continuation of the COVID-19 pandemic and the efforts to contain the virus, including effects of economic stimulus, and the exhaustion or expiration of stimulus benefits,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5" w:name="page16"/>
    <w:bookmarkEnd w:id="15"/>
    <w:p>
      <w:pPr>
        <w:ind w:left="280"/>
        <w:spacing w:after="0"/>
        <w:rPr>
          <w:sz w:val="20"/>
          <w:szCs w:val="20"/>
          <w:color w:val="auto"/>
        </w:rPr>
      </w:pPr>
      <w:r>
        <w:rPr>
          <w:rFonts w:ascii="Arial" w:cs="Arial" w:eastAsia="Arial" w:hAnsi="Arial"/>
          <w:sz w:val="15"/>
          <w:szCs w:val="15"/>
          <w:color w:val="auto"/>
        </w:rPr>
        <w:t>•reduce the demand for loans and other financial services;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•result in increases in loan delinquencies, problem assets, and foreclosures;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•cause the value of collateral for loans, especially real estate, to decline in value;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•reduce our ability to assess the financial health of our customers’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•reduce the availability and productivity of our employees;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•cause our vendors and counterparties to be unable to meet existing obligations to us;</w:t>
      </w:r>
    </w:p>
    <w:p>
      <w:pPr>
        <w:spacing w:after="0" w:line="186" w:lineRule="exact"/>
        <w:rPr>
          <w:sz w:val="20"/>
          <w:szCs w:val="20"/>
          <w:color w:val="auto"/>
        </w:rPr>
      </w:pPr>
    </w:p>
    <w:p>
      <w:pPr>
        <w:ind w:left="280" w:right="2800"/>
        <w:spacing w:after="0" w:line="498" w:lineRule="auto"/>
        <w:rPr>
          <w:sz w:val="20"/>
          <w:szCs w:val="20"/>
          <w:color w:val="auto"/>
        </w:rPr>
      </w:pPr>
      <w:r>
        <w:rPr>
          <w:rFonts w:ascii="Arial" w:cs="Arial" w:eastAsia="Arial" w:hAnsi="Arial"/>
          <w:sz w:val="15"/>
          <w:szCs w:val="15"/>
          <w:color w:val="auto"/>
        </w:rPr>
        <w:t>•negatively impact the business and operations of third-party service providers that perform critical services for our business; •cause the value of our securities portfolio to decline; and</w:t>
      </w:r>
    </w:p>
    <w:p>
      <w:pPr>
        <w:ind w:left="280"/>
        <w:spacing w:after="0"/>
        <w:rPr>
          <w:sz w:val="20"/>
          <w:szCs w:val="20"/>
          <w:color w:val="auto"/>
        </w:rPr>
      </w:pPr>
      <w:r>
        <w:rPr>
          <w:rFonts w:ascii="Arial" w:cs="Arial" w:eastAsia="Arial" w:hAnsi="Arial"/>
          <w:sz w:val="15"/>
          <w:szCs w:val="15"/>
          <w:color w:val="auto"/>
        </w:rPr>
        <w:t>•cause the net worth and liquidity of loan guarantors to decline, impairing their ability to honor commitments to us.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Any one or a combination of the above events could have a material, adverse effect on our business, financial condition, and results of operations.</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As a business operating in the financial services industry, our business and operations may be adversely affected in numerous and complex ways by weak economic conditions.</w:t>
      </w:r>
    </w:p>
    <w:p>
      <w:pPr>
        <w:spacing w:after="0" w:line="148" w:lineRule="exact"/>
        <w:rPr>
          <w:sz w:val="20"/>
          <w:szCs w:val="20"/>
          <w:color w:val="auto"/>
        </w:rPr>
      </w:pPr>
    </w:p>
    <w:p>
      <w:pPr>
        <w:jc w:val="both"/>
        <w:ind w:right="20" w:firstLine="268"/>
        <w:spacing w:after="0" w:line="252" w:lineRule="auto"/>
        <w:rPr>
          <w:sz w:val="20"/>
          <w:szCs w:val="20"/>
          <w:color w:val="auto"/>
        </w:rPr>
      </w:pPr>
      <w:r>
        <w:rPr>
          <w:rFonts w:ascii="Arial" w:cs="Arial" w:eastAsia="Arial" w:hAnsi="Arial"/>
          <w:sz w:val="15"/>
          <w:szCs w:val="15"/>
          <w:color w:val="auto"/>
        </w:rPr>
        <w:t>Our performance could be negatively impacted to the extent there is deterioration in business and economic conditions, including persistent inflation, supply chain issues or labor shortages, which have direct or indirect impacts on us, our customers and/or our counterparties. All of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Our commercial business and operations are concentrated in the Washington, D.C. and Baltimore metropolitan areas and we are more sensitive than our more geographically diversified competitors to adverse changes in the local economy.</w:t>
      </w:r>
    </w:p>
    <w:p>
      <w:pPr>
        <w:spacing w:after="0" w:line="148"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As of December 31, 2021, approximately 91.0% of our loans held for investment (measured by dollar amount) were made to borrowers who live or conduct business in the Washington, D.C. and Baltimore metropolitan areas. Therefore, our success depends upon the general economic conditions in this area, which we cannot predict with certainty. A downturn in the local economy generally could make it more difficult for our borrowers to repay their loans and may lead to loan losses that are not offset by operations in other markets; it may also reduce the ability of our depositors to make or maintain deposits with us. For these reasons, any regional or local economic downturn that affects the Washington, D.C. and Baltimore metropolitan areas, or existing or prospective borrowers or depositors in the Washington, D.C. and Baltimore metropolitan areas could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customers and businesses in the Washington, D.C. metropolitan area may be adversely impacted as a result of changes in government spending.</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Washington, D.C. metropolitan area is characterized by a significant number of businesses that are federal government contractors or subcontractors, or which depend on such businesses for a significant portion of their revenues. The impact of a decline in federal government spending,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15"/>
          <w:szCs w:val="15"/>
          <w:color w:val="auto"/>
        </w:rPr>
        <w:t>reallocation of government spending to different industries or different areas of the country or a delay in payments to such contractors could have a ripple effect. Temporary layoffs, staffing freezes, salary reductions or furloughs of government employees or government contractors could have adverse impacts on other businesses in the Company’s market and the general economy of the greater Washington, D.C. metropolitan area, and may indirectly lead to a loss of revenues by the Company’s customers, including vendors and lessors to the federal government and government contractors or to their employees, as well as a wide variety of commercial and retail businesses and the local housing market. Accordingly, such potential federal government activities could lead to increases in past due loans, nonperforming loans, loan loss reserves and charge-offs, and to a corresponding decline in liquidity.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measure and limit our credit risk adequately, which could lead to unexpected losses.</w:t>
      </w:r>
    </w:p>
    <w:p>
      <w:pPr>
        <w:spacing w:after="0" w:line="204"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The primary component of our business involves making loans to customers. The business of lending is inherently risky, including risks that the principal of or interest on any loan will not be repaid in a timely manner or at all or that the value of any collateral supporting the loan will be insufficient to cover our outstanding exposure. A failure to measure and limit the credit risk associated with our loan portfolio effectively could lead to unexpected losses and have an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allowance for loan losses may prove to be insufficient to absorb potential losses in our loan portfolio.</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We maintain an allowance for loan losses that represents management’s judgment of probable losses and risks inherent in our loan portfolio.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allowance for loan losses is inherently highly subjective and requires management to make significant estimates of and assumptions regarding current credit risks and future trends, all of which may undergo material changes. If we are required to materially increase our level of allowance for loan losses for any reason, such increase could adversely affect our business, financial condition and results of operations.</w:t>
      </w:r>
    </w:p>
    <w:p>
      <w:pPr>
        <w:spacing w:after="0" w:line="157"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b w:val="1"/>
          <w:bCs w:val="1"/>
          <w:i w:val="1"/>
          <w:iCs w:val="1"/>
          <w:color w:val="auto"/>
        </w:rPr>
        <w:t>The small- to medium-sized businesses that we lend to may have fewer resources to weather adverse business developments, which may impair our borrowers’ ability to repay loans.</w:t>
      </w:r>
    </w:p>
    <w:p>
      <w:pPr>
        <w:spacing w:after="0" w:line="148"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If our borrowers are unable to repay their loans, our business, financial condition and results of operations could be adversely affected.</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Our commercial real estate and real estate construction loan portfolio exposes us to credit risks that may be greater than the risks related to other types of loans.</w:t>
      </w:r>
    </w:p>
    <w:p>
      <w:pPr>
        <w:spacing w:after="0" w:line="148"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These loans typically involve repayment that depends upon income generated, or expected to be generated, by the property securing the loan in amounts sufficient to cover operating expenses and debt service. Unexpected deterioration in the credit quality of our commercial real estate loan portfolio could require us to increase our allowance for loan losses, which would reduce our profitability and could have an adverse effect on our business, financial condition and results of operations.</w:t>
      </w:r>
    </w:p>
    <w:p>
      <w:pPr>
        <w:spacing w:after="0" w:line="171"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Construction loans also involve risks because loan funds are secured by a project under construction and the project is of uncertain value prior to its completion. It can be difficult to accurately evaluate the total funds required to complete a project, and construction lending often involves the disbursement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7" w:name="page18"/>
    <w:bookmarkEnd w:id="17"/>
    <w:p>
      <w:pPr>
        <w:jc w:val="both"/>
        <w:spacing w:after="0" w:line="252" w:lineRule="auto"/>
        <w:rPr>
          <w:sz w:val="20"/>
          <w:szCs w:val="20"/>
          <w:color w:val="auto"/>
        </w:rPr>
      </w:pPr>
      <w:r>
        <w:rPr>
          <w:rFonts w:ascii="Arial" w:cs="Arial" w:eastAsia="Arial" w:hAnsi="Arial"/>
          <w:sz w:val="15"/>
          <w:szCs w:val="15"/>
          <w:color w:val="auto"/>
        </w:rPr>
        <w:t>substantial funds with repayment dependent, in part, on the success of the ultimate project rather than the ability of a borrower or guarantor to repay the loan. If we are forced to foreclose on a project prior to completion, we may be unable to recover the entire unpaid portion of the loan. In addition, we may be required to fund additional amounts to complete a project, incur taxes, maintenance and compliance costs for a foreclosed property and may have to hold the property for an indeterminate period of time, any of which could adversely affect our business, financial condition and results of operations.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Because a significant portion of our loan portfolio held for investment is comprised of real estate loans, negative changes in the economy affecting real estate values and liquidity could impair the value of collateral securing our real estate loans and result in loan and other losses.</w:t>
      </w:r>
    </w:p>
    <w:p>
      <w:pPr>
        <w:spacing w:after="0" w:line="148"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Adverse developments affecting real estate values and the liquidity of real estate in our primary markets could increase the credit risk associated with our loan portfolio, and could result in losses that adversely affect credit quality, financial condition and results of operations. If real estate values decline, it is more likely that we would be required to increase our allowance for loan losses, which would adversely affect our business, financial condition and results of operations.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A portion of our loan portfolio is comprised of commercial loans secured by receivables, inventory, equipment or other commercial collateral, the deterioration in value of which could expose us to credit losses.</w:t>
      </w:r>
    </w:p>
    <w:p>
      <w:pPr>
        <w:spacing w:after="0" w:line="148"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In general, these loans are collateralized by general business assets, including, among other things, accounts receivable, inventory and equipment, and most are backed by a personal guaranty of the borrower or principal. Significant adverse changes in the economy or local market conditions in which our commercial lending customers operate could cause rapid declines in loan collectability and the values associated with general business assets resulting in inadequate collateral coverage that may expose us to credit losses and could adversely affect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System failure or cybersecurity breaches of our network security could subject us to increased operating costs as well as litigation and other potential losses.</w:t>
      </w:r>
    </w:p>
    <w:p>
      <w:pPr>
        <w:spacing w:after="0" w:line="215"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Our computer systems and network infrastructure could be vulnerable to hardware and cybersecurity issues. Any damage or failure that causes an interruption in our operations could have an adverse effect on our financial condition and results of operations.</w:t>
      </w:r>
    </w:p>
    <w:p>
      <w:pPr>
        <w:spacing w:after="0" w:line="166" w:lineRule="exact"/>
        <w:rPr>
          <w:sz w:val="20"/>
          <w:szCs w:val="20"/>
          <w:color w:val="auto"/>
        </w:rPr>
      </w:pPr>
    </w:p>
    <w:p>
      <w:pPr>
        <w:jc w:val="both"/>
        <w:ind w:firstLine="268"/>
        <w:spacing w:after="0" w:line="269" w:lineRule="auto"/>
        <w:rPr>
          <w:sz w:val="20"/>
          <w:szCs w:val="20"/>
          <w:color w:val="auto"/>
        </w:rPr>
      </w:pPr>
      <w:r>
        <w:rPr>
          <w:rFonts w:ascii="Arial" w:cs="Arial" w:eastAsia="Arial" w:hAnsi="Arial"/>
          <w:sz w:val="14"/>
          <w:szCs w:val="14"/>
          <w:color w:val="auto"/>
        </w:rPr>
        <w:t>Our operations are also dependent upon our ability to protect our computer systems and network infrastructure, including our digital, mobile and internet banking activities, against damage from physical break-ins, cybersecurity breaches and other disruptive problems.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an adverse effect on our business, financial condition and results of operations. In addition, we may need to take our systems off-line if they become infected with malware or a computer virus or as a result of another form of cyber-attack. In the event that backup systems are utilized, they may not process data as quickly as our primary systems and some data might not have been saved to backup systems, potentially resulting in a temporary or permanent loss of such data. In addition, our ability to implement backup systems and other safeguards with respect to third-party systems is more limited than with respect to our own systems. We frequently update our systems to support our operations and growth and to remain compliant with applicable laws, rules, and regulations. This updating entails significant costs and creates risks associated with implementing new systems and integrating them with existing ones, including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8" w:name="page19"/>
    <w:bookmarkEnd w:id="18"/>
    <w:p>
      <w:pPr>
        <w:jc w:val="both"/>
        <w:spacing w:after="0" w:line="258" w:lineRule="auto"/>
        <w:rPr>
          <w:sz w:val="20"/>
          <w:szCs w:val="20"/>
          <w:color w:val="auto"/>
        </w:rPr>
      </w:pPr>
      <w:r>
        <w:rPr>
          <w:rFonts w:ascii="Arial" w:cs="Arial" w:eastAsia="Arial" w:hAnsi="Arial"/>
          <w:sz w:val="15"/>
          <w:szCs w:val="15"/>
          <w:color w:val="auto"/>
        </w:rPr>
        <w:t>interruptions. Implementation and testing of controls related to our computer systems, security monitoring, and retaining and training personnel required to operate our systems also entail significant costs.</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We face security risks, including denial of service attacks, hacking, malware intrusion and data corruption attempts, and identity theft that could result in the disclosure of confidential information, adversely affect our business or reputation, and create significant legal and financial exposure.</w:t>
      </w:r>
    </w:p>
    <w:p>
      <w:pPr>
        <w:spacing w:after="0" w:line="148"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Our business relies on the secure processing, transmission, storage and retrieval of confidential, proprietary, and other information in our computer and data management systems and networks, and in the computer and data management systems and networks of third parties. In addition, to access our network, products, and services, our customers and other third parties may use personal mobile devices or computing devices that are outside of our network environment and are subject to their own cybersecurity risks.</w:t>
      </w:r>
    </w:p>
    <w:p>
      <w:pPr>
        <w:spacing w:after="0" w:line="171" w:lineRule="exact"/>
        <w:rPr>
          <w:sz w:val="20"/>
          <w:szCs w:val="20"/>
          <w:color w:val="auto"/>
        </w:rPr>
      </w:pPr>
    </w:p>
    <w:p>
      <w:pPr>
        <w:jc w:val="both"/>
        <w:ind w:firstLine="268"/>
        <w:spacing w:after="0" w:line="270" w:lineRule="auto"/>
        <w:rPr>
          <w:sz w:val="20"/>
          <w:szCs w:val="20"/>
          <w:color w:val="auto"/>
        </w:rPr>
      </w:pPr>
      <w:r>
        <w:rPr>
          <w:rFonts w:ascii="Arial" w:cs="Arial" w:eastAsia="Arial" w:hAnsi="Arial"/>
          <w:sz w:val="14"/>
          <w:szCs w:val="14"/>
          <w:color w:val="auto"/>
        </w:rPr>
        <w:t>We, our customers, regulators, and other third parties, including other financial services institutions and companies engaged in data processing, have been subject to, and are likely to continue to be the target of, cyber-attacks. These cyber-attacks include computer viruses, malicious or destructive code, phishing attacks, denial of service or information, ransomware, improper access by employees or vendors, attacks on personal email of employees, ransom demands to not exploit security vulnerabilities in our systems or the systems of third parties or other security breaches that could result in the unauthorized release, gathering, monitoring, misuse, loss, or destruction of confidential, proprietary, and other information of ours, our employees, our customers, or of third parties, damage our systems or otherwise materially disrupt our or our customers’ or other third parties’ network access or business operations. As cyber-threats continue to evolve, we may be required to expend significant additional resources to continue to modify or enhance our protective measures or to investigate and remediate any information security vulnerabilities or incidents. Despite efforts to ensure the integrity of our systems and implement controls, processes, policies and other protective measures, we may not be able to anticipate all security breaches, nor may we be able to implement sufficient preventive measures against such security breaches, which may result in material losses or consequences for us.</w:t>
      </w:r>
    </w:p>
    <w:p>
      <w:pPr>
        <w:spacing w:after="0" w:line="160"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Cybersecurity risks for banking organizations have significantly increased in recent years in part because of the proliferation of new technologies, and the use of the internet and telecommunications technologies to conduct financial transactions. Even the most advanced internal control environment may be vulnerable to compromise. The techniques used by cyber criminals change frequently, may not be recognized until launched, and may not be recognized until well after a breach has occurred. The speed at which new vulnerabilities are discovered and exploited often before security patches are published continues to rise. The risk of a security breach caused by a cyber-attack on a vendor or by unauthorized vendor access has also increased in recent years.</w:t>
      </w:r>
    </w:p>
    <w:p>
      <w:pPr>
        <w:spacing w:after="0" w:line="172" w:lineRule="exact"/>
        <w:rPr>
          <w:sz w:val="20"/>
          <w:szCs w:val="20"/>
          <w:color w:val="auto"/>
        </w:rPr>
      </w:pPr>
    </w:p>
    <w:p>
      <w:pPr>
        <w:jc w:val="both"/>
        <w:ind w:firstLine="268"/>
        <w:spacing w:after="0" w:line="270" w:lineRule="auto"/>
        <w:rPr>
          <w:sz w:val="20"/>
          <w:szCs w:val="20"/>
          <w:color w:val="auto"/>
        </w:rPr>
      </w:pPr>
      <w:r>
        <w:rPr>
          <w:rFonts w:ascii="Arial" w:cs="Arial" w:eastAsia="Arial" w:hAnsi="Arial"/>
          <w:sz w:val="14"/>
          <w:szCs w:val="14"/>
          <w:color w:val="auto"/>
        </w:rPr>
        <w:t>Cyber-attacks or other security breaches, whether directed at us or third parties, may result in a material loss or have material consequences. Furthermore, the public perception that a cyber-attack on our systems has been successful, whether or not this perception is correct, may damage our reputation with customers and third parties with whom we do business. Hacking of personal information and identity theft risks, in particular, could cause serious reputational harm. A successful penetration or circumvention of system security could cause us serious negative consequences, including our loss of customers and business opportunities, costs associated with maintaining business relationships after an attack or breach; significant business disruption to our operations and business, misappropriation, exposure, or destruction of our confidential information, intellectual property, funds, and/or those of our customers; or damage to our or our customers’ and/or third parties’ computers or systems, and could result in a violation of applicable privacy and other laws, litigation exposure, regulatory fines, penalties or intervention, loss of confidence in our security measures, reputational damage, reimbursement or other compensatory costs, additional compliance costs, and could adversely impact our results of operations, liquidity and financial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9" w:name="page20"/>
    <w:bookmarkEnd w:id="19"/>
    <w:p>
      <w:pPr>
        <w:spacing w:after="0"/>
        <w:rPr>
          <w:sz w:val="20"/>
          <w:szCs w:val="20"/>
          <w:color w:val="auto"/>
        </w:rPr>
      </w:pPr>
      <w:r>
        <w:rPr>
          <w:rFonts w:ascii="Arial" w:cs="Arial" w:eastAsia="Arial" w:hAnsi="Arial"/>
          <w:sz w:val="15"/>
          <w:szCs w:val="15"/>
          <w:color w:val="auto"/>
        </w:rPr>
        <w:t>condition. In addition, we may not have adequate insurance coverage to compensate for losses from a cybersecurity event.</w:t>
      </w:r>
    </w:p>
    <w:p>
      <w:pPr>
        <w:spacing w:after="0" w:line="168" w:lineRule="exact"/>
        <w:rPr>
          <w:sz w:val="20"/>
          <w:szCs w:val="20"/>
          <w:color w:val="auto"/>
        </w:rPr>
      </w:pPr>
    </w:p>
    <w:p>
      <w:pPr>
        <w:ind w:right="420"/>
        <w:spacing w:after="0" w:line="283" w:lineRule="auto"/>
        <w:rPr>
          <w:sz w:val="20"/>
          <w:szCs w:val="20"/>
          <w:color w:val="auto"/>
        </w:rPr>
      </w:pPr>
      <w:r>
        <w:rPr>
          <w:rFonts w:ascii="Arial" w:cs="Arial" w:eastAsia="Arial" w:hAnsi="Arial"/>
          <w:sz w:val="15"/>
          <w:szCs w:val="15"/>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148"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recover the full amount of any remaining indebtedness when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combined and consolidated financial statements may not reflect the correct value of our OREO, and our allowance for loan losses may not reflect accurate loan impairments. This could have an adverse effect on our business, financial condition or results of operations.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We engage in lending secured by real estate and may be forced to foreclose on the collateral and own the underlying real estate, subjecting us to the costs and potential risks associated with the ownership of the real property, or consumer protection initiatives or changes in state or federal law may substantially raise the cost of foreclosure or prevent us from foreclosing at all.</w:t>
      </w:r>
    </w:p>
    <w:p>
      <w:pPr>
        <w:spacing w:after="0" w:line="161"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Our inability to manage the amount of costs or size of the risks associated with the ownership of real estate, or write-downs in the value of OREO, could have an adverse effect on our business, financial condition and results of operations.</w:t>
      </w:r>
    </w:p>
    <w:p>
      <w:pPr>
        <w:spacing w:after="0" w:line="17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Additionally, consumer protection initiatives or changes in state or federal law may substantially increase the time and expense associated with the foreclosure process or prevent us from foreclosing at all. If new state or federal laws or regulations are ultimately enacted that significantly raise the cost of foreclosure or raise outright barriers, such could have an adverse effect on our business, financial condition and results of operation.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lack of liquidity could impair our ability to fund operations and adversely impact our business, financial condition and results of operations.</w:t>
      </w:r>
    </w:p>
    <w:p>
      <w:pPr>
        <w:spacing w:after="0" w:line="204"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 An inability to raise funds through deposits, borrowings, sales of our investment securities, sales of loans or other sources could adversely impact our ability to originate loans, invest in securities, meet our expenses or fulfill obligations such as repaying our borrowings or meeting deposit withdrawal demands, any of which could, in turn,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several large depositor relationships, the loss of which could force us to fund our business through more expensive and less stable sources.</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As of December 31, 2021, our 10 largest non-brokered depositors accounted for $362.9 million in deposits, or approximately 20.2% of our total deposits. Withdrawals of deposits by any one of our largest depositors could force us to rely more heavily on borrowings and other sources of funding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5"/>
          <w:szCs w:val="15"/>
          <w:color w:val="auto"/>
        </w:rPr>
        <w:t>business, adversely affecting our net interest margin and results of operations. We may also be forced, as a result of any withdrawal of deposits, to rely more heavily on other, potentially more expensive and less stable funding sources. Consequently, the occurrence of any of these events could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mortgage banking division may not continue to provide us with significant noninterest income.</w:t>
      </w:r>
    </w:p>
    <w:p>
      <w:pPr>
        <w:spacing w:after="0" w:line="204"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The residential mortgage business is highly competitive and highly susceptible to changes in market interest rates, consumer confidence levels, employment statistics, the capacity and willingness of secondary market purchasers to acquire and hold or securitize loans, and other factors beyond our control. Additionally, in many respects, the traditional mortgage origination business is relationship-based, and dependent on the services of individual mortgage loan officers. The loss of services of one or more loan officers could have the effect of reducing the level of our mortgage production, or the rate of growth of production. As a result of these factors, we cannot be certain that we will be able to maintain or increase the volume or percentage of revenue or net income produced by the residential mortgage business.</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We earn income by originating residential mortgage loans for resale in the secondary mortgage market, and disruptions in that market could reduce our operating income.</w:t>
      </w:r>
    </w:p>
    <w:p>
      <w:pPr>
        <w:spacing w:after="0" w:line="148"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Historically, as part of our focus on loan origination and sales activities, we enter into formal commitments and informal agreements with larger banking companies and mortgage investors earning the Bank income from these sales. Under these arrangements, we originate single-family mortgages that are priced and underwritten to conform to previously agreed criteria before loan funding and are delivered to the investor shortly after funding.</w:t>
      </w:r>
    </w:p>
    <w:p>
      <w:pPr>
        <w:spacing w:after="0" w:line="171"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Disruptions in the secondary market may not only affect us but also the ability and desire of mortgage investors and other banks to purchase residential mortgage loans that we originate. As a result, we may not be able to maintain or grow the income we receive from originating and reselling residential mortgage loans. Additionally, we hold certain mortgage loans that we originated for sale, increasing our exposure to interest rate risk and adverse changes in the value of the residential real estate that serves as collateral for the mortgage loan prior to sale.</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Our financial condition, earnings and asset quality could be adversely affected if we are required to repurchase loans originated for sale by our mortgage banking division.</w:t>
      </w:r>
    </w:p>
    <w:p>
      <w:pPr>
        <w:spacing w:after="0" w:line="148"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The Bank originates residential mortgage loans for sale to secondary market investors, subject to contractually specified and limited recourse provisions. Because the loans are intended to be originated within investor guidelines, using designated automated underwriting and product-specific requirements as part of the loan application, the loans sold have a limited recourse provision. Should such loan repurchases become a material issue, our earnings and asset quality could be adversely impacted, which could adversely impact our business,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Delinquencies and credit losses from our OpenSky</w:t>
      </w:r>
      <w:r>
        <w:rPr>
          <w:rFonts w:ascii="Arial" w:cs="Arial" w:eastAsia="Arial" w:hAnsi="Arial"/>
          <w:sz w:val="19"/>
          <w:szCs w:val="19"/>
          <w:b w:val="1"/>
          <w:bCs w:val="1"/>
          <w:i w:val="1"/>
          <w:iCs w:val="1"/>
          <w:color w:val="auto"/>
          <w:vertAlign w:val="superscript"/>
        </w:rPr>
        <w:t>®</w:t>
      </w:r>
      <w:r>
        <w:rPr>
          <w:rFonts w:ascii="Arial" w:cs="Arial" w:eastAsia="Arial" w:hAnsi="Arial"/>
          <w:sz w:val="15"/>
          <w:szCs w:val="15"/>
          <w:b w:val="1"/>
          <w:bCs w:val="1"/>
          <w:i w:val="1"/>
          <w:iCs w:val="1"/>
          <w:color w:val="auto"/>
        </w:rPr>
        <w:t xml:space="preserve"> credit card division could adversely affect our business, financial condition and results of operations.</w:t>
      </w:r>
    </w:p>
    <w:p>
      <w:pPr>
        <w:spacing w:after="0" w:line="152" w:lineRule="exact"/>
        <w:rPr>
          <w:sz w:val="20"/>
          <w:szCs w:val="20"/>
          <w:color w:val="auto"/>
        </w:rPr>
      </w:pPr>
    </w:p>
    <w:p>
      <w:pPr>
        <w:jc w:val="both"/>
        <w:ind w:firstLine="268"/>
        <w:spacing w:after="0" w:line="227" w:lineRule="auto"/>
        <w:rPr>
          <w:sz w:val="20"/>
          <w:szCs w:val="20"/>
          <w:color w:val="auto"/>
        </w:rPr>
      </w:pPr>
      <w:r>
        <w:rPr>
          <w:rFonts w:ascii="Arial" w:cs="Arial" w:eastAsia="Arial" w:hAnsi="Arial"/>
          <w:sz w:val="15"/>
          <w:szCs w:val="15"/>
          <w:color w:val="auto"/>
        </w:rPr>
        <w:t>Our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division provides secured, partially secured, and unsecured credit cards on a nationwide basis to under-banked populations and those looking to rebuild their credit scores. Although some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credit cards are fully or partially secured, losses may occur primarily as a result of fraud, or when the account exceeds its established limit or if a cardholder ceases to maintain the account in good standing. Fraud, such as identity fraud, payment fraud and funding fraud (where an individual funds a card using information from someone they know well, such as a relative or roommate) can result in substantial losses. In the case of an OpenSky® account that is funded through fraud on the part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21" w:name="page22"/>
    <w:bookmarkEnd w:id="21"/>
    <w:p>
      <w:pPr>
        <w:jc w:val="both"/>
        <w:spacing w:after="0" w:line="242" w:lineRule="auto"/>
        <w:rPr>
          <w:sz w:val="20"/>
          <w:szCs w:val="20"/>
          <w:color w:val="auto"/>
        </w:rPr>
      </w:pPr>
      <w:r>
        <w:rPr>
          <w:rFonts w:ascii="Arial" w:cs="Arial" w:eastAsia="Arial" w:hAnsi="Arial"/>
          <w:sz w:val="15"/>
          <w:szCs w:val="15"/>
          <w:color w:val="auto"/>
        </w:rPr>
        <w:t>applicant, we are required by applicable laws to refund the amount of the original deposit, and we charge off balances which were subsequently charged on the card. Account balances in excess of established credit limits happen as a result of certain VISA membership policies that allow cardholders to incur certain charges even if they exceed their card limits, which include, but are not limited to, rental car charges, gas station charges and hotel deposits. If an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cardholder exceeds his or her credit limit as a result of purchases in one of these categories, we may incur losses for amounts in excess of the collateral deposited if the borrower is unable to repay such excess amounts. Customers can also exceed their credit limit by making intra period payments to replenish their available lines. If the payments are made via the Automated Clearing House (“ACH”) and were fraudulent, we could incur the cost of the payment. Finally, losses to our credit card portfolio may arise if cardholders cease to maintain the account in good standing with timely payments. For example, in the event a card becomes more than 120 days past due, the credit card balance is recovered against any corresponding deposit account and a charge-off is recorded for any related fees, accrued interest or other charges in excess of the deposit account balance. We have invested in technology and systems to prevent and detect fraudulent behavior and mitigate losses but such investments may not be adequate, and our systems may not adequately monitor or mitigate potential losses arising from these risks.</w:t>
      </w:r>
    </w:p>
    <w:p>
      <w:pPr>
        <w:spacing w:after="0" w:line="184" w:lineRule="exact"/>
        <w:rPr>
          <w:sz w:val="20"/>
          <w:szCs w:val="20"/>
          <w:color w:val="auto"/>
        </w:rPr>
      </w:pPr>
    </w:p>
    <w:p>
      <w:pPr>
        <w:jc w:val="both"/>
        <w:ind w:firstLine="268"/>
        <w:spacing w:after="0" w:line="219" w:lineRule="auto"/>
        <w:rPr>
          <w:sz w:val="20"/>
          <w:szCs w:val="20"/>
          <w:color w:val="auto"/>
        </w:rPr>
      </w:pPr>
      <w:r>
        <w:rPr>
          <w:rFonts w:ascii="Arial" w:cs="Arial" w:eastAsia="Arial" w:hAnsi="Arial"/>
          <w:sz w:val="15"/>
          <w:szCs w:val="15"/>
          <w:color w:val="auto"/>
        </w:rPr>
        <w:t>A high credit loss rate (the rate at which we charge off uncollectible loans) on either our secured, partially secured, or unsecured portfolio could adversely impact our overall financial performance. We maintain an allowance for loan losses, which we believe to be adequate to cover credit losses inherent in our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portfolio, but we cannot be certain that the allowance will be sufficient to cover actual credit losses. If credit losses from our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portfolio exceed our allowance for loan losses, our revenues will be reduced by the excess of such credit losses.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inability of our OpenSky</w:t>
      </w:r>
      <w:r>
        <w:rPr>
          <w:rFonts w:ascii="Arial" w:cs="Arial" w:eastAsia="Arial" w:hAnsi="Arial"/>
          <w:sz w:val="19"/>
          <w:szCs w:val="19"/>
          <w:b w:val="1"/>
          <w:bCs w:val="1"/>
          <w:i w:val="1"/>
          <w:iCs w:val="1"/>
          <w:color w:val="auto"/>
          <w:vertAlign w:val="superscript"/>
        </w:rPr>
        <w:t>®</w:t>
      </w:r>
      <w:r>
        <w:rPr>
          <w:rFonts w:ascii="Arial" w:cs="Arial" w:eastAsia="Arial" w:hAnsi="Arial"/>
          <w:sz w:val="15"/>
          <w:szCs w:val="15"/>
          <w:b w:val="1"/>
          <w:bCs w:val="1"/>
          <w:i w:val="1"/>
          <w:iCs w:val="1"/>
          <w:color w:val="auto"/>
        </w:rPr>
        <w:t xml:space="preserve"> credit card division to continue its growth rate could adversely affect our earnings.</w:t>
      </w:r>
    </w:p>
    <w:p>
      <w:pPr>
        <w:spacing w:after="0" w:line="160"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Our credit card portfolio has increased and certain corresponding fees have been a significant portion of our income. We do not know if we will be able to retain existing customers or attract new customers, or that we will be able to increase account balances for new or existing customers.</w:t>
      </w:r>
    </w:p>
    <w:p>
      <w:pPr>
        <w:spacing w:after="0" w:line="166"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We hope the development and expansion of new credit card products and related cardholder service products will be an important contributor to our growth and earnings in the future; however, if we are unable to implement new cardholder products and features, our ability to grow will be negatively impacted. Declining sales of cardholder service products would likely result in reduced income from fees and interest.</w:t>
      </w:r>
    </w:p>
    <w:p>
      <w:pPr>
        <w:spacing w:after="0" w:line="153"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b w:val="1"/>
          <w:bCs w:val="1"/>
          <w:i w:val="1"/>
          <w:iCs w:val="1"/>
          <w:color w:val="auto"/>
        </w:rPr>
        <w:t>Our business, financial condition and results of operations may be adversely affected by merchants’ increasing focus on the fees charged by credit card networks and by regulation and legislation impacting such fees.</w:t>
      </w:r>
    </w:p>
    <w:p>
      <w:pPr>
        <w:spacing w:after="0" w:line="148" w:lineRule="exact"/>
        <w:rPr>
          <w:sz w:val="20"/>
          <w:szCs w:val="20"/>
          <w:color w:val="auto"/>
        </w:rPr>
      </w:pPr>
    </w:p>
    <w:p>
      <w:pPr>
        <w:jc w:val="both"/>
        <w:ind w:firstLine="268"/>
        <w:spacing w:after="0" w:line="228" w:lineRule="auto"/>
        <w:rPr>
          <w:sz w:val="20"/>
          <w:szCs w:val="20"/>
          <w:color w:val="auto"/>
        </w:rPr>
      </w:pPr>
      <w:r>
        <w:rPr>
          <w:rFonts w:ascii="Arial" w:cs="Arial" w:eastAsia="Arial" w:hAnsi="Arial"/>
          <w:sz w:val="15"/>
          <w:szCs w:val="15"/>
          <w:color w:val="auto"/>
        </w:rPr>
        <w:t>Credit card interchange fees are generally one of the largest components of the costs that merchants pay in connection with the acceptance of credit cards and are a meaningful source of revenue for our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division. Interchange fees are the subject of significant and intense legal, regulatory and legislative focus globally, and the resulting decisions, regulations and legislation may have an adverse impact on our business, financial condition and results of operations.</w:t>
      </w:r>
    </w:p>
    <w:p>
      <w:pPr>
        <w:spacing w:after="0" w:line="18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 heightened focus by merchants and regulatory and legislative bodies on the fees charged by credit and debit card networks, and the ability of certain merchants to negotiate discounts to interchange fees with MasterCard and Visa successfully or develop alternative payment systems could result in a reduction of interchange fees. Any resulting loss in income to us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i w:val="1"/>
          <w:iCs w:val="1"/>
          <w:color w:val="auto"/>
        </w:rPr>
        <w:t>By engaging in derivative transactions, we are exposed to additional credit and market risk.</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As part of our mortgage banking activities, we enter into interest rate lock agreements with the consumer. These are commitments to originate loans at a specified interest rate and lock expiration which is set prior to closing.</w:t>
      </w:r>
    </w:p>
    <w:p>
      <w:pPr>
        <w:spacing w:after="0" w:line="166"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Hedging interest rate risk is a complex process, requiring sophisticated models and routine monitoring. As a result of interest rate fluctuations, hedged assets and liabilities will appreciate or depreciate in market value. The effect of this unrealized appreciation or depreciation in assets (loans) will generally be offset by income or loss in the corresponding MBS derivative instruments that are linked to the hedged assets and liabilities. By engaging in derivative transactions, we are exposed to counterparty credit and market risk. If the counterparty fails to perform, credit risk exists to the extent of the fair value gain in the derivative. Market risk exists to the extent that interest rates change in ways that are significantly different from what was modeled when we entered into the derivative transaction. The existence of credit and market risk associated with our derivative instruments could adversely affect our mortgage banking revenue and, therefore, could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interest rate risk as fluctuations in interest rates may adversely affect our earnings.</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majority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 bearing liabilities, such as deposits and borrowings. We expect that we will periodically experience “gaps” in the interest rate sensitivities of our assets and liabilities, meaning that either our interest bearing liabilities will be more sensitive to changes in market interest rates than our interest earning assets, or vice versa. In either case, if market interest rates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 Many factors impact interest rates, including governmental monetary policies, inflation, recession, changes in unemployment, the money supply, international economic weakness and disorder and instability in domestic and foreign financial markets.</w:t>
      </w:r>
    </w:p>
    <w:p>
      <w:pPr>
        <w:spacing w:after="0" w:line="173" w:lineRule="exact"/>
        <w:rPr>
          <w:sz w:val="20"/>
          <w:szCs w:val="20"/>
          <w:color w:val="auto"/>
        </w:rPr>
      </w:pPr>
    </w:p>
    <w:p>
      <w:pPr>
        <w:jc w:val="both"/>
        <w:ind w:firstLine="268"/>
        <w:spacing w:after="0" w:line="249" w:lineRule="auto"/>
        <w:rPr>
          <w:sz w:val="20"/>
          <w:szCs w:val="20"/>
          <w:color w:val="auto"/>
        </w:rPr>
      </w:pPr>
      <w:r>
        <w:rPr>
          <w:rFonts w:ascii="Arial" w:cs="Arial" w:eastAsia="Arial" w:hAnsi="Arial"/>
          <w:sz w:val="15"/>
          <w:szCs w:val="15"/>
          <w:color w:val="auto"/>
        </w:rPr>
        <w:t>Interest rate increases often result in larger payment requirements for our borrowers, which increases the potential for default and could result in a decrease in the demand for loans. At the same time, the marketability of the property securing a loan may be adversely affected by any reduced demand resulting from higher interest rates. In a declining interest rate environment, there may be an increase in prepayments on loans as borrowers refinance their loans at lower rates. In addition, in a low interest rate environment, loan customers often pursue long-term fixed rate credits, which could adversely affect our earnings and net interest margin if rates later increase. Changes in interest rates also can affect the value of loans, securities and other assets. An increase in interest rates that adversely affects the ability of borrowers to pay the principal or interest on loans may lead to an increase in nonperforming assets and a reduction of income recognized, which could have an adverse effect on our results of operations and cash flows. Further, when we place a loan on nonaccrual status, we reverse any accrued but unpaid interest receivable, which decreases interest income. At the same time, we continue to incur costs to fund the loan, which is reflected as interest expense, without any interest income to offset the associated funding expense. Thus, an increase in the amount of nonperforming assets would have an adverse impact on net interest income. If short-term interest rates remain at their historically low levels for a prolonged period and assuming longer-term interest rates fall further, we could experience net interest margin compression as our interest earning assets would continue to reprice downward while our interest bearing liability rates could fail to decline in tandem. Such an occurrence would have an adverse effect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our net interest income and could have an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Uncertainty about the future of LIBOR may adversely affect our business.</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On July 27, 2017, the United Kingdom’s Financial Conduct Authority, which regulates the LIBOR, announced that it intends to stop persuading or compelling banks to submit rates for the calculation of LIBOR after 2021. In November 2020, the Financial Conduct Authority announced that it would continue to publish LIBOR rates through June 30, 2023. It is unclear whether, or in what form, LIBOR will continue to exist after that date. Central banks around the world, including the Federal Reserve, have commissioned committees and working groups of market participants and official sector representatives to replace LIBOR and replace or reform other interest rate benchmarks. U.S. banking agencies have encouraged banks to cease entering into new contracts referencing LIBOR no later than December 31, 2021. A transition away from the widespread use of LIBOR to alternative benchmarks has begun and will continue over the course of the next few years. These reforms may cause such rates to perform differently than in the past or have other consequences that are unforeseen.</w:t>
      </w:r>
    </w:p>
    <w:p>
      <w:pPr>
        <w:spacing w:after="0" w:line="175"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While there is no consensus on what rate or rates may become accepted alternatives to LIBOR, a group of market participants convened by the Federal Reserve, the Alternative Reference Rate Committee, has selected SOFR as its recommended alternative to LIBOR. SOFR may fail to gain market acceptance. SOFR was developed for use in certain U.S. dollar derivatives and other financial contracts as an alternative to U.S. dollar LIBOR in part because it is considered to be a good representation of general funding conditions in the overnight U.S. Treasury repo market. However, as a rate based on transactions secured by U.S. Treasury securities, it does not measure bank-specific credit risk and, as a result, is likely to correlate with the unsecured short-term funding costs of banks. This may mean that market participants would not consider SOFR to be a suitable substitute or a successor for all of the purposes for which U.S. dollar LIBOR historically has been used, which may, in turn, lessen its market acceptance.</w:t>
      </w:r>
    </w:p>
    <w:p>
      <w:pPr>
        <w:spacing w:after="0" w:line="175"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It is impossible to predict the effect of the adoption of SOFR or any other alternative reference rate on the value of LIBOR-based securities and variable rate loans, subordinated debentures, or other securities or financial arrangements, given LIBOR’s role in determining market interest rates globally. Uncertainty as to the nature of alternative reference rates and as to potential changes or other reforms to LIBOR may adversely affect LIBOR rates and the value of LIBOR-based loans and securities in our portfolio, and may impact the availability and cost of hedging instruments and borrowings. If LIBOR rates are no longer available, and we are required to implement alternative reference rates, such as SOFR, for the calculation of interest rates under our loan agreements with our borrowers, we may incur significant expenses in effecting the transition, and may be subject to disputes or litigation with customers over the appropriateness or comparability of LIBOR to SOFR or another alternative reference rate, which could have an adverse effect on our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strong competition from financial services companies and other companies that offer banking services.</w:t>
      </w:r>
    </w:p>
    <w:p>
      <w:pPr>
        <w:spacing w:after="0" w:line="204"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We operate in the highly competitive financial services industry and face significant competition for customers from financial institutions located both within and beyond our principal markets. We compete with commercial banks, savings banks, credit unions, nonbank financial services companies and other financial institutions operating within or near the areas we serve. In addition, many of our non-bank competitors are not subject to the same extensive regulations that govern our activities and may have greater flexibility in competing for business. Our inability to compete successfully in the markets in which we operate could have an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24" w:name="page25"/>
    <w:bookmarkEnd w:id="24"/>
    <w:p>
      <w:pPr>
        <w:ind w:left="280"/>
        <w:spacing w:after="0"/>
        <w:rPr>
          <w:sz w:val="20"/>
          <w:szCs w:val="20"/>
          <w:color w:val="auto"/>
        </w:rPr>
      </w:pPr>
      <w:r>
        <w:rPr>
          <w:rFonts w:ascii="Arial" w:cs="Arial" w:eastAsia="Arial" w:hAnsi="Arial"/>
          <w:sz w:val="15"/>
          <w:szCs w:val="15"/>
          <w:b w:val="1"/>
          <w:bCs w:val="1"/>
          <w:color w:val="auto"/>
        </w:rPr>
        <w:t>Risks Related to the Regulation of Our Industry</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48"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Banking is highly regulated under federal and state law. As such, we are subject to extensive regulation, supervision and legal requirements that govern almost all aspects of our operations. Compliance with laws and regulations can be difficult and costly, and changes to laws and regulations often impose additional operating costs. 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could make compliance more difficult or expensive or otherwise adversely affect our business, financial condition and results of operations.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Legislative and regulatory actions taken now or in the future may increase our costs and impact our business, governance structure, financial condition or results of operations.</w:t>
      </w:r>
    </w:p>
    <w:p>
      <w:pPr>
        <w:spacing w:after="0" w:line="148"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Economic conditions that contributed to the financial crisis in 2008, particularly in the financial markets, resulted in government regulatory agencies and political bodies placing increased focus and scrutiny on the financial services industry. The Dodd-Frank Act, which was enacted in 2010 as a response to the financial crisis, significantly changed the regulation of financial institutions and the financial services industry. Compliance with the Dodd-Frank Act and its implementing regulations has and may continue to result in additional operating and compliance costs that could have a material adverse effect on our business, financial condition, results of operations and growth prospects.</w:t>
      </w:r>
    </w:p>
    <w:p>
      <w:pPr>
        <w:spacing w:after="0" w:line="172"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Federal and state regulatory agencies frequently adopt changes to their regulations or change the manner in which existing regulations are applied.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an adverse effect on our business, financial condition and results of operations.</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Federal banking agencies periodically conduct examinations of our business, including compliance with laws and regulations, and our failure to comply with any supervisory actions to which we are or become subject as a result of such examinations could adversely affect us.</w:t>
      </w:r>
    </w:p>
    <w:p>
      <w:pPr>
        <w:spacing w:after="0" w:line="148"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As part of the bank regulatory process, the OCC and the Federal Reserve, periodically conduct examinations of our business, including compliance with laws and regulations. If, as a result of an examination, one of these federal banking agencies were to determine that the financial condition, capital resources, asset quality, earnings prospects, management, liquidity, asset sensitivity, risk management or other aspects of any of our operations have become unsatisfactory, or that the Company, the Bank or their respective management were in violation of any law or regulation, it may take a number of different remedial actions as it deems appropriate. These actions include the power to enjoin “unsafe or unsound” practices, to require affirmative actions to correct any conditions resulting from any violation or practice, to issue an administrative order that can be judicially enforced, to direct an increase in our capital levels, to restrict our growth, to assess civil monetary penalties against us, the Bank or their respective officers or directors, to remove officers and directors and, if it is concluded that such conditions cannot be corrected or there is an imminent risk of loss to depositors, to terminate the Bank’s deposit insurance. If we become subject to such regulatory actions, our business, financial condition, results of operations and reputation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i w:val="1"/>
          <w:iCs w:val="1"/>
          <w:color w:val="auto"/>
        </w:rPr>
        <w:t>Monetary policies and regulations of the Federal Reserve could adversely affect our business, financial condition and results of operations.</w:t>
      </w:r>
    </w:p>
    <w:p>
      <w:pPr>
        <w:spacing w:after="0" w:line="204"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In addition to being affected by general economic conditions, our earnings and growth are affected by the policies of the Federal Reserve. An important function of the Federal Reserve is to regulate the U.S. money supply and credit conditions. The monetary policies and regulations of the Federal Reserve have had a significant effect on the operating results of commercial banks in the past and are expected to continue to do so in the future. Although we cannot determine the effects of such policies on us at this time, such policies could adversely affect our business, financial condition and results of operations.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Regulatory requirements affecting our loans secured by commercial real estate could limit our ability to leverage our capital and adversely affect our growth and profitability.</w:t>
      </w:r>
    </w:p>
    <w:p>
      <w:pPr>
        <w:spacing w:after="0" w:line="148"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federal bank regulatory agencies have indicated their view that banks with high concentrations of loans secured by commercial real estate are subject to increased risk and should implement robust risk management policies and maintain higher capital than regulatory minimums to maintain an appropriate cushion against loss that is commensurate with the perceived risk. Federal bank regulatory guidelines identify institutions potentially exposed to commercial real estate concentration risk as those that have (i) experienced rapid growth in commercial real estate lending, (ii) notable exposure to a specific type of commercial real estate, (iii) total reported loans for construction, land development and other land loans representing 100% or more of the institution’s capital, or (iv) total non-owner-occupied commercial real estate (including construction) loans representing 300% or more of the institution’s capital if the outstanding balance of the institution’s non-owner-occupied commercial real estate (including construction) loan portfolio has increased 50% or more during the prior 36 months. At December 31, 2021, the Bank’s construction to total capital ratio was 136.9% which exceeded the 100% regulatory guideline threshold set forth in clause (iii) above. As a result, we are deemed to have a concentration in commercial real estate lending under applicable regulatory guidelines. Because a significant portion of our loan portfolio depends on commercial real estate, a change in the regulatory capital requirements applicable to us or a decline in our regulatory capital could limit our ability to leverage our capital as a result of these policies, which could have a material adverse effect on our business, financial condition and results of operations.</w:t>
      </w:r>
    </w:p>
    <w:p>
      <w:pPr>
        <w:spacing w:after="0" w:line="172"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We cannot guarantee that any risk management practices we implement will be effective to prevent losses relating to our commercial real estate portfolio. Management has implemented controls to monitor our commercial real estate lending concentrations, but we cannot predict the extent to which this guidance will impact our operations or capital requirements.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Risks Related to Ownership of Our Common Stock</w:t>
      </w:r>
    </w:p>
    <w:p>
      <w:pPr>
        <w:spacing w:after="0" w:line="186" w:lineRule="exact"/>
        <w:rPr>
          <w:sz w:val="20"/>
          <w:szCs w:val="20"/>
          <w:color w:val="auto"/>
        </w:rPr>
      </w:pPr>
    </w:p>
    <w:p>
      <w:pPr>
        <w:ind w:right="300" w:firstLine="268"/>
        <w:spacing w:after="0" w:line="283" w:lineRule="auto"/>
        <w:rPr>
          <w:sz w:val="20"/>
          <w:szCs w:val="20"/>
          <w:color w:val="auto"/>
        </w:rPr>
      </w:pPr>
      <w:r>
        <w:rPr>
          <w:rFonts w:ascii="Arial" w:cs="Arial" w:eastAsia="Arial" w:hAnsi="Arial"/>
          <w:sz w:val="15"/>
          <w:szCs w:val="15"/>
          <w:b w:val="1"/>
          <w:bCs w:val="1"/>
          <w:i w:val="1"/>
          <w:iCs w:val="1"/>
          <w:color w:val="auto"/>
        </w:rPr>
        <w:t>The market price of our common stock may be subject to substantial fluctuations, which may make it difficult for you to sell your shares at the volume, prices and times desired.</w:t>
      </w:r>
    </w:p>
    <w:p>
      <w:pPr>
        <w:spacing w:after="0" w:line="148"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spacing w:after="0" w:line="166"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to sell your shares at the volume, prices and times desired.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26" w:name="page27"/>
    <w:bookmarkEnd w:id="26"/>
    <w:p>
      <w:pPr>
        <w:jc w:val="both"/>
        <w:spacing w:after="0" w:line="283" w:lineRule="auto"/>
        <w:rPr>
          <w:sz w:val="20"/>
          <w:szCs w:val="20"/>
          <w:color w:val="auto"/>
        </w:rPr>
      </w:pPr>
      <w:r>
        <w:rPr>
          <w:rFonts w:ascii="Arial" w:cs="Arial" w:eastAsia="Arial" w:hAnsi="Arial"/>
          <w:sz w:val="15"/>
          <w:szCs w:val="15"/>
          <w:b w:val="1"/>
          <w:bCs w:val="1"/>
          <w:i w:val="1"/>
          <w:iCs w:val="1"/>
          <w:color w:val="auto"/>
        </w:rPr>
        <w:t>The market price of our common stock could decline significantly and you may experience future dilution due to actual or anticipated issuances or sales of our common stock in the future.</w:t>
      </w:r>
    </w:p>
    <w:p>
      <w:pPr>
        <w:spacing w:after="0" w:line="148"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Our board of directors may determine from time to time that we need to raise additional capital by issuing additional shares of our common stock or other securities. We cannot predict the size of future issuances of our common stock or the effect, if any, that future issuances and sales of our common stock will have on the market price of our common stock. To the extent we raise additional capital by issuing additional shares of our common stock or other securities convertible into, or exchangeable for, our common stock, you may experience substantial dilution.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management and board of directors have significant control over our business.</w:t>
      </w:r>
    </w:p>
    <w:p>
      <w:pPr>
        <w:spacing w:after="0" w:line="204"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As of December 31, 2021, our directors, directors of the Bank, our named executive officers and their respective family members and affiliated entities beneficially owned an aggregate of 6,040,548 shares, or approximately 43.3% of our issued and outstanding common stock. Consequently, our management and board of directors may be able to significantly affect the outcome of the election of directors and the potential outcome of other matters submitted to a vote of our shareholders, such as mergers, the sale of substantially all of our assets and other extraordinary corporate matters. The interests of these insiders could conflict with the interests of our other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is subordinate to our existing and future indebtedness and preferred stock.</w:t>
      </w:r>
    </w:p>
    <w:p>
      <w:pPr>
        <w:spacing w:after="0" w:line="204"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Our common stock ranks junior to all of our existing and future indebtedness and other non-equity claims with respect to assets available to satisfy claims against us, including claims in the event of our liquidation. As of December 31, 2021 we had outstanding approximately $10.0 million in aggregate principal amount of subordinated notes and $2.1 million in aggregate principal amount of junior subordinated debentures. We may incur additional indebtedness in the future to increase our capital resources or if our total capital ratio or the total capital ratio of the Bank falls below the required minimums. Furthermore, our common stock is subordinate to any series of preferred stock we may issue in the future.</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Provisions in our governing documents and Maryland law may have an anti-takeover effect, and there are substantial regulatory limitations on changes of control of bank holding companies.</w:t>
      </w:r>
    </w:p>
    <w:p>
      <w:pPr>
        <w:spacing w:after="0" w:line="148"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spacing w:after="0" w:line="166"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In addition, certain provisions of Maryland law may delay, discourage or prevent an attempted acquisition or change in control. 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(“CBCA”). These laws could delay or prevent an acquisition.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is not insured by any governmental entity.</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Our common stock is not a deposit account or other obligation of any bank and is not insured by the FDIC or any other governmental entity. Investment in our common stock is subject to risk, including possible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u w:val="single" w:color="auto"/>
          <w:color w:val="auto"/>
        </w:rPr>
        <w:t>ITEM 1B UNRESOLVED STAFF COMMENTS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2. PROPERTIES</w:t>
      </w:r>
    </w:p>
    <w:p>
      <w:pPr>
        <w:spacing w:after="0" w:line="20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Our headquarters are currently located at 2275 Research Boulevard, Suite 600, Rockville, Maryland 20850. The following table summarizes pertinent details of our commercial bank branch locations, mortgage banking offices, loan production offices, or LPOs, and our credit card operations office. Our mortgage offices typically contain both origination and operations professionals.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80" w:type="dxa"/>
            <w:vAlign w:val="bottom"/>
            <w:tcBorders>
              <w:bottom w:val="single" w:sz="8" w:color="auto"/>
            </w:tcBorders>
          </w:tcPr>
          <w:p>
            <w:pPr>
              <w:ind w:left="1440"/>
              <w:spacing w:after="0"/>
              <w:rPr>
                <w:sz w:val="20"/>
                <w:szCs w:val="20"/>
                <w:color w:val="auto"/>
              </w:rPr>
            </w:pPr>
            <w:r>
              <w:rPr>
                <w:rFonts w:ascii="Arial" w:cs="Arial" w:eastAsia="Arial" w:hAnsi="Arial"/>
                <w:sz w:val="15"/>
                <w:szCs w:val="15"/>
                <w:b w:val="1"/>
                <w:bCs w:val="1"/>
                <w:color w:val="auto"/>
              </w:rPr>
              <w:t>Location</w:t>
            </w:r>
          </w:p>
        </w:tc>
        <w:tc>
          <w:tcPr>
            <w:tcW w:w="12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Owned/Leased</w:t>
            </w:r>
          </w:p>
        </w:tc>
        <w:tc>
          <w:tcPr>
            <w:tcW w:w="12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Lease Expiration</w:t>
            </w:r>
          </w:p>
        </w:tc>
        <w:tc>
          <w:tcPr>
            <w:tcW w:w="100" w:type="dxa"/>
            <w:vAlign w:val="bottom"/>
            <w:tcBorders>
              <w:bottom w:val="single" w:sz="8" w:color="CCEEFF"/>
            </w:tcBorders>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Type of office</w:t>
            </w:r>
          </w:p>
        </w:tc>
      </w:tr>
      <w:tr>
        <w:trPr>
          <w:trHeight w:val="148"/>
        </w:trPr>
        <w:tc>
          <w:tcPr>
            <w:tcW w:w="3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5"/>
                <w:szCs w:val="15"/>
                <w:color w:val="auto"/>
              </w:rPr>
              <w:t>One Church Street</w:t>
            </w:r>
          </w:p>
        </w:tc>
        <w:tc>
          <w:tcPr>
            <w:tcW w:w="2500" w:type="dxa"/>
            <w:vAlign w:val="bottom"/>
            <w:gridSpan w:val="2"/>
            <w:shd w:val="clear" w:color="auto" w:fill="CCEEFF"/>
          </w:tcPr>
          <w:p>
            <w:pPr>
              <w:jc w:val="center"/>
              <w:ind w:right="120"/>
              <w:spacing w:after="0" w:line="148" w:lineRule="exact"/>
              <w:rPr>
                <w:sz w:val="20"/>
                <w:szCs w:val="20"/>
                <w:color w:val="auto"/>
              </w:rPr>
            </w:pPr>
            <w:r>
              <w:rPr>
                <w:rFonts w:ascii="Arial" w:cs="Arial" w:eastAsia="Arial" w:hAnsi="Arial"/>
                <w:sz w:val="15"/>
                <w:szCs w:val="15"/>
                <w:color w:val="auto"/>
              </w:rPr>
              <w:t>Leased</w:t>
            </w:r>
          </w:p>
        </w:tc>
        <w:tc>
          <w:tcPr>
            <w:tcW w:w="204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color w:val="auto"/>
                <w:w w:val="99"/>
              </w:rPr>
              <w:t>6/30/24</w:t>
            </w: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color w:val="auto"/>
                <w:w w:val="98"/>
              </w:rPr>
              <w:t>Commercial Branch</w:t>
            </w:r>
          </w:p>
        </w:tc>
      </w:tr>
      <w:tr>
        <w:trPr>
          <w:trHeight w:val="145"/>
        </w:trPr>
        <w:tc>
          <w:tcPr>
            <w:tcW w:w="36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Suite 100</w:t>
            </w:r>
          </w:p>
        </w:tc>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Rockville, MD 20850</w:t>
            </w: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r>
      <w:tr>
        <w:trPr>
          <w:trHeight w:val="156"/>
        </w:trPr>
        <w:tc>
          <w:tcPr>
            <w:tcW w:w="36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2275 Research Blvd.</w:t>
            </w:r>
          </w:p>
        </w:tc>
        <w:tc>
          <w:tcPr>
            <w:tcW w:w="2500" w:type="dxa"/>
            <w:vAlign w:val="bottom"/>
            <w:gridSpan w:val="2"/>
          </w:tcPr>
          <w:p>
            <w:pPr>
              <w:jc w:val="center"/>
              <w:ind w:right="120"/>
              <w:spacing w:after="0" w:line="156" w:lineRule="exact"/>
              <w:rPr>
                <w:sz w:val="20"/>
                <w:szCs w:val="20"/>
                <w:color w:val="auto"/>
              </w:rPr>
            </w:pPr>
            <w:r>
              <w:rPr>
                <w:rFonts w:ascii="Arial" w:cs="Arial" w:eastAsia="Arial" w:hAnsi="Arial"/>
                <w:sz w:val="15"/>
                <w:szCs w:val="15"/>
                <w:color w:val="auto"/>
              </w:rPr>
              <w:t>Sub-Leased</w:t>
            </w:r>
          </w:p>
        </w:tc>
        <w:tc>
          <w:tcPr>
            <w:tcW w:w="2040" w:type="dxa"/>
            <w:vAlign w:val="bottom"/>
          </w:tcPr>
          <w:p>
            <w:pPr>
              <w:jc w:val="center"/>
              <w:spacing w:after="0" w:line="156" w:lineRule="exact"/>
              <w:rPr>
                <w:sz w:val="20"/>
                <w:szCs w:val="20"/>
                <w:color w:val="auto"/>
              </w:rPr>
            </w:pPr>
            <w:r>
              <w:rPr>
                <w:rFonts w:ascii="Arial" w:cs="Arial" w:eastAsia="Arial" w:hAnsi="Arial"/>
                <w:sz w:val="15"/>
                <w:szCs w:val="15"/>
                <w:color w:val="auto"/>
                <w:w w:val="99"/>
              </w:rPr>
              <w:t>9/30/24</w:t>
            </w:r>
          </w:p>
        </w:tc>
        <w:tc>
          <w:tcPr>
            <w:tcW w:w="100" w:type="dxa"/>
            <w:vAlign w:val="bottom"/>
          </w:tcPr>
          <w:p>
            <w:pPr>
              <w:spacing w:after="0"/>
              <w:rPr>
                <w:sz w:val="13"/>
                <w:szCs w:val="13"/>
                <w:color w:val="auto"/>
              </w:rPr>
            </w:pPr>
          </w:p>
        </w:tc>
        <w:tc>
          <w:tcPr>
            <w:tcW w:w="3020" w:type="dxa"/>
            <w:vAlign w:val="bottom"/>
          </w:tcPr>
          <w:p>
            <w:pPr>
              <w:jc w:val="center"/>
              <w:spacing w:after="0" w:line="156" w:lineRule="exact"/>
              <w:rPr>
                <w:sz w:val="20"/>
                <w:szCs w:val="20"/>
                <w:color w:val="auto"/>
              </w:rPr>
            </w:pPr>
            <w:r>
              <w:rPr>
                <w:rFonts w:ascii="Arial" w:cs="Arial" w:eastAsia="Arial" w:hAnsi="Arial"/>
                <w:sz w:val="15"/>
                <w:szCs w:val="15"/>
                <w:color w:val="auto"/>
                <w:w w:val="98"/>
              </w:rPr>
              <w:t>Corporate</w:t>
            </w:r>
          </w:p>
        </w:tc>
      </w:tr>
      <w:tr>
        <w:trPr>
          <w:trHeight w:val="145"/>
        </w:trPr>
        <w:tc>
          <w:tcPr>
            <w:tcW w:w="36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Suite 600</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5"/>
                <w:szCs w:val="15"/>
                <w:color w:val="auto"/>
              </w:rPr>
              <w:t>Rockville, MD 20850</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56"/>
        </w:trPr>
        <w:tc>
          <w:tcPr>
            <w:tcW w:w="36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1776 Eye Street</w:t>
            </w:r>
          </w:p>
        </w:tc>
        <w:tc>
          <w:tcPr>
            <w:tcW w:w="2500" w:type="dxa"/>
            <w:vAlign w:val="bottom"/>
            <w:gridSpan w:val="2"/>
            <w:shd w:val="clear" w:color="auto" w:fill="CCEEFF"/>
          </w:tcPr>
          <w:p>
            <w:pPr>
              <w:jc w:val="center"/>
              <w:ind w:right="120"/>
              <w:spacing w:after="0" w:line="156" w:lineRule="exact"/>
              <w:rPr>
                <w:sz w:val="20"/>
                <w:szCs w:val="20"/>
                <w:color w:val="auto"/>
              </w:rPr>
            </w:pPr>
            <w:r>
              <w:rPr>
                <w:rFonts w:ascii="Arial" w:cs="Arial" w:eastAsia="Arial" w:hAnsi="Arial"/>
                <w:sz w:val="15"/>
                <w:szCs w:val="15"/>
                <w:color w:val="auto"/>
              </w:rPr>
              <w:t>Leased</w:t>
            </w:r>
          </w:p>
        </w:tc>
        <w:tc>
          <w:tcPr>
            <w:tcW w:w="2040" w:type="dxa"/>
            <w:vAlign w:val="bottom"/>
            <w:shd w:val="clear" w:color="auto" w:fill="CCEEFF"/>
          </w:tcPr>
          <w:p>
            <w:pPr>
              <w:jc w:val="center"/>
              <w:spacing w:after="0" w:line="156" w:lineRule="exact"/>
              <w:rPr>
                <w:sz w:val="20"/>
                <w:szCs w:val="20"/>
                <w:color w:val="auto"/>
              </w:rPr>
            </w:pPr>
            <w:r>
              <w:rPr>
                <w:rFonts w:ascii="Arial" w:cs="Arial" w:eastAsia="Arial" w:hAnsi="Arial"/>
                <w:sz w:val="15"/>
                <w:szCs w:val="15"/>
                <w:color w:val="auto"/>
                <w:w w:val="99"/>
              </w:rPr>
              <w:t>2/28/22</w:t>
            </w:r>
          </w:p>
        </w:tc>
        <w:tc>
          <w:tcPr>
            <w:tcW w:w="100" w:type="dxa"/>
            <w:vAlign w:val="bottom"/>
            <w:shd w:val="clear" w:color="auto" w:fill="CCEEFF"/>
          </w:tcPr>
          <w:p>
            <w:pPr>
              <w:spacing w:after="0"/>
              <w:rPr>
                <w:sz w:val="13"/>
                <w:szCs w:val="13"/>
                <w:color w:val="auto"/>
              </w:rPr>
            </w:pPr>
          </w:p>
        </w:tc>
        <w:tc>
          <w:tcPr>
            <w:tcW w:w="3020" w:type="dxa"/>
            <w:vAlign w:val="bottom"/>
            <w:shd w:val="clear" w:color="auto" w:fill="CCEEFF"/>
          </w:tcPr>
          <w:p>
            <w:pPr>
              <w:jc w:val="center"/>
              <w:spacing w:after="0" w:line="156" w:lineRule="exact"/>
              <w:rPr>
                <w:sz w:val="20"/>
                <w:szCs w:val="20"/>
                <w:color w:val="auto"/>
              </w:rPr>
            </w:pPr>
            <w:r>
              <w:rPr>
                <w:rFonts w:ascii="Arial" w:cs="Arial" w:eastAsia="Arial" w:hAnsi="Arial"/>
                <w:sz w:val="15"/>
                <w:szCs w:val="15"/>
                <w:color w:val="auto"/>
                <w:w w:val="98"/>
              </w:rPr>
              <w:t>Commercial Branch</w:t>
            </w: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Washington, D.C. 20006</w:t>
            </w: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r>
      <w:tr>
        <w:trPr>
          <w:trHeight w:val="156"/>
        </w:trPr>
        <w:tc>
          <w:tcPr>
            <w:tcW w:w="36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6711 Columbia Gateway Drive</w:t>
            </w:r>
          </w:p>
        </w:tc>
        <w:tc>
          <w:tcPr>
            <w:tcW w:w="2500" w:type="dxa"/>
            <w:vAlign w:val="bottom"/>
            <w:gridSpan w:val="2"/>
          </w:tcPr>
          <w:p>
            <w:pPr>
              <w:jc w:val="center"/>
              <w:ind w:right="120"/>
              <w:spacing w:after="0" w:line="156" w:lineRule="exact"/>
              <w:rPr>
                <w:sz w:val="20"/>
                <w:szCs w:val="20"/>
                <w:color w:val="auto"/>
              </w:rPr>
            </w:pPr>
            <w:r>
              <w:rPr>
                <w:rFonts w:ascii="Arial" w:cs="Arial" w:eastAsia="Arial" w:hAnsi="Arial"/>
                <w:sz w:val="15"/>
                <w:szCs w:val="15"/>
                <w:color w:val="auto"/>
              </w:rPr>
              <w:t>Leased</w:t>
            </w:r>
          </w:p>
        </w:tc>
        <w:tc>
          <w:tcPr>
            <w:tcW w:w="2040" w:type="dxa"/>
            <w:vAlign w:val="bottom"/>
          </w:tcPr>
          <w:p>
            <w:pPr>
              <w:jc w:val="center"/>
              <w:spacing w:after="0" w:line="156" w:lineRule="exact"/>
              <w:rPr>
                <w:sz w:val="20"/>
                <w:szCs w:val="20"/>
                <w:color w:val="auto"/>
              </w:rPr>
            </w:pPr>
            <w:r>
              <w:rPr>
                <w:rFonts w:ascii="Arial" w:cs="Arial" w:eastAsia="Arial" w:hAnsi="Arial"/>
                <w:sz w:val="15"/>
                <w:szCs w:val="15"/>
                <w:color w:val="auto"/>
                <w:w w:val="99"/>
              </w:rPr>
              <w:t>5/31/22</w:t>
            </w:r>
          </w:p>
        </w:tc>
        <w:tc>
          <w:tcPr>
            <w:tcW w:w="100" w:type="dxa"/>
            <w:vAlign w:val="bottom"/>
          </w:tcPr>
          <w:p>
            <w:pPr>
              <w:spacing w:after="0"/>
              <w:rPr>
                <w:sz w:val="13"/>
                <w:szCs w:val="13"/>
                <w:color w:val="auto"/>
              </w:rPr>
            </w:pPr>
          </w:p>
        </w:tc>
        <w:tc>
          <w:tcPr>
            <w:tcW w:w="3020" w:type="dxa"/>
            <w:vAlign w:val="bottom"/>
          </w:tcPr>
          <w:p>
            <w:pPr>
              <w:jc w:val="center"/>
              <w:spacing w:after="0" w:line="156" w:lineRule="exact"/>
              <w:rPr>
                <w:sz w:val="20"/>
                <w:szCs w:val="20"/>
                <w:color w:val="auto"/>
              </w:rPr>
            </w:pPr>
            <w:r>
              <w:rPr>
                <w:rFonts w:ascii="Arial" w:cs="Arial" w:eastAsia="Arial" w:hAnsi="Arial"/>
                <w:sz w:val="15"/>
                <w:szCs w:val="15"/>
                <w:color w:val="auto"/>
                <w:w w:val="99"/>
              </w:rPr>
              <w:t>Commercial Branch/Mortgage Office</w:t>
            </w:r>
          </w:p>
        </w:tc>
      </w:tr>
      <w:tr>
        <w:trPr>
          <w:trHeight w:val="145"/>
        </w:trPr>
        <w:tc>
          <w:tcPr>
            <w:tcW w:w="36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Suite 170</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5"/>
                <w:szCs w:val="15"/>
                <w:color w:val="auto"/>
              </w:rPr>
              <w:t>Columbia, MD 21046</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56"/>
        </w:trPr>
        <w:tc>
          <w:tcPr>
            <w:tcW w:w="36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110 Gibraltar Road</w:t>
            </w:r>
          </w:p>
        </w:tc>
        <w:tc>
          <w:tcPr>
            <w:tcW w:w="2500" w:type="dxa"/>
            <w:vAlign w:val="bottom"/>
            <w:gridSpan w:val="2"/>
            <w:shd w:val="clear" w:color="auto" w:fill="CCEEFF"/>
          </w:tcPr>
          <w:p>
            <w:pPr>
              <w:jc w:val="center"/>
              <w:ind w:right="120"/>
              <w:spacing w:after="0" w:line="156" w:lineRule="exact"/>
              <w:rPr>
                <w:sz w:val="20"/>
                <w:szCs w:val="20"/>
                <w:color w:val="auto"/>
              </w:rPr>
            </w:pPr>
            <w:r>
              <w:rPr>
                <w:rFonts w:ascii="Arial" w:cs="Arial" w:eastAsia="Arial" w:hAnsi="Arial"/>
                <w:sz w:val="15"/>
                <w:szCs w:val="15"/>
                <w:color w:val="auto"/>
              </w:rPr>
              <w:t>Leased</w:t>
            </w:r>
          </w:p>
        </w:tc>
        <w:tc>
          <w:tcPr>
            <w:tcW w:w="2040" w:type="dxa"/>
            <w:vAlign w:val="bottom"/>
            <w:shd w:val="clear" w:color="auto" w:fill="CCEEFF"/>
          </w:tcPr>
          <w:p>
            <w:pPr>
              <w:jc w:val="center"/>
              <w:spacing w:after="0" w:line="156" w:lineRule="exact"/>
              <w:rPr>
                <w:sz w:val="20"/>
                <w:szCs w:val="20"/>
                <w:color w:val="auto"/>
              </w:rPr>
            </w:pPr>
            <w:r>
              <w:rPr>
                <w:rFonts w:ascii="Arial" w:cs="Arial" w:eastAsia="Arial" w:hAnsi="Arial"/>
                <w:sz w:val="15"/>
                <w:szCs w:val="15"/>
                <w:color w:val="auto"/>
                <w:w w:val="99"/>
              </w:rPr>
              <w:t>5/31/23</w:t>
            </w:r>
          </w:p>
        </w:tc>
        <w:tc>
          <w:tcPr>
            <w:tcW w:w="100" w:type="dxa"/>
            <w:vAlign w:val="bottom"/>
            <w:shd w:val="clear" w:color="auto" w:fill="CCEEFF"/>
          </w:tcPr>
          <w:p>
            <w:pPr>
              <w:spacing w:after="0"/>
              <w:rPr>
                <w:sz w:val="13"/>
                <w:szCs w:val="13"/>
                <w:color w:val="auto"/>
              </w:rPr>
            </w:pPr>
          </w:p>
        </w:tc>
        <w:tc>
          <w:tcPr>
            <w:tcW w:w="3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Operations</w:t>
            </w:r>
          </w:p>
        </w:tc>
      </w:tr>
      <w:tr>
        <w:trPr>
          <w:trHeight w:val="145"/>
        </w:trPr>
        <w:tc>
          <w:tcPr>
            <w:tcW w:w="36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Suite 130</w:t>
            </w:r>
          </w:p>
        </w:tc>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Horsham, PA 19044</w:t>
            </w: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r>
      <w:tr>
        <w:trPr>
          <w:trHeight w:val="156"/>
        </w:trPr>
        <w:tc>
          <w:tcPr>
            <w:tcW w:w="36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185 Harry S. Truman Parkway</w:t>
            </w:r>
          </w:p>
        </w:tc>
        <w:tc>
          <w:tcPr>
            <w:tcW w:w="2500" w:type="dxa"/>
            <w:vAlign w:val="bottom"/>
            <w:gridSpan w:val="2"/>
          </w:tcPr>
          <w:p>
            <w:pPr>
              <w:jc w:val="center"/>
              <w:ind w:right="120"/>
              <w:spacing w:after="0" w:line="156" w:lineRule="exact"/>
              <w:rPr>
                <w:sz w:val="20"/>
                <w:szCs w:val="20"/>
                <w:color w:val="auto"/>
              </w:rPr>
            </w:pPr>
            <w:r>
              <w:rPr>
                <w:rFonts w:ascii="Arial" w:cs="Arial" w:eastAsia="Arial" w:hAnsi="Arial"/>
                <w:sz w:val="15"/>
                <w:szCs w:val="15"/>
                <w:color w:val="auto"/>
              </w:rPr>
              <w:t>Leased</w:t>
            </w:r>
          </w:p>
        </w:tc>
        <w:tc>
          <w:tcPr>
            <w:tcW w:w="2040" w:type="dxa"/>
            <w:vAlign w:val="bottom"/>
          </w:tcPr>
          <w:p>
            <w:pPr>
              <w:jc w:val="center"/>
              <w:spacing w:after="0" w:line="156" w:lineRule="exact"/>
              <w:rPr>
                <w:sz w:val="20"/>
                <w:szCs w:val="20"/>
                <w:color w:val="auto"/>
              </w:rPr>
            </w:pPr>
            <w:r>
              <w:rPr>
                <w:rFonts w:ascii="Arial" w:cs="Arial" w:eastAsia="Arial" w:hAnsi="Arial"/>
                <w:sz w:val="15"/>
                <w:szCs w:val="15"/>
                <w:color w:val="auto"/>
                <w:w w:val="99"/>
              </w:rPr>
              <w:t>11/30/26</w:t>
            </w:r>
          </w:p>
        </w:tc>
        <w:tc>
          <w:tcPr>
            <w:tcW w:w="100" w:type="dxa"/>
            <w:vAlign w:val="bottom"/>
          </w:tcPr>
          <w:p>
            <w:pPr>
              <w:spacing w:after="0"/>
              <w:rPr>
                <w:sz w:val="13"/>
                <w:szCs w:val="13"/>
                <w:color w:val="auto"/>
              </w:rPr>
            </w:pPr>
          </w:p>
        </w:tc>
        <w:tc>
          <w:tcPr>
            <w:tcW w:w="3020" w:type="dxa"/>
            <w:vAlign w:val="bottom"/>
          </w:tcPr>
          <w:p>
            <w:pPr>
              <w:jc w:val="center"/>
              <w:spacing w:after="0" w:line="156" w:lineRule="exact"/>
              <w:rPr>
                <w:sz w:val="20"/>
                <w:szCs w:val="20"/>
                <w:color w:val="auto"/>
              </w:rPr>
            </w:pPr>
            <w:r>
              <w:rPr>
                <w:rFonts w:ascii="Arial" w:cs="Arial" w:eastAsia="Arial" w:hAnsi="Arial"/>
                <w:sz w:val="15"/>
                <w:szCs w:val="15"/>
                <w:color w:val="auto"/>
                <w:w w:val="99"/>
              </w:rPr>
              <w:t>Mortgage Office</w:t>
            </w:r>
          </w:p>
        </w:tc>
      </w:tr>
      <w:tr>
        <w:trPr>
          <w:trHeight w:val="145"/>
        </w:trPr>
        <w:tc>
          <w:tcPr>
            <w:tcW w:w="36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Suite 100</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5"/>
                <w:szCs w:val="15"/>
                <w:color w:val="auto"/>
              </w:rPr>
              <w:t>Annapolis, MD 21401</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56"/>
        </w:trPr>
        <w:tc>
          <w:tcPr>
            <w:tcW w:w="36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14231 Jarrettsville Pike</w:t>
            </w:r>
          </w:p>
        </w:tc>
        <w:tc>
          <w:tcPr>
            <w:tcW w:w="2500" w:type="dxa"/>
            <w:vAlign w:val="bottom"/>
            <w:gridSpan w:val="2"/>
            <w:shd w:val="clear" w:color="auto" w:fill="CCEEFF"/>
          </w:tcPr>
          <w:p>
            <w:pPr>
              <w:jc w:val="center"/>
              <w:ind w:right="120"/>
              <w:spacing w:after="0" w:line="156" w:lineRule="exact"/>
              <w:rPr>
                <w:sz w:val="20"/>
                <w:szCs w:val="20"/>
                <w:color w:val="auto"/>
              </w:rPr>
            </w:pPr>
            <w:r>
              <w:rPr>
                <w:rFonts w:ascii="Arial" w:cs="Arial" w:eastAsia="Arial" w:hAnsi="Arial"/>
                <w:sz w:val="15"/>
                <w:szCs w:val="15"/>
                <w:color w:val="auto"/>
              </w:rPr>
              <w:t>Leased</w:t>
            </w:r>
          </w:p>
        </w:tc>
        <w:tc>
          <w:tcPr>
            <w:tcW w:w="2040" w:type="dxa"/>
            <w:vAlign w:val="bottom"/>
            <w:shd w:val="clear" w:color="auto" w:fill="CCEEFF"/>
          </w:tcPr>
          <w:p>
            <w:pPr>
              <w:jc w:val="center"/>
              <w:spacing w:after="0" w:line="156" w:lineRule="exact"/>
              <w:rPr>
                <w:sz w:val="20"/>
                <w:szCs w:val="20"/>
                <w:color w:val="auto"/>
              </w:rPr>
            </w:pPr>
            <w:r>
              <w:rPr>
                <w:rFonts w:ascii="Arial" w:cs="Arial" w:eastAsia="Arial" w:hAnsi="Arial"/>
                <w:sz w:val="15"/>
                <w:szCs w:val="15"/>
                <w:color w:val="auto"/>
                <w:w w:val="99"/>
              </w:rPr>
              <w:t>2/28/22</w:t>
            </w:r>
          </w:p>
        </w:tc>
        <w:tc>
          <w:tcPr>
            <w:tcW w:w="100" w:type="dxa"/>
            <w:vAlign w:val="bottom"/>
            <w:shd w:val="clear" w:color="auto" w:fill="CCEEFF"/>
          </w:tcPr>
          <w:p>
            <w:pPr>
              <w:spacing w:after="0"/>
              <w:rPr>
                <w:sz w:val="13"/>
                <w:szCs w:val="13"/>
                <w:color w:val="auto"/>
              </w:rPr>
            </w:pPr>
          </w:p>
        </w:tc>
        <w:tc>
          <w:tcPr>
            <w:tcW w:w="3020" w:type="dxa"/>
            <w:vAlign w:val="bottom"/>
            <w:shd w:val="clear" w:color="auto" w:fill="CCEEFF"/>
          </w:tcPr>
          <w:p>
            <w:pPr>
              <w:jc w:val="center"/>
              <w:spacing w:after="0" w:line="156" w:lineRule="exact"/>
              <w:rPr>
                <w:sz w:val="20"/>
                <w:szCs w:val="20"/>
                <w:color w:val="auto"/>
              </w:rPr>
            </w:pPr>
            <w:r>
              <w:rPr>
                <w:rFonts w:ascii="Arial" w:cs="Arial" w:eastAsia="Arial" w:hAnsi="Arial"/>
                <w:sz w:val="15"/>
                <w:szCs w:val="15"/>
                <w:color w:val="auto"/>
                <w:w w:val="99"/>
              </w:rPr>
              <w:t>Mortgage Office</w:t>
            </w: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Phoenix, MD 21131</w:t>
            </w: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r>
      <w:tr>
        <w:trPr>
          <w:trHeight w:val="156"/>
        </w:trPr>
        <w:tc>
          <w:tcPr>
            <w:tcW w:w="36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1801 E Jefferson St.</w:t>
            </w:r>
          </w:p>
        </w:tc>
        <w:tc>
          <w:tcPr>
            <w:tcW w:w="2500" w:type="dxa"/>
            <w:vAlign w:val="bottom"/>
            <w:gridSpan w:val="2"/>
          </w:tcPr>
          <w:p>
            <w:pPr>
              <w:jc w:val="center"/>
              <w:ind w:right="120"/>
              <w:spacing w:after="0" w:line="156" w:lineRule="exact"/>
              <w:rPr>
                <w:sz w:val="20"/>
                <w:szCs w:val="20"/>
                <w:color w:val="auto"/>
              </w:rPr>
            </w:pPr>
            <w:r>
              <w:rPr>
                <w:rFonts w:ascii="Arial" w:cs="Arial" w:eastAsia="Arial" w:hAnsi="Arial"/>
                <w:sz w:val="15"/>
                <w:szCs w:val="15"/>
                <w:color w:val="auto"/>
              </w:rPr>
              <w:t>Leased</w:t>
            </w:r>
          </w:p>
        </w:tc>
        <w:tc>
          <w:tcPr>
            <w:tcW w:w="2140" w:type="dxa"/>
            <w:vAlign w:val="bottom"/>
            <w:gridSpan w:val="2"/>
          </w:tcPr>
          <w:p>
            <w:pPr>
              <w:jc w:val="center"/>
              <w:ind w:right="120"/>
              <w:spacing w:after="0" w:line="156" w:lineRule="exact"/>
              <w:rPr>
                <w:sz w:val="20"/>
                <w:szCs w:val="20"/>
                <w:color w:val="auto"/>
              </w:rPr>
            </w:pPr>
            <w:r>
              <w:rPr>
                <w:rFonts w:ascii="Arial" w:cs="Arial" w:eastAsia="Arial" w:hAnsi="Arial"/>
                <w:sz w:val="15"/>
                <w:szCs w:val="15"/>
                <w:color w:val="auto"/>
              </w:rPr>
              <w:t>Month-to-month</w:t>
            </w:r>
          </w:p>
        </w:tc>
        <w:tc>
          <w:tcPr>
            <w:tcW w:w="3020" w:type="dxa"/>
            <w:vAlign w:val="bottom"/>
          </w:tcPr>
          <w:p>
            <w:pPr>
              <w:jc w:val="center"/>
              <w:spacing w:after="0" w:line="156" w:lineRule="exact"/>
              <w:rPr>
                <w:sz w:val="20"/>
                <w:szCs w:val="20"/>
                <w:color w:val="auto"/>
              </w:rPr>
            </w:pPr>
            <w:r>
              <w:rPr>
                <w:rFonts w:ascii="Arial" w:cs="Arial" w:eastAsia="Arial" w:hAnsi="Arial"/>
                <w:sz w:val="15"/>
                <w:szCs w:val="15"/>
                <w:color w:val="auto"/>
                <w:w w:val="99"/>
              </w:rPr>
              <w:t>Limited Service Branch</w:t>
            </w: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5"/>
                <w:szCs w:val="15"/>
                <w:color w:val="auto"/>
              </w:rPr>
              <w:t>Rockville, MD 20852</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56"/>
        </w:trPr>
        <w:tc>
          <w:tcPr>
            <w:tcW w:w="36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818 Connecticut Ave</w:t>
            </w:r>
          </w:p>
        </w:tc>
        <w:tc>
          <w:tcPr>
            <w:tcW w:w="2500" w:type="dxa"/>
            <w:vAlign w:val="bottom"/>
            <w:gridSpan w:val="2"/>
            <w:shd w:val="clear" w:color="auto" w:fill="CCEEFF"/>
          </w:tcPr>
          <w:p>
            <w:pPr>
              <w:jc w:val="center"/>
              <w:ind w:right="120"/>
              <w:spacing w:after="0" w:line="156" w:lineRule="exact"/>
              <w:rPr>
                <w:sz w:val="20"/>
                <w:szCs w:val="20"/>
                <w:color w:val="auto"/>
              </w:rPr>
            </w:pPr>
            <w:r>
              <w:rPr>
                <w:rFonts w:ascii="Arial" w:cs="Arial" w:eastAsia="Arial" w:hAnsi="Arial"/>
                <w:sz w:val="15"/>
                <w:szCs w:val="15"/>
                <w:color w:val="auto"/>
              </w:rPr>
              <w:t>Sub-Leased</w:t>
            </w:r>
          </w:p>
        </w:tc>
        <w:tc>
          <w:tcPr>
            <w:tcW w:w="2140" w:type="dxa"/>
            <w:vAlign w:val="bottom"/>
            <w:gridSpan w:val="2"/>
            <w:shd w:val="clear" w:color="auto" w:fill="CCEEFF"/>
          </w:tcPr>
          <w:p>
            <w:pPr>
              <w:jc w:val="center"/>
              <w:ind w:right="120"/>
              <w:spacing w:after="0" w:line="156" w:lineRule="exact"/>
              <w:rPr>
                <w:sz w:val="20"/>
                <w:szCs w:val="20"/>
                <w:color w:val="auto"/>
              </w:rPr>
            </w:pPr>
            <w:r>
              <w:rPr>
                <w:rFonts w:ascii="Arial" w:cs="Arial" w:eastAsia="Arial" w:hAnsi="Arial"/>
                <w:sz w:val="15"/>
                <w:szCs w:val="15"/>
                <w:color w:val="auto"/>
              </w:rPr>
              <w:t>Month-to-month</w:t>
            </w:r>
          </w:p>
        </w:tc>
        <w:tc>
          <w:tcPr>
            <w:tcW w:w="3020" w:type="dxa"/>
            <w:vAlign w:val="bottom"/>
            <w:shd w:val="clear" w:color="auto" w:fill="CCEEFF"/>
          </w:tcPr>
          <w:p>
            <w:pPr>
              <w:jc w:val="center"/>
              <w:spacing w:after="0" w:line="156" w:lineRule="exact"/>
              <w:rPr>
                <w:sz w:val="20"/>
                <w:szCs w:val="20"/>
                <w:color w:val="auto"/>
              </w:rPr>
            </w:pPr>
            <w:r>
              <w:rPr>
                <w:rFonts w:ascii="Arial" w:cs="Arial" w:eastAsia="Arial" w:hAnsi="Arial"/>
                <w:sz w:val="15"/>
                <w:szCs w:val="15"/>
                <w:color w:val="auto"/>
                <w:w w:val="99"/>
              </w:rPr>
              <w:t>LPO</w:t>
            </w:r>
          </w:p>
        </w:tc>
      </w:tr>
      <w:tr>
        <w:trPr>
          <w:trHeight w:val="145"/>
        </w:trPr>
        <w:tc>
          <w:tcPr>
            <w:tcW w:w="36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Suite 900</w:t>
            </w:r>
          </w:p>
        </w:tc>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Washington, D.C. 20006</w:t>
            </w: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r>
      <w:tr>
        <w:trPr>
          <w:trHeight w:val="156"/>
        </w:trPr>
        <w:tc>
          <w:tcPr>
            <w:tcW w:w="36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10700 Parkridge Boulevard</w:t>
            </w:r>
          </w:p>
        </w:tc>
        <w:tc>
          <w:tcPr>
            <w:tcW w:w="2500" w:type="dxa"/>
            <w:vAlign w:val="bottom"/>
            <w:gridSpan w:val="2"/>
          </w:tcPr>
          <w:p>
            <w:pPr>
              <w:jc w:val="center"/>
              <w:ind w:right="120"/>
              <w:spacing w:after="0" w:line="156" w:lineRule="exact"/>
              <w:rPr>
                <w:sz w:val="20"/>
                <w:szCs w:val="20"/>
                <w:color w:val="auto"/>
              </w:rPr>
            </w:pPr>
            <w:r>
              <w:rPr>
                <w:rFonts w:ascii="Arial" w:cs="Arial" w:eastAsia="Arial" w:hAnsi="Arial"/>
                <w:sz w:val="15"/>
                <w:szCs w:val="15"/>
                <w:color w:val="auto"/>
              </w:rPr>
              <w:t>Leased</w:t>
            </w:r>
          </w:p>
        </w:tc>
        <w:tc>
          <w:tcPr>
            <w:tcW w:w="2040" w:type="dxa"/>
            <w:vAlign w:val="bottom"/>
          </w:tcPr>
          <w:p>
            <w:pPr>
              <w:jc w:val="center"/>
              <w:spacing w:after="0" w:line="156" w:lineRule="exact"/>
              <w:rPr>
                <w:sz w:val="20"/>
                <w:szCs w:val="20"/>
                <w:color w:val="auto"/>
              </w:rPr>
            </w:pPr>
            <w:r>
              <w:rPr>
                <w:rFonts w:ascii="Arial" w:cs="Arial" w:eastAsia="Arial" w:hAnsi="Arial"/>
                <w:sz w:val="15"/>
                <w:szCs w:val="15"/>
                <w:color w:val="auto"/>
                <w:w w:val="99"/>
              </w:rPr>
              <w:t>11/30/23</w:t>
            </w:r>
          </w:p>
        </w:tc>
        <w:tc>
          <w:tcPr>
            <w:tcW w:w="100" w:type="dxa"/>
            <w:vAlign w:val="bottom"/>
          </w:tcPr>
          <w:p>
            <w:pPr>
              <w:spacing w:after="0"/>
              <w:rPr>
                <w:sz w:val="13"/>
                <w:szCs w:val="13"/>
                <w:color w:val="auto"/>
              </w:rPr>
            </w:pPr>
          </w:p>
        </w:tc>
        <w:tc>
          <w:tcPr>
            <w:tcW w:w="3020" w:type="dxa"/>
            <w:vAlign w:val="bottom"/>
          </w:tcPr>
          <w:p>
            <w:pPr>
              <w:jc w:val="center"/>
              <w:spacing w:after="0" w:line="156" w:lineRule="exact"/>
              <w:rPr>
                <w:sz w:val="20"/>
                <w:szCs w:val="20"/>
                <w:color w:val="auto"/>
              </w:rPr>
            </w:pPr>
            <w:r>
              <w:rPr>
                <w:rFonts w:ascii="Arial" w:cs="Arial" w:eastAsia="Arial" w:hAnsi="Arial"/>
                <w:sz w:val="15"/>
                <w:szCs w:val="15"/>
                <w:color w:val="auto"/>
                <w:w w:val="99"/>
              </w:rPr>
              <w:t>Commercial Branch and Mortgage Office</w:t>
            </w:r>
          </w:p>
        </w:tc>
      </w:tr>
      <w:tr>
        <w:trPr>
          <w:trHeight w:val="145"/>
        </w:trPr>
        <w:tc>
          <w:tcPr>
            <w:tcW w:w="36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Suite 180</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5"/>
                <w:szCs w:val="15"/>
                <w:color w:val="auto"/>
              </w:rPr>
              <w:t>Reston, VA 20191</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u w:val="single" w:color="auto"/>
          <w:color w:val="auto"/>
        </w:rPr>
        <w:t>ITEM 3. LEGAL PROCEEDINGS.</w:t>
      </w:r>
    </w:p>
    <w:p>
      <w:pPr>
        <w:spacing w:after="0" w:line="226" w:lineRule="exact"/>
        <w:rPr>
          <w:sz w:val="20"/>
          <w:szCs w:val="20"/>
          <w:color w:val="auto"/>
        </w:rPr>
      </w:pPr>
    </w:p>
    <w:p>
      <w:pPr>
        <w:ind w:firstLine="268"/>
        <w:spacing w:after="0" w:line="258" w:lineRule="auto"/>
        <w:rPr>
          <w:sz w:val="20"/>
          <w:szCs w:val="20"/>
          <w:color w:val="auto"/>
        </w:rPr>
      </w:pPr>
      <w:r>
        <w:rPr>
          <w:rFonts w:ascii="Arial" w:cs="Arial" w:eastAsia="Arial" w:hAnsi="Arial"/>
          <w:sz w:val="15"/>
          <w:szCs w:val="15"/>
          <w:color w:val="auto"/>
        </w:rPr>
        <w:t>From time to time, we are a party to various litigation matters incidental to the ordinary conduct of our business. Management believes that none of these legal proceedings, individually or in the aggregate, will have a material adverse impact on the results of operations or financial condition of the Company.</w:t>
      </w: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4. MINE SAFETY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5"/>
          <w:szCs w:val="15"/>
          <w:b w:val="1"/>
          <w:bCs w:val="1"/>
          <w:color w:val="auto"/>
        </w:rPr>
        <w:t>PART II</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5. MARKET FOR THE REGISTRANT’S COMMON EQUITY, RELATED STOCKHOLDER MATTERS AND ISSUER PURCHASES OF EQUITY SECURITIES</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common stock of the Company has been publicly traded since September 2018 and is currently traded on the Nasdaq Global Select Market under the symbol CBNK.</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As of March 11, 2022, there were approximately 157 holders of record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192" w:lineRule="exact"/>
        <w:rPr>
          <w:sz w:val="20"/>
          <w:szCs w:val="20"/>
          <w:color w:val="auto"/>
        </w:rPr>
      </w:pPr>
    </w:p>
    <w:p>
      <w:pPr>
        <w:jc w:val="both"/>
        <w:spacing w:after="0" w:line="223" w:lineRule="auto"/>
        <w:rPr>
          <w:sz w:val="20"/>
          <w:szCs w:val="20"/>
          <w:color w:val="auto"/>
        </w:rPr>
      </w:pPr>
      <w:r>
        <w:rPr>
          <w:rFonts w:ascii="Arial" w:cs="Arial" w:eastAsia="Arial" w:hAnsi="Arial"/>
          <w:sz w:val="15"/>
          <w:szCs w:val="15"/>
          <w:color w:val="auto"/>
        </w:rPr>
        <w:t>Commencing with the third quarter of 2021, shareholders received quarterly cash dividends on shares of common stock which totaled $1.4 million in 2021. As a general matter, the payment of dividends is at the discretion of the Company’s board of directors, based on such factors as operating results, financial condition, capital adequacy, regulatory requirements, and stockholder return. Although we have no obligation to pay dividends and we may change our dividend policy at any time without notice to shareholders,the Company anticipates continuing a regular quarterly cash dividend.. Any future determination to pay dividends to holders of our common stock will depend on our results of operations, financial condition, capital requirements, banking regulations, contractual restrictions and any other factors that our board of directors may deem relevant.</w:t>
      </w:r>
    </w:p>
    <w:p>
      <w:pPr>
        <w:spacing w:after="0" w:line="6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Our ability to pay dividends on our common stock is dependent on the Bank’s ability to pay dividends to the Company. Various statutory provisions restrict the amount of dividends that the Bank can pay without regulatory approval.</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following table provides information as of December 31, 2021, with respect to options and RSUs outstanding and shares available for future awards under the Company’s active equity incentive plans.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60" w:type="dxa"/>
            <w:vAlign w:val="bottom"/>
          </w:tcPr>
          <w:p>
            <w:pPr>
              <w:spacing w:after="0"/>
              <w:rPr>
                <w:sz w:val="10"/>
                <w:szCs w:val="10"/>
                <w:color w:val="auto"/>
              </w:rPr>
            </w:pPr>
          </w:p>
        </w:tc>
        <w:tc>
          <w:tcPr>
            <w:tcW w:w="21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Number of Securities to be Issued Upon</w:t>
            </w:r>
          </w:p>
        </w:tc>
        <w:tc>
          <w:tcPr>
            <w:tcW w:w="120" w:type="dxa"/>
            <w:vAlign w:val="bottom"/>
          </w:tcPr>
          <w:p>
            <w:pPr>
              <w:spacing w:after="0"/>
              <w:rPr>
                <w:sz w:val="10"/>
                <w:szCs w:val="10"/>
                <w:color w:val="auto"/>
              </w:rPr>
            </w:pPr>
          </w:p>
        </w:tc>
        <w:tc>
          <w:tcPr>
            <w:tcW w:w="1960" w:type="dxa"/>
            <w:vAlign w:val="bottom"/>
            <w:vMerge w:val="restart"/>
          </w:tcPr>
          <w:p>
            <w:pPr>
              <w:jc w:val="center"/>
              <w:ind w:right="79"/>
              <w:spacing w:after="0"/>
              <w:rPr>
                <w:sz w:val="20"/>
                <w:szCs w:val="20"/>
                <w:color w:val="auto"/>
              </w:rPr>
            </w:pPr>
            <w:r>
              <w:rPr>
                <w:rFonts w:ascii="Arial" w:cs="Arial" w:eastAsia="Arial" w:hAnsi="Arial"/>
                <w:sz w:val="10"/>
                <w:szCs w:val="10"/>
                <w:b w:val="1"/>
                <w:bCs w:val="1"/>
                <w:color w:val="auto"/>
              </w:rPr>
              <w:t>Weighted-Average Exercise Price of</w:t>
            </w:r>
          </w:p>
        </w:tc>
        <w:tc>
          <w:tcPr>
            <w:tcW w:w="2260" w:type="dxa"/>
            <w:vAlign w:val="bottom"/>
          </w:tcPr>
          <w:p>
            <w:pPr>
              <w:jc w:val="center"/>
              <w:spacing w:after="0"/>
              <w:rPr>
                <w:sz w:val="20"/>
                <w:szCs w:val="20"/>
                <w:color w:val="auto"/>
              </w:rPr>
            </w:pPr>
            <w:r>
              <w:rPr>
                <w:rFonts w:ascii="Arial" w:cs="Arial" w:eastAsia="Arial" w:hAnsi="Arial"/>
                <w:sz w:val="10"/>
                <w:szCs w:val="10"/>
                <w:b w:val="1"/>
                <w:bCs w:val="1"/>
                <w:color w:val="auto"/>
              </w:rPr>
              <w:t>Number of Securities Remaining Available</w:t>
            </w:r>
          </w:p>
        </w:tc>
        <w:tc>
          <w:tcPr>
            <w:tcW w:w="0" w:type="dxa"/>
            <w:vAlign w:val="bottom"/>
          </w:tcPr>
          <w:p>
            <w:pPr>
              <w:spacing w:after="0"/>
              <w:rPr>
                <w:sz w:val="1"/>
                <w:szCs w:val="1"/>
                <w:color w:val="auto"/>
              </w:rPr>
            </w:pPr>
          </w:p>
        </w:tc>
      </w:tr>
      <w:tr>
        <w:trPr>
          <w:trHeight w:val="101"/>
        </w:trPr>
        <w:tc>
          <w:tcPr>
            <w:tcW w:w="476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226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rPr>
              <w:t>for Future Issuance under Equity</w:t>
            </w:r>
          </w:p>
        </w:tc>
        <w:tc>
          <w:tcPr>
            <w:tcW w:w="0" w:type="dxa"/>
            <w:vAlign w:val="bottom"/>
          </w:tcPr>
          <w:p>
            <w:pPr>
              <w:spacing w:after="0"/>
              <w:rPr>
                <w:sz w:val="1"/>
                <w:szCs w:val="1"/>
                <w:color w:val="auto"/>
              </w:rPr>
            </w:pPr>
          </w:p>
        </w:tc>
      </w:tr>
      <w:tr>
        <w:trPr>
          <w:trHeight w:val="101"/>
        </w:trPr>
        <w:tc>
          <w:tcPr>
            <w:tcW w:w="4760" w:type="dxa"/>
            <w:vAlign w:val="bottom"/>
            <w:vMerge w:val="restart"/>
          </w:tcPr>
          <w:p>
            <w:pPr>
              <w:ind w:left="2040"/>
              <w:spacing w:after="0"/>
              <w:rPr>
                <w:sz w:val="20"/>
                <w:szCs w:val="20"/>
                <w:color w:val="auto"/>
              </w:rPr>
            </w:pPr>
            <w:r>
              <w:rPr>
                <w:rFonts w:ascii="Arial" w:cs="Arial" w:eastAsia="Arial" w:hAnsi="Arial"/>
                <w:sz w:val="10"/>
                <w:szCs w:val="10"/>
                <w:b w:val="1"/>
                <w:bCs w:val="1"/>
                <w:color w:val="auto"/>
              </w:rPr>
              <w:t>Plan Category</w:t>
            </w:r>
          </w:p>
        </w:tc>
        <w:tc>
          <w:tcPr>
            <w:tcW w:w="218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rPr>
              <w:t>Exercise of Outstanding Options, Warrants</w:t>
            </w:r>
          </w:p>
        </w:tc>
        <w:tc>
          <w:tcPr>
            <w:tcW w:w="120" w:type="dxa"/>
            <w:vAlign w:val="bottom"/>
          </w:tcPr>
          <w:p>
            <w:pPr>
              <w:spacing w:after="0"/>
              <w:rPr>
                <w:sz w:val="8"/>
                <w:szCs w:val="8"/>
                <w:color w:val="auto"/>
              </w:rPr>
            </w:pPr>
          </w:p>
        </w:tc>
        <w:tc>
          <w:tcPr>
            <w:tcW w:w="1960" w:type="dxa"/>
            <w:vAlign w:val="bottom"/>
          </w:tcPr>
          <w:p>
            <w:pPr>
              <w:jc w:val="center"/>
              <w:ind w:right="59"/>
              <w:spacing w:after="0" w:line="101" w:lineRule="exact"/>
              <w:rPr>
                <w:sz w:val="20"/>
                <w:szCs w:val="20"/>
                <w:color w:val="auto"/>
              </w:rPr>
            </w:pPr>
            <w:r>
              <w:rPr>
                <w:rFonts w:ascii="Arial" w:cs="Arial" w:eastAsia="Arial" w:hAnsi="Arial"/>
                <w:sz w:val="10"/>
                <w:szCs w:val="10"/>
                <w:b w:val="1"/>
                <w:bCs w:val="1"/>
                <w:color w:val="auto"/>
              </w:rPr>
              <w:t>Outstanding Options, Warrants and</w:t>
            </w:r>
          </w:p>
        </w:tc>
        <w:tc>
          <w:tcPr>
            <w:tcW w:w="226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rPr>
              <w:t>Compensation Plans (excluding securities</w:t>
            </w:r>
          </w:p>
        </w:tc>
        <w:tc>
          <w:tcPr>
            <w:tcW w:w="0" w:type="dxa"/>
            <w:vAlign w:val="bottom"/>
          </w:tcPr>
          <w:p>
            <w:pPr>
              <w:spacing w:after="0"/>
              <w:rPr>
                <w:sz w:val="1"/>
                <w:szCs w:val="1"/>
                <w:color w:val="auto"/>
              </w:rPr>
            </w:pPr>
          </w:p>
        </w:tc>
      </w:tr>
      <w:tr>
        <w:trPr>
          <w:trHeight w:val="141"/>
        </w:trPr>
        <w:tc>
          <w:tcPr>
            <w:tcW w:w="4760" w:type="dxa"/>
            <w:vAlign w:val="bottom"/>
            <w:tcBorders>
              <w:bottom w:val="single" w:sz="8" w:color="auto"/>
            </w:tcBorders>
            <w:vMerge w:val="continue"/>
          </w:tcPr>
          <w:p>
            <w:pPr>
              <w:spacing w:after="0"/>
              <w:rPr>
                <w:sz w:val="12"/>
                <w:szCs w:val="1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and Rights</w:t>
            </w: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center"/>
              <w:ind w:right="59"/>
              <w:spacing w:after="0"/>
              <w:rPr>
                <w:sz w:val="20"/>
                <w:szCs w:val="20"/>
                <w:color w:val="auto"/>
              </w:rPr>
            </w:pPr>
            <w:r>
              <w:rPr>
                <w:rFonts w:ascii="Arial" w:cs="Arial" w:eastAsia="Arial" w:hAnsi="Arial"/>
                <w:sz w:val="10"/>
                <w:szCs w:val="10"/>
                <w:b w:val="1"/>
                <w:bCs w:val="1"/>
                <w:color w:val="auto"/>
              </w:rPr>
              <w:t>Rights</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reflected in column (a))</w:t>
            </w:r>
          </w:p>
        </w:tc>
        <w:tc>
          <w:tcPr>
            <w:tcW w:w="0" w:type="dxa"/>
            <w:vAlign w:val="bottom"/>
          </w:tcPr>
          <w:p>
            <w:pPr>
              <w:spacing w:after="0"/>
              <w:rPr>
                <w:sz w:val="1"/>
                <w:szCs w:val="1"/>
                <w:color w:val="auto"/>
              </w:rPr>
            </w:pPr>
          </w:p>
        </w:tc>
      </w:tr>
      <w:tr>
        <w:trPr>
          <w:trHeight w:val="175"/>
        </w:trPr>
        <w:tc>
          <w:tcPr>
            <w:tcW w:w="476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jc w:val="center"/>
              <w:ind w:right="59"/>
              <w:spacing w:after="0"/>
              <w:rPr>
                <w:sz w:val="20"/>
                <w:szCs w:val="20"/>
                <w:color w:val="auto"/>
              </w:rPr>
            </w:pPr>
            <w:r>
              <w:rPr>
                <w:rFonts w:ascii="Arial" w:cs="Arial" w:eastAsia="Arial" w:hAnsi="Arial"/>
                <w:sz w:val="13"/>
                <w:szCs w:val="13"/>
                <w:color w:val="auto"/>
              </w:rPr>
              <w:t>(b)</w:t>
            </w:r>
          </w:p>
        </w:tc>
        <w:tc>
          <w:tcPr>
            <w:tcW w:w="2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(c)</w:t>
            </w:r>
          </w:p>
        </w:tc>
        <w:tc>
          <w:tcPr>
            <w:tcW w:w="0" w:type="dxa"/>
            <w:vAlign w:val="bottom"/>
          </w:tcPr>
          <w:p>
            <w:pPr>
              <w:spacing w:after="0"/>
              <w:rPr>
                <w:sz w:val="1"/>
                <w:szCs w:val="1"/>
                <w:color w:val="auto"/>
              </w:rPr>
            </w:pPr>
          </w:p>
        </w:tc>
      </w:tr>
      <w:tr>
        <w:trPr>
          <w:trHeight w:val="177"/>
        </w:trPr>
        <w:tc>
          <w:tcPr>
            <w:tcW w:w="4760" w:type="dxa"/>
            <w:vAlign w:val="bottom"/>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 Bancorp, Inc. 2017 Stock and Incentive Compensation Plan</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1,060,023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883,381</w:t>
            </w:r>
          </w:p>
        </w:tc>
        <w:tc>
          <w:tcPr>
            <w:tcW w:w="0" w:type="dxa"/>
            <w:vAlign w:val="bottom"/>
          </w:tcPr>
          <w:p>
            <w:pPr>
              <w:spacing w:after="0"/>
              <w:rPr>
                <w:sz w:val="1"/>
                <w:szCs w:val="1"/>
                <w:color w:val="auto"/>
              </w:rPr>
            </w:pPr>
          </w:p>
        </w:tc>
      </w:tr>
      <w:tr>
        <w:trPr>
          <w:trHeight w:val="17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compensation plans not approved by security holders</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4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1,060,023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883,381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color w:val="auto"/>
        </w:rPr>
        <w:t>Unregistered Sales and Issuer Repurchases of Common Stock</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There were no unregistered sales of the Company’s stock during the fourth quarter of 2021. The Company did not repurchase any of its shares during the fourth quarter of 2021. The Company has an authorized share repurchase program pending regulator approval.</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6. [Reserved]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7. MANAGEMENT’S DISCUSSION AND ANALYSIS OF FINANCIAL CONDITION AND RESULTS OF OPERATIONS</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Executive Summary</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following summary should be read in conjunction with the Management’s Discussion and Analysis of Financial Condition and Results of Operations section in its entirety.</w:t>
      </w:r>
    </w:p>
    <w:p>
      <w:pPr>
        <w:spacing w:after="0" w:line="166"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Net income for the year ended December 31, 2021 increased $14.2 million, or 54.8% when compared to the prior year, due primarily to an increase in average balances in the loan portfolio, an increase in credit card revenue, a reduction in rates for all interest bearing liabilities, and a reduction in the provision for loan losses. These positive factors were offset by a decrease in mortgage banking revenue, increases in salaries and employee benefits, data processing and advertising. During the year ended December 31, 2021, primarily as a result of bringing on new lending teams to focus on growing the Company’s commercial real estate portfolio, specifically owner occupied properties, the Bank’s commercial real estate loan portfolio grew by $163.8 million, of which $102.2 million was owner occupied. The growth in our credit card portfolio of $38.9 million was due in part to targeted advertising as well as the normalization of consumer behavior across a larger customer base. The increase in credit card activity was mainly responsible for the increase in data processing expenses.</w:t>
      </w:r>
    </w:p>
    <w:p>
      <w:pPr>
        <w:spacing w:after="0" w:line="175"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net interest margin was 5.86% for the year ended December 31, 2021 compared to 5.14% for the prior year. Primarily driving this margin expansion were increases in average portfolio loan balances of $155.9 million, a 90 basis point increase in the loan yield on the portfolio loans, and the overall rate reduction for the interest bearing deposit portfolio. Leading the increase in average portfolio balances were the commercial real estate and credit card portfolios with average balance increases of $90.5 million and $51.4 million, respectively, when comparing the year ended December 31, 2021 to December 31, 2020. Management’s concerted effort in reducing the cost of funds associated with our interest bearing deposit portfolio resulted in a 63 basis point reduction between 2020 and 2021. The reduction in rates for the money market and time deposit portfolios provided the greatest benefit in reducing the cost of funds for the overall interest bearing deposit portfolio.</w:t>
      </w:r>
    </w:p>
    <w:p>
      <w:pPr>
        <w:spacing w:after="0" w:line="175"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Total assets grew by $178.7 million while total liabilities grew by $140.1 million when comparing year end 2021 to 2020. Liquidity provided by the net SBA-PPP run off and the reduction in our mortgage loans held for sale balances coupled with our increase in core deposits enabled the Company to redeploy excess liquidity to growth in our loan and investment portfolios as well as acquiring $35.0 million in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31" w:name="page32"/>
    <w:bookmarkEnd w:id="31"/>
    <w:p>
      <w:pPr>
        <w:jc w:val="both"/>
        <w:spacing w:after="0" w:line="258" w:lineRule="auto"/>
        <w:rPr>
          <w:sz w:val="20"/>
          <w:szCs w:val="20"/>
          <w:color w:val="auto"/>
        </w:rPr>
      </w:pPr>
      <w:r>
        <w:rPr>
          <w:rFonts w:ascii="Arial" w:cs="Arial" w:eastAsia="Arial" w:hAnsi="Arial"/>
          <w:sz w:val="15"/>
          <w:szCs w:val="15"/>
          <w:color w:val="auto"/>
        </w:rPr>
        <w:t>owned life insurance. Total liability growth was due to the growth in total core deposits with noninterest bearing deposits growing by 29.4% when comparing December 31, 2021 to December 31, 2020.</w:t>
      </w:r>
    </w:p>
    <w:p>
      <w:pPr>
        <w:spacing w:after="0" w:line="158" w:lineRule="exact"/>
        <w:rPr>
          <w:sz w:val="20"/>
          <w:szCs w:val="20"/>
          <w:color w:val="auto"/>
        </w:rPr>
      </w:pPr>
    </w:p>
    <w:p>
      <w:pPr>
        <w:jc w:val="both"/>
        <w:ind w:firstLine="268"/>
        <w:spacing w:after="0" w:line="233" w:lineRule="auto"/>
        <w:rPr>
          <w:sz w:val="20"/>
          <w:szCs w:val="20"/>
          <w:color w:val="auto"/>
        </w:rPr>
      </w:pPr>
      <w:r>
        <w:rPr>
          <w:rFonts w:ascii="Arial" w:cs="Arial" w:eastAsia="Arial" w:hAnsi="Arial"/>
          <w:sz w:val="15"/>
          <w:szCs w:val="15"/>
          <w:color w:val="auto"/>
        </w:rPr>
        <w:t>The Bank’s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division continued to exceed management’s expectations during 2021. Active customer accounts grew by 92 thousand when comparing the year end balance 2021 to 2020, driving a $38.9 million growth in credit card loans, net of reserves. The noninterest bearing deposits associated with the secured credit card loans grew by $37.0 million, to $229.5 million at December 31, 2021 in comparison to December 31, 2020. Management is beginning to see the impact of COVID-19 dissipate as customer behaviors begin to return to more seasonal norms. Prior to COVID-19, the majority of growth came in the first and second quarters of the year tapering off in quarters three and four. Beginning in the second quarter of 2020, management saw unprecedented growth through the end of the year and into the first quarter of 2021 due mainly to the COVID-19 stimulus monies being received by OpenSky’s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target market. The second quarter of 2021 saw a return to more normalized quarterly trends which continued throughout the year.</w:t>
      </w:r>
    </w:p>
    <w:p>
      <w:pPr>
        <w:spacing w:after="0" w:line="180"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The Bank’s Capital Bank Home Loans division saw a decline in mortgage originations during the year ended December 31, 2021 when compared to the prior year. The steepening of the yield curve in 2021 slowed originations from the year earlier when low interest rates fueled refinance volumes. Gain on sale margins, down slightly from 3.02% for the twelve months ended December 31, 2020, remained strong at 2.79% for the twelve months ended December 31, 2021. Historically-low housing inventory, shortages in new home building materials, and fluctuating interest rates are likely to continue suppressing origination volumes into 2022.</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Critical Accounting Estimates</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accounting and reporting policies of the Company are in accordance with U.S.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needed. Management has discussed the Company’s critical accounting policies and estimates with the Audit Committee of the Board of Directors of the Company.</w:t>
      </w:r>
    </w:p>
    <w:p>
      <w:pPr>
        <w:spacing w:after="0" w:line="175"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 Company’s accounting policies are fundamental to understanding the Company’s consolidated financial position and consolidated results of operations. Accordingly, the Company’s significant accounting policies are discussed in detail in “Note 1 - Nature of Business and Basis of Presentation” in the “Notes to the Consolidated Financial Statements” contained in Part II, Item 8 "Financial Statements and Supplementary Data".</w:t>
      </w:r>
    </w:p>
    <w:p>
      <w:pPr>
        <w:spacing w:after="0" w:line="17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 critical accounting and reporting policies include the Company’s accounting for the allowance for loan losses. The Company provides additional information on its allowance for loan losses in “Note 1 - Nature of Business and Basis of Presentation” in the “Notes to the Consolidated Financial Statements” contained in Part II, Item 8 "Financial Statements and Supplementary Data".</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Recent Accounting Pronouncements</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For a discussion of Recent Accounting Pronouncements, see “Part II, Item 8. Financial Statements and Supplementary Data - Notes to Financial Statements - Note 1.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32" w:name="page33"/>
    <w:bookmarkEnd w:id="32"/>
    <w:p>
      <w:pPr>
        <w:ind w:left="280"/>
        <w:spacing w:after="0"/>
        <w:rPr>
          <w:sz w:val="20"/>
          <w:szCs w:val="20"/>
          <w:color w:val="auto"/>
        </w:rPr>
      </w:pPr>
      <w:r>
        <w:rPr>
          <w:rFonts w:ascii="Arial" w:cs="Arial" w:eastAsia="Arial" w:hAnsi="Arial"/>
          <w:sz w:val="15"/>
          <w:szCs w:val="15"/>
          <w:b w:val="1"/>
          <w:bCs w:val="1"/>
          <w:color w:val="auto"/>
        </w:rPr>
        <w:t>Results of Operations for the Years Ended December 31, 2021 and 2020</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Income</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the principal components of net income for the periods indicated.</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58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2"/>
                <w:szCs w:val="12"/>
                <w:b w:val="1"/>
                <w:bCs w:val="1"/>
                <w:color w:val="auto"/>
              </w:rPr>
              <w:t>Years Ended December 31,</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48"/>
        </w:trPr>
        <w:tc>
          <w:tcPr>
            <w:tcW w:w="5800" w:type="dxa"/>
            <w:vAlign w:val="bottom"/>
            <w:tcBorders>
              <w:bottom w:val="single" w:sz="8" w:color="CCEEFF"/>
            </w:tcBorders>
          </w:tcPr>
          <w:p>
            <w:pPr>
              <w:ind w:left="280"/>
              <w:spacing w:after="0"/>
              <w:rPr>
                <w:sz w:val="20"/>
                <w:szCs w:val="20"/>
                <w:color w:val="auto"/>
              </w:rPr>
            </w:pPr>
            <w:r>
              <w:rPr>
                <w:rFonts w:ascii="Arial" w:cs="Arial" w:eastAsia="Arial" w:hAnsi="Arial"/>
                <w:sz w:val="9"/>
                <w:szCs w:val="9"/>
                <w:color w:val="auto"/>
              </w:rPr>
              <w:t>(in thousands)</w:t>
            </w:r>
          </w:p>
        </w:tc>
        <w:tc>
          <w:tcPr>
            <w:tcW w:w="6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4"/>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 Change</w:t>
            </w:r>
          </w:p>
        </w:tc>
      </w:tr>
      <w:tr>
        <w:trPr>
          <w:trHeight w:val="170"/>
        </w:trPr>
        <w:tc>
          <w:tcPr>
            <w:tcW w:w="5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income</w:t>
            </w:r>
          </w:p>
        </w:tc>
        <w:tc>
          <w:tcPr>
            <w:tcW w:w="6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123,243</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97,251</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26.7</w:t>
            </w:r>
          </w:p>
        </w:tc>
      </w:tr>
      <w:tr>
        <w:trPr>
          <w:trHeight w:val="177"/>
        </w:trPr>
        <w:tc>
          <w:tcPr>
            <w:tcW w:w="58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Interest expense</w:t>
            </w: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6,550</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13,182</w:t>
            </w:r>
          </w:p>
        </w:tc>
        <w:tc>
          <w:tcPr>
            <w:tcW w:w="15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3"/>
                <w:szCs w:val="13"/>
                <w:color w:val="auto"/>
              </w:rPr>
              <w:t>(50.3)</w:t>
            </w:r>
          </w:p>
        </w:tc>
      </w:tr>
      <w:tr>
        <w:trPr>
          <w:trHeight w:val="173"/>
        </w:trPr>
        <w:tc>
          <w:tcPr>
            <w:tcW w:w="580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Net interest income</w:t>
            </w: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116,693</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84,069</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38.8</w:t>
            </w:r>
          </w:p>
        </w:tc>
      </w:tr>
      <w:tr>
        <w:trPr>
          <w:trHeight w:val="177"/>
        </w:trPr>
        <w:tc>
          <w:tcPr>
            <w:tcW w:w="58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Provision for loan losses</w:t>
            </w: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3,359</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11,242</w:t>
            </w:r>
          </w:p>
        </w:tc>
        <w:tc>
          <w:tcPr>
            <w:tcW w:w="15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3"/>
                <w:szCs w:val="13"/>
                <w:color w:val="auto"/>
              </w:rPr>
              <w:t>(70.1)</w:t>
            </w:r>
          </w:p>
        </w:tc>
      </w:tr>
      <w:tr>
        <w:trPr>
          <w:trHeight w:val="173"/>
        </w:trPr>
        <w:tc>
          <w:tcPr>
            <w:tcW w:w="58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Net interest income after provision</w:t>
            </w: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113,334</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72,827</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55.6</w:t>
            </w:r>
          </w:p>
        </w:tc>
      </w:tr>
      <w:tr>
        <w:trPr>
          <w:trHeight w:val="177"/>
        </w:trPr>
        <w:tc>
          <w:tcPr>
            <w:tcW w:w="5800" w:type="dxa"/>
            <w:vAlign w:val="bottom"/>
          </w:tcPr>
          <w:p>
            <w:pPr>
              <w:ind w:left="280"/>
              <w:spacing w:after="0"/>
              <w:rPr>
                <w:sz w:val="20"/>
                <w:szCs w:val="20"/>
                <w:color w:val="auto"/>
              </w:rPr>
            </w:pPr>
            <w:r>
              <w:rPr>
                <w:rFonts w:ascii="Arial" w:cs="Arial" w:eastAsia="Arial" w:hAnsi="Arial"/>
                <w:sz w:val="13"/>
                <w:szCs w:val="13"/>
                <w:color w:val="auto"/>
              </w:rPr>
              <w:t>Noninterest income</w:t>
            </w:r>
          </w:p>
        </w:tc>
        <w:tc>
          <w:tcPr>
            <w:tcW w:w="6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50,636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50,144</w:t>
            </w: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1.0</w:t>
            </w:r>
          </w:p>
        </w:tc>
      </w:tr>
      <w:tr>
        <w:trPr>
          <w:trHeight w:val="181"/>
        </w:trPr>
        <w:tc>
          <w:tcPr>
            <w:tcW w:w="5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Noninterest expense</w:t>
            </w:r>
          </w:p>
        </w:tc>
        <w:tc>
          <w:tcPr>
            <w:tcW w:w="6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110,094</w:t>
            </w: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87,834</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25.3</w:t>
            </w:r>
          </w:p>
        </w:tc>
      </w:tr>
      <w:tr>
        <w:trPr>
          <w:trHeight w:val="168"/>
        </w:trPr>
        <w:tc>
          <w:tcPr>
            <w:tcW w:w="5800" w:type="dxa"/>
            <w:vAlign w:val="bottom"/>
          </w:tcPr>
          <w:p>
            <w:pPr>
              <w:ind w:left="440"/>
              <w:spacing w:after="0"/>
              <w:rPr>
                <w:sz w:val="20"/>
                <w:szCs w:val="20"/>
                <w:color w:val="auto"/>
              </w:rPr>
            </w:pPr>
            <w:r>
              <w:rPr>
                <w:rFonts w:ascii="Arial" w:cs="Arial" w:eastAsia="Arial" w:hAnsi="Arial"/>
                <w:sz w:val="13"/>
                <w:szCs w:val="13"/>
                <w:b w:val="1"/>
                <w:bCs w:val="1"/>
                <w:color w:val="auto"/>
              </w:rPr>
              <w:t>Net income before income taxes</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53,876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35,137</w:t>
            </w: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53.3</w:t>
            </w:r>
          </w:p>
        </w:tc>
      </w:tr>
      <w:tr>
        <w:trPr>
          <w:trHeight w:val="179"/>
        </w:trPr>
        <w:tc>
          <w:tcPr>
            <w:tcW w:w="5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 expense</w:t>
            </w:r>
          </w:p>
        </w:tc>
        <w:tc>
          <w:tcPr>
            <w:tcW w:w="6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13,898</w:t>
            </w: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9,314</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49.2</w:t>
            </w:r>
          </w:p>
        </w:tc>
      </w:tr>
      <w:tr>
        <w:trPr>
          <w:trHeight w:val="173"/>
        </w:trPr>
        <w:tc>
          <w:tcPr>
            <w:tcW w:w="5800" w:type="dxa"/>
            <w:vAlign w:val="bottom"/>
          </w:tcPr>
          <w:p>
            <w:pPr>
              <w:ind w:left="440"/>
              <w:spacing w:after="0"/>
              <w:rPr>
                <w:sz w:val="20"/>
                <w:szCs w:val="20"/>
                <w:color w:val="auto"/>
              </w:rPr>
            </w:pPr>
            <w:r>
              <w:rPr>
                <w:rFonts w:ascii="Arial" w:cs="Arial" w:eastAsia="Arial" w:hAnsi="Arial"/>
                <w:sz w:val="13"/>
                <w:szCs w:val="13"/>
                <w:b w:val="1"/>
                <w:bCs w:val="1"/>
                <w:color w:val="auto"/>
              </w:rPr>
              <w:t>Net income</w:t>
            </w: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39,978</w:t>
            </w:r>
          </w:p>
        </w:tc>
        <w:tc>
          <w:tcPr>
            <w:tcW w:w="120" w:type="dxa"/>
            <w:vAlign w:val="bottom"/>
          </w:tcPr>
          <w:p>
            <w:pPr>
              <w:spacing w:after="0"/>
              <w:rPr>
                <w:sz w:val="15"/>
                <w:szCs w:val="15"/>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25,823</w:t>
            </w: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54.8</w:t>
            </w:r>
          </w:p>
        </w:tc>
      </w:tr>
      <w:tr>
        <w:trPr>
          <w:trHeight w:val="20"/>
        </w:trPr>
        <w:tc>
          <w:tcPr>
            <w:tcW w:w="5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right="80" w:firstLine="268"/>
        <w:spacing w:after="0" w:line="250" w:lineRule="auto"/>
        <w:rPr>
          <w:sz w:val="20"/>
          <w:szCs w:val="20"/>
          <w:color w:val="auto"/>
        </w:rPr>
      </w:pPr>
      <w:r>
        <w:rPr>
          <w:rFonts w:ascii="Arial" w:cs="Arial" w:eastAsia="Arial" w:hAnsi="Arial"/>
          <w:sz w:val="15"/>
          <w:szCs w:val="15"/>
          <w:color w:val="auto"/>
        </w:rPr>
        <w:t>Net income for the year ended December 31, 2021 was $40.0 million, up from net income for the year ended December 31, 2020 of $25.8 million. The increase in net interest income was primarily due to the increase in average loans outstanding in the loan portfolio year over year, an increase in credit card fees, and a reduction in rates for all interest bearing liabilities. Year over year growth in portfolio loan volumes attributed $26.8 million to the increase in net interest income with $22.1 million attributable to the growth in the credit card portfolio. An additional $10.9 million in credit card fees were generated in 2021 when compared to 2020. Year over year rate reductions for all interest bearing liabilities contributed an additional $6.1 million to the net interest income growth. The provision for loan losses decreased $7.9 million when comparing the years ended December 31, 2020 to 2021. Management’s focus on reducing nonperforming assets as well as the improved economy during 2021 resulted in a reduced need for additional provisioning. Offsetting factors included a decline in mortgage banking revenue of $11.4 million when comparing 2021 to 2020 as well as increases in noninterest expenses. Data processing and advertising increased $12.3 million and $2.3 million, respectively, when comparing the annual 2021 expenses to 2020 due primarily to increases in credit card portfolio activity and targeted marketing campaigns for the unveiling of OpenSky’s new offerings. Salaries and employee benefits increased $4.4 million for the year ended December 31, 2021 in comparison to 2020 as the Company increased its overall full-time positions by 18, hiring commercial lending teams as well as senior management officials and staff at the Bank.</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Interest Income and Net Margin Analysis</w:t>
      </w:r>
    </w:p>
    <w:p>
      <w:pPr>
        <w:spacing w:after="0" w:line="202" w:lineRule="exact"/>
        <w:rPr>
          <w:sz w:val="20"/>
          <w:szCs w:val="20"/>
          <w:color w:val="auto"/>
        </w:rPr>
      </w:pPr>
    </w:p>
    <w:p>
      <w:pPr>
        <w:jc w:val="both"/>
        <w:ind w:right="120" w:firstLine="268"/>
        <w:spacing w:after="0" w:line="280" w:lineRule="auto"/>
        <w:rPr>
          <w:sz w:val="20"/>
          <w:szCs w:val="20"/>
          <w:color w:val="auto"/>
        </w:rPr>
      </w:pPr>
      <w:r>
        <w:rPr>
          <w:rFonts w:ascii="Arial" w:cs="Arial" w:eastAsia="Arial" w:hAnsi="Arial"/>
          <w:sz w:val="14"/>
          <w:szCs w:val="14"/>
          <w:color w:val="auto"/>
        </w:rPr>
        <w:t>Net interest income is the difference between interest income on earning assets and the cost of funds supporting those assets. Earning assets are composed primarily of loans, loans held for sale, investment securities, and interest bearing deposits with banks. The cost of funds represents interest expense on deposits and borrowings, which consist of federal funds purchased, advances from the FHLB, and subordinated notes. Noninterest bearing deposits and capital also provide sources of funding.</w:t>
      </w:r>
    </w:p>
    <w:p>
      <w:pPr>
        <w:spacing w:after="0" w:line="153" w:lineRule="exact"/>
        <w:rPr>
          <w:sz w:val="20"/>
          <w:szCs w:val="20"/>
          <w:color w:val="auto"/>
        </w:rPr>
      </w:pPr>
    </w:p>
    <w:p>
      <w:pPr>
        <w:jc w:val="both"/>
        <w:ind w:right="120" w:firstLine="268"/>
        <w:spacing w:after="0" w:line="252" w:lineRule="auto"/>
        <w:rPr>
          <w:sz w:val="20"/>
          <w:szCs w:val="20"/>
          <w:color w:val="auto"/>
        </w:rPr>
      </w:pPr>
      <w:r>
        <w:rPr>
          <w:rFonts w:ascii="Arial" w:cs="Arial" w:eastAsia="Arial" w:hAnsi="Arial"/>
          <w:sz w:val="15"/>
          <w:szCs w:val="15"/>
          <w:color w:val="auto"/>
        </w:rPr>
        <w:t>We analyze our ability to maximize income generated from interest earning assets and control the interest expenses of our liabilities, measured as net interest income, through our net interest margin and net interest spread. Net interest margin is a ratio calculated as net interest income annualized divided by average interest earning assets for the same period. Net interest spread is the difference between average interest rates earned on interest earning assets and average interest rates paid on interest bearing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374" w:right="239" w:bottom="1440" w:gutter="0" w:footer="0" w:header="0"/>
        </w:sectPr>
      </w:pPr>
    </w:p>
    <w:bookmarkStart w:id="33" w:name="page34"/>
    <w:bookmarkEnd w:id="33"/>
    <w:p>
      <w:pPr>
        <w:jc w:val="both"/>
        <w:ind w:firstLine="268"/>
        <w:spacing w:after="0" w:line="250" w:lineRule="auto"/>
        <w:rPr>
          <w:sz w:val="20"/>
          <w:szCs w:val="20"/>
          <w:color w:val="auto"/>
        </w:rPr>
      </w:pPr>
      <w:r>
        <w:rPr>
          <w:rFonts w:ascii="Arial" w:cs="Arial" w:eastAsia="Arial" w:hAnsi="Arial"/>
          <w:sz w:val="15"/>
          <w:szCs w:val="15"/>
          <w:color w:val="auto"/>
        </w:rPr>
        <w:t>Changes in market interest rates and the interest rates we earn on interest earning assets or pay on interest bearing liabilities, as well as in the volume and mix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our net interest income and net interest margin as our primary sources of earnings.</w:t>
      </w:r>
    </w:p>
    <w:p>
      <w:pPr>
        <w:spacing w:after="0" w:line="173"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The table below presents the average balances and weighted average rates of the major categories of the Company’s assets, liabilities, and stockholders’ equity for the years ended December 31, 2021 and 2020. Weighted average yields are derived by dividing annual income by the average balance of the related assets, and weighted average rates are derived by dividing annual expense by the average balance of the related liabilities, for the periods shown. Average outstanding balances are derived by utilizing average daily balances for the time period shown. The weighted average yields and rates include amortization of fees, costs, premiums and discounts, which are considered adjustments to yield/rates. Weighted average yields on tax-exempt securities are not calculated on a fully taxable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34" w:name="page35"/>
    <w:bookmarkEnd w:id="34"/>
    <w:p>
      <w:pPr>
        <w:jc w:val="center"/>
        <w:ind w:right="-279"/>
        <w:spacing w:after="0"/>
        <w:rPr>
          <w:sz w:val="20"/>
          <w:szCs w:val="20"/>
          <w:color w:val="auto"/>
        </w:rPr>
      </w:pPr>
      <w:r>
        <w:rPr>
          <w:rFonts w:ascii="Arial" w:cs="Arial" w:eastAsia="Arial" w:hAnsi="Arial"/>
          <w:sz w:val="15"/>
          <w:szCs w:val="15"/>
          <w:b w:val="1"/>
          <w:bCs w:val="1"/>
          <w:color w:val="auto"/>
        </w:rPr>
        <w:t>AVERAGE BALANCE SHEET AND NET INTEREST ANALYSIS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ind w:left="440"/>
              <w:spacing w:after="0"/>
              <w:rPr>
                <w:sz w:val="20"/>
                <w:szCs w:val="20"/>
                <w:color w:val="auto"/>
              </w:rPr>
            </w:pPr>
            <w:r>
              <w:rPr>
                <w:rFonts w:ascii="Arial" w:cs="Arial" w:eastAsia="Arial" w:hAnsi="Arial"/>
                <w:sz w:val="12"/>
                <w:szCs w:val="12"/>
                <w:b w:val="1"/>
                <w:bCs w:val="1"/>
                <w:color w:val="auto"/>
              </w:rPr>
              <w:t>Years Ended December 31,</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tcPr>
          <w:p>
            <w:pPr>
              <w:jc w:val="center"/>
              <w:ind w:right="360"/>
              <w:spacing w:after="0" w:line="114" w:lineRule="exact"/>
              <w:rPr>
                <w:sz w:val="20"/>
                <w:szCs w:val="20"/>
                <w:color w:val="auto"/>
              </w:rPr>
            </w:pPr>
            <w:r>
              <w:rPr>
                <w:rFonts w:ascii="Arial" w:cs="Arial" w:eastAsia="Arial" w:hAnsi="Arial"/>
                <w:sz w:val="12"/>
                <w:szCs w:val="12"/>
                <w:b w:val="1"/>
                <w:bCs w:val="1"/>
                <w:color w:val="auto"/>
                <w:w w:val="97"/>
              </w:rPr>
              <w:t>Average</w:t>
            </w: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Interest Income/</w:t>
            </w:r>
          </w:p>
        </w:tc>
        <w:tc>
          <w:tcPr>
            <w:tcW w:w="1200" w:type="dxa"/>
            <w:vAlign w:val="bottom"/>
          </w:tcPr>
          <w:p>
            <w:pPr>
              <w:jc w:val="right"/>
              <w:ind w:right="320"/>
              <w:spacing w:after="0" w:line="114" w:lineRule="exact"/>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tcPr>
          <w:p>
            <w:pPr>
              <w:jc w:val="center"/>
              <w:ind w:right="320"/>
              <w:spacing w:after="0" w:line="114" w:lineRule="exact"/>
              <w:rPr>
                <w:sz w:val="20"/>
                <w:szCs w:val="20"/>
                <w:color w:val="auto"/>
              </w:rPr>
            </w:pPr>
            <w:r>
              <w:rPr>
                <w:rFonts w:ascii="Arial" w:cs="Arial" w:eastAsia="Arial" w:hAnsi="Arial"/>
                <w:sz w:val="12"/>
                <w:szCs w:val="12"/>
                <w:b w:val="1"/>
                <w:bCs w:val="1"/>
                <w:color w:val="auto"/>
              </w:rPr>
              <w:t>Average</w:t>
            </w:r>
          </w:p>
        </w:tc>
        <w:tc>
          <w:tcPr>
            <w:tcW w:w="120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99"/>
              </w:rPr>
              <w:t>Interest Income/</w:t>
            </w:r>
          </w:p>
        </w:tc>
        <w:tc>
          <w:tcPr>
            <w:tcW w:w="1180" w:type="dxa"/>
            <w:vAlign w:val="bottom"/>
          </w:tcPr>
          <w:p>
            <w:pPr>
              <w:ind w:left="340"/>
              <w:spacing w:after="0" w:line="114" w:lineRule="exact"/>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12"/>
        </w:trPr>
        <w:tc>
          <w:tcPr>
            <w:tcW w:w="3460" w:type="dxa"/>
            <w:vAlign w:val="bottom"/>
            <w:vMerge w:val="restart"/>
          </w:tcPr>
          <w:p>
            <w:pPr>
              <w:ind w:left="20"/>
              <w:spacing w:after="0"/>
              <w:rPr>
                <w:sz w:val="20"/>
                <w:szCs w:val="20"/>
                <w:color w:val="auto"/>
              </w:rPr>
            </w:pPr>
            <w:r>
              <w:rPr>
                <w:rFonts w:ascii="Arial" w:cs="Arial" w:eastAsia="Arial" w:hAnsi="Arial"/>
                <w:sz w:val="12"/>
                <w:szCs w:val="12"/>
                <w:color w:val="auto"/>
              </w:rPr>
              <w:t>(in thousands)</w:t>
            </w:r>
          </w:p>
        </w:tc>
        <w:tc>
          <w:tcPr>
            <w:tcW w:w="220" w:type="dxa"/>
            <w:vAlign w:val="bottom"/>
          </w:tcPr>
          <w:p>
            <w:pPr>
              <w:spacing w:after="0"/>
              <w:rPr>
                <w:sz w:val="9"/>
                <w:szCs w:val="9"/>
                <w:color w:val="auto"/>
              </w:rPr>
            </w:pPr>
          </w:p>
        </w:tc>
        <w:tc>
          <w:tcPr>
            <w:tcW w:w="1300" w:type="dxa"/>
            <w:vAlign w:val="bottom"/>
            <w:gridSpan w:val="2"/>
          </w:tcPr>
          <w:p>
            <w:pPr>
              <w:jc w:val="center"/>
              <w:ind w:right="360"/>
              <w:spacing w:after="0" w:line="112" w:lineRule="exact"/>
              <w:rPr>
                <w:sz w:val="20"/>
                <w:szCs w:val="20"/>
                <w:color w:val="auto"/>
              </w:rPr>
            </w:pPr>
            <w:r>
              <w:rPr>
                <w:rFonts w:ascii="Arial" w:cs="Arial" w:eastAsia="Arial" w:hAnsi="Arial"/>
                <w:sz w:val="12"/>
                <w:szCs w:val="12"/>
                <w:b w:val="1"/>
                <w:bCs w:val="1"/>
                <w:color w:val="auto"/>
                <w:w w:val="98"/>
              </w:rPr>
              <w:t>Outstanding</w:t>
            </w:r>
          </w:p>
        </w:tc>
        <w:tc>
          <w:tcPr>
            <w:tcW w:w="1200" w:type="dxa"/>
            <w:vAlign w:val="bottom"/>
            <w:gridSpan w:val="3"/>
            <w:vMerge w:val="continue"/>
          </w:tcPr>
          <w:p>
            <w:pPr>
              <w:spacing w:after="0"/>
              <w:rPr>
                <w:sz w:val="9"/>
                <w:szCs w:val="9"/>
                <w:color w:val="auto"/>
              </w:rPr>
            </w:pPr>
          </w:p>
        </w:tc>
        <w:tc>
          <w:tcPr>
            <w:tcW w:w="1200" w:type="dxa"/>
            <w:vAlign w:val="bottom"/>
          </w:tcPr>
          <w:p>
            <w:pPr>
              <w:ind w:left="420"/>
              <w:spacing w:after="0" w:line="112" w:lineRule="exact"/>
              <w:rPr>
                <w:sz w:val="20"/>
                <w:szCs w:val="20"/>
                <w:color w:val="auto"/>
              </w:rPr>
            </w:pPr>
            <w:r>
              <w:rPr>
                <w:rFonts w:ascii="Arial" w:cs="Arial" w:eastAsia="Arial" w:hAnsi="Arial"/>
                <w:sz w:val="12"/>
                <w:szCs w:val="12"/>
                <w:b w:val="1"/>
                <w:bCs w:val="1"/>
                <w:color w:val="auto"/>
              </w:rPr>
              <w:t>Yield/</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tcPr>
          <w:p>
            <w:pPr>
              <w:jc w:val="center"/>
              <w:ind w:right="340"/>
              <w:spacing w:after="0" w:line="112" w:lineRule="exact"/>
              <w:rPr>
                <w:sz w:val="20"/>
                <w:szCs w:val="20"/>
                <w:color w:val="auto"/>
              </w:rPr>
            </w:pPr>
            <w:r>
              <w:rPr>
                <w:rFonts w:ascii="Arial" w:cs="Arial" w:eastAsia="Arial" w:hAnsi="Arial"/>
                <w:sz w:val="12"/>
                <w:szCs w:val="12"/>
                <w:b w:val="1"/>
                <w:bCs w:val="1"/>
                <w:color w:val="auto"/>
                <w:w w:val="98"/>
              </w:rPr>
              <w:t>Outstanding</w:t>
            </w:r>
          </w:p>
        </w:tc>
        <w:tc>
          <w:tcPr>
            <w:tcW w:w="1200" w:type="dxa"/>
            <w:vAlign w:val="bottom"/>
            <w:gridSpan w:val="3"/>
            <w:vMerge w:val="continue"/>
          </w:tcPr>
          <w:p>
            <w:pPr>
              <w:spacing w:after="0"/>
              <w:rPr>
                <w:sz w:val="9"/>
                <w:szCs w:val="9"/>
                <w:color w:val="auto"/>
              </w:rPr>
            </w:pPr>
          </w:p>
        </w:tc>
        <w:tc>
          <w:tcPr>
            <w:tcW w:w="1180" w:type="dxa"/>
            <w:vAlign w:val="bottom"/>
          </w:tcPr>
          <w:p>
            <w:pPr>
              <w:ind w:left="420"/>
              <w:spacing w:after="0" w:line="112" w:lineRule="exact"/>
              <w:rPr>
                <w:sz w:val="20"/>
                <w:szCs w:val="20"/>
                <w:color w:val="auto"/>
              </w:rPr>
            </w:pPr>
            <w:r>
              <w:rPr>
                <w:rFonts w:ascii="Arial" w:cs="Arial" w:eastAsia="Arial" w:hAnsi="Arial"/>
                <w:sz w:val="12"/>
                <w:szCs w:val="12"/>
                <w:b w:val="1"/>
                <w:bCs w:val="1"/>
                <w:color w:val="auto"/>
              </w:rPr>
              <w:t>Yield/</w:t>
            </w:r>
          </w:p>
        </w:tc>
        <w:tc>
          <w:tcPr>
            <w:tcW w:w="0" w:type="dxa"/>
            <w:vAlign w:val="bottom"/>
          </w:tcPr>
          <w:p>
            <w:pPr>
              <w:spacing w:after="0"/>
              <w:rPr>
                <w:sz w:val="1"/>
                <w:szCs w:val="1"/>
                <w:color w:val="auto"/>
              </w:rPr>
            </w:pPr>
          </w:p>
        </w:tc>
      </w:tr>
      <w:tr>
        <w:trPr>
          <w:trHeight w:val="145"/>
        </w:trPr>
        <w:tc>
          <w:tcPr>
            <w:tcW w:w="3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260"/>
              <w:spacing w:after="0"/>
              <w:rPr>
                <w:sz w:val="20"/>
                <w:szCs w:val="20"/>
                <w:color w:val="auto"/>
              </w:rPr>
            </w:pPr>
            <w:r>
              <w:rPr>
                <w:rFonts w:ascii="Arial" w:cs="Arial" w:eastAsia="Arial" w:hAnsi="Arial"/>
                <w:sz w:val="12"/>
                <w:szCs w:val="12"/>
                <w:b w:val="1"/>
                <w:bCs w:val="1"/>
                <w:color w:val="auto"/>
              </w:rPr>
              <w:t>Balance</w:t>
            </w:r>
          </w:p>
        </w:tc>
        <w:tc>
          <w:tcPr>
            <w:tcW w:w="200" w:type="dxa"/>
            <w:vAlign w:val="bottom"/>
          </w:tcPr>
          <w:p>
            <w:pPr>
              <w:spacing w:after="0"/>
              <w:rPr>
                <w:sz w:val="12"/>
                <w:szCs w:val="12"/>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Expense</w:t>
            </w:r>
          </w:p>
        </w:tc>
        <w:tc>
          <w:tcPr>
            <w:tcW w:w="1200" w:type="dxa"/>
            <w:vAlign w:val="bottom"/>
          </w:tcPr>
          <w:p>
            <w:pPr>
              <w:jc w:val="right"/>
              <w:ind w:right="420"/>
              <w:spacing w:after="0"/>
              <w:rPr>
                <w:sz w:val="20"/>
                <w:szCs w:val="20"/>
                <w:color w:val="auto"/>
              </w:rPr>
            </w:pPr>
            <w:r>
              <w:rPr>
                <w:rFonts w:ascii="Arial" w:cs="Arial" w:eastAsia="Arial" w:hAnsi="Arial"/>
                <w:sz w:val="12"/>
                <w:szCs w:val="12"/>
                <w:b w:val="1"/>
                <w:bCs w:val="1"/>
                <w:color w:val="auto"/>
              </w:rPr>
              <w:t>Rate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240"/>
              <w:spacing w:after="0"/>
              <w:rPr>
                <w:sz w:val="20"/>
                <w:szCs w:val="20"/>
                <w:color w:val="auto"/>
              </w:rPr>
            </w:pPr>
            <w:r>
              <w:rPr>
                <w:rFonts w:ascii="Arial" w:cs="Arial" w:eastAsia="Arial" w:hAnsi="Arial"/>
                <w:sz w:val="12"/>
                <w:szCs w:val="12"/>
                <w:b w:val="1"/>
                <w:bCs w:val="1"/>
                <w:color w:val="auto"/>
              </w:rPr>
              <w:t>Balance</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Expense</w:t>
            </w:r>
          </w:p>
        </w:tc>
        <w:tc>
          <w:tcPr>
            <w:tcW w:w="1180" w:type="dxa"/>
            <w:vAlign w:val="bottom"/>
          </w:tcPr>
          <w:p>
            <w:pPr>
              <w:ind w:left="460"/>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103"/>
        </w:trPr>
        <w:tc>
          <w:tcPr>
            <w:tcW w:w="34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20"/>
              <w:spacing w:after="0"/>
              <w:rPr>
                <w:sz w:val="20"/>
                <w:szCs w:val="20"/>
                <w:color w:val="auto"/>
              </w:rPr>
            </w:pPr>
            <w:r>
              <w:rPr>
                <w:rFonts w:ascii="Arial" w:cs="Arial" w:eastAsia="Arial" w:hAnsi="Arial"/>
                <w:sz w:val="12"/>
                <w:szCs w:val="12"/>
                <w:color w:val="auto"/>
              </w:rPr>
              <w:t>Interest earning assets: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Interest bearing deposits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228,420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0.12 %</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112,249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2"/>
                <w:szCs w:val="12"/>
                <w:color w:val="auto"/>
                <w:w w:val="96"/>
              </w:rPr>
              <w:t>0.31 %</w:t>
            </w:r>
          </w:p>
        </w:tc>
        <w:tc>
          <w:tcPr>
            <w:tcW w:w="0" w:type="dxa"/>
            <w:vAlign w:val="bottom"/>
          </w:tcPr>
          <w:p>
            <w:pPr>
              <w:spacing w:after="0"/>
              <w:rPr>
                <w:sz w:val="1"/>
                <w:szCs w:val="1"/>
                <w:color w:val="auto"/>
              </w:rPr>
            </w:pPr>
          </w:p>
        </w:tc>
      </w:tr>
      <w:tr>
        <w:trPr>
          <w:trHeight w:val="157"/>
        </w:trPr>
        <w:tc>
          <w:tcPr>
            <w:tcW w:w="3460" w:type="dxa"/>
            <w:vAlign w:val="bottom"/>
          </w:tcPr>
          <w:p>
            <w:pPr>
              <w:ind w:left="300"/>
              <w:spacing w:after="0"/>
              <w:rPr>
                <w:sz w:val="20"/>
                <w:szCs w:val="20"/>
                <w:color w:val="auto"/>
              </w:rPr>
            </w:pPr>
            <w:r>
              <w:rPr>
                <w:rFonts w:ascii="Arial" w:cs="Arial" w:eastAsia="Arial" w:hAnsi="Arial"/>
                <w:sz w:val="12"/>
                <w:szCs w:val="12"/>
                <w:color w:val="auto"/>
              </w:rPr>
              <w:t>Federal funds sold</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2,850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3,128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Investment securities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151,479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58,071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57"/>
        </w:trPr>
        <w:tc>
          <w:tcPr>
            <w:tcW w:w="3460" w:type="dxa"/>
            <w:vAlign w:val="bottom"/>
          </w:tcPr>
          <w:p>
            <w:pPr>
              <w:ind w:left="300"/>
              <w:spacing w:after="0"/>
              <w:rPr>
                <w:sz w:val="20"/>
                <w:szCs w:val="20"/>
                <w:color w:val="auto"/>
              </w:rPr>
            </w:pPr>
            <w:r>
              <w:rPr>
                <w:rFonts w:ascii="Arial" w:cs="Arial" w:eastAsia="Arial" w:hAnsi="Arial"/>
                <w:sz w:val="12"/>
                <w:szCs w:val="12"/>
                <w:color w:val="auto"/>
              </w:rPr>
              <w:t>Restricted investments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3,774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4.40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4,025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244</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2"/>
                <w:szCs w:val="12"/>
                <w:color w:val="auto"/>
              </w:rPr>
              <w:t>6.07</w:t>
            </w: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Loans held for sale</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1,224</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84,928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2,610</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2"/>
                <w:szCs w:val="12"/>
                <w:color w:val="auto"/>
              </w:rPr>
              <w:t>3.07</w:t>
            </w:r>
          </w:p>
        </w:tc>
        <w:tc>
          <w:tcPr>
            <w:tcW w:w="0" w:type="dxa"/>
            <w:vAlign w:val="bottom"/>
          </w:tcPr>
          <w:p>
            <w:pPr>
              <w:spacing w:after="0"/>
              <w:rPr>
                <w:sz w:val="1"/>
                <w:szCs w:val="1"/>
                <w:color w:val="auto"/>
              </w:rPr>
            </w:pPr>
          </w:p>
        </w:tc>
      </w:tr>
      <w:tr>
        <w:trPr>
          <w:trHeight w:val="157"/>
        </w:trPr>
        <w:tc>
          <w:tcPr>
            <w:tcW w:w="3460" w:type="dxa"/>
            <w:vAlign w:val="bottom"/>
          </w:tcPr>
          <w:p>
            <w:pPr>
              <w:ind w:left="300"/>
              <w:spacing w:after="0"/>
              <w:rPr>
                <w:sz w:val="20"/>
                <w:szCs w:val="20"/>
                <w:color w:val="auto"/>
              </w:rPr>
            </w:pPr>
            <w:r>
              <w:rPr>
                <w:rFonts w:ascii="Arial" w:cs="Arial" w:eastAsia="Arial" w:hAnsi="Arial"/>
                <w:sz w:val="12"/>
                <w:szCs w:val="12"/>
                <w:color w:val="auto"/>
              </w:rPr>
              <w:t>SBA-PPP loans receivable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190,588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7,613</w:t>
            </w:r>
          </w:p>
        </w:tc>
        <w:tc>
          <w:tcPr>
            <w:tcW w:w="10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3.99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157,630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4,479</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300"/>
              <w:spacing w:after="0" w:line="156" w:lineRule="exact"/>
              <w:rPr>
                <w:sz w:val="20"/>
                <w:szCs w:val="20"/>
                <w:color w:val="auto"/>
              </w:rPr>
            </w:pPr>
            <w:r>
              <w:rPr>
                <w:rFonts w:ascii="Arial" w:cs="Arial" w:eastAsia="Arial" w:hAnsi="Arial"/>
                <w:sz w:val="12"/>
                <w:szCs w:val="12"/>
                <w:color w:val="auto"/>
              </w:rPr>
              <w:t>Portfolio Loans</w:t>
            </w:r>
            <w:r>
              <w:rPr>
                <w:rFonts w:ascii="Arial" w:cs="Arial" w:eastAsia="Arial" w:hAnsi="Arial"/>
                <w:sz w:val="15"/>
                <w:szCs w:val="15"/>
                <w:color w:val="auto"/>
                <w:vertAlign w:val="superscript"/>
              </w:rPr>
              <w:t>(1)(2)</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1,370,988</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111,947</w:t>
            </w:r>
          </w:p>
        </w:tc>
        <w:tc>
          <w:tcPr>
            <w:tcW w:w="100" w:type="dxa"/>
            <w:vAlign w:val="bottom"/>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8.17</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1,215,049</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88,279</w:t>
            </w:r>
          </w:p>
        </w:tc>
        <w:tc>
          <w:tcPr>
            <w:tcW w:w="12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2"/>
                <w:szCs w:val="12"/>
                <w:color w:val="auto"/>
              </w:rPr>
              <w:t>7.27</w:t>
            </w:r>
          </w:p>
        </w:tc>
        <w:tc>
          <w:tcPr>
            <w:tcW w:w="0" w:type="dxa"/>
            <w:vAlign w:val="bottom"/>
          </w:tcPr>
          <w:p>
            <w:pPr>
              <w:spacing w:after="0"/>
              <w:rPr>
                <w:sz w:val="1"/>
                <w:szCs w:val="1"/>
                <w:color w:val="auto"/>
              </w:rPr>
            </w:pPr>
          </w:p>
        </w:tc>
      </w:tr>
      <w:tr>
        <w:trPr>
          <w:trHeight w:val="148"/>
        </w:trPr>
        <w:tc>
          <w:tcPr>
            <w:tcW w:w="34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interest earning assets</w:t>
            </w:r>
          </w:p>
        </w:tc>
        <w:tc>
          <w:tcPr>
            <w:tcW w:w="2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1,991,225</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123,243</w:t>
            </w:r>
          </w:p>
        </w:tc>
        <w:tc>
          <w:tcPr>
            <w:tcW w:w="1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jc w:val="right"/>
              <w:ind w:right="100"/>
              <w:spacing w:after="0"/>
              <w:rPr>
                <w:sz w:val="20"/>
                <w:szCs w:val="20"/>
                <w:color w:val="auto"/>
              </w:rPr>
            </w:pPr>
            <w:r>
              <w:rPr>
                <w:rFonts w:ascii="Arial" w:cs="Arial" w:eastAsia="Arial" w:hAnsi="Arial"/>
                <w:sz w:val="12"/>
                <w:szCs w:val="12"/>
                <w:color w:val="auto"/>
              </w:rPr>
              <w:t>6.19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1,635,080</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97,251</w:t>
            </w:r>
          </w:p>
        </w:tc>
        <w:tc>
          <w:tcPr>
            <w:tcW w:w="1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ind w:left="800"/>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137"/>
        </w:trPr>
        <w:tc>
          <w:tcPr>
            <w:tcW w:w="34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Noninterest earning assets</w:t>
            </w:r>
          </w:p>
        </w:tc>
        <w:tc>
          <w:tcPr>
            <w:tcW w:w="2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44,619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24,923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300"/>
              <w:spacing w:after="0"/>
              <w:rPr>
                <w:sz w:val="20"/>
                <w:szCs w:val="20"/>
                <w:color w:val="auto"/>
              </w:rPr>
            </w:pPr>
            <w:r>
              <w:rPr>
                <w:rFonts w:ascii="Arial" w:cs="Arial" w:eastAsia="Arial" w:hAnsi="Arial"/>
                <w:sz w:val="12"/>
                <w:szCs w:val="12"/>
                <w:color w:val="auto"/>
              </w:rPr>
              <w:t>Total assets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2,035,844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1,660,003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bearing liabilities: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300"/>
              <w:spacing w:after="0"/>
              <w:rPr>
                <w:sz w:val="20"/>
                <w:szCs w:val="20"/>
                <w:color w:val="auto"/>
              </w:rPr>
            </w:pPr>
            <w:r>
              <w:rPr>
                <w:rFonts w:ascii="Arial" w:cs="Arial" w:eastAsia="Arial" w:hAnsi="Arial"/>
                <w:sz w:val="12"/>
                <w:szCs w:val="12"/>
                <w:color w:val="auto"/>
              </w:rPr>
              <w:t>Interest bearing demand accounts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289,285</w:t>
            </w:r>
          </w:p>
        </w:tc>
        <w:tc>
          <w:tcPr>
            <w:tcW w:w="100" w:type="dxa"/>
            <w:vAlign w:val="bottom"/>
          </w:tcPr>
          <w:p>
            <w:pPr>
              <w:spacing w:after="0"/>
              <w:rPr>
                <w:sz w:val="13"/>
                <w:szCs w:val="13"/>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0.07</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195,794</w:t>
            </w:r>
          </w:p>
        </w:tc>
        <w:tc>
          <w:tcPr>
            <w:tcW w:w="12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656</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Savings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0.05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57"/>
        </w:trPr>
        <w:tc>
          <w:tcPr>
            <w:tcW w:w="3460" w:type="dxa"/>
            <w:vAlign w:val="bottom"/>
          </w:tcPr>
          <w:p>
            <w:pPr>
              <w:ind w:left="300"/>
              <w:spacing w:after="0"/>
              <w:rPr>
                <w:sz w:val="20"/>
                <w:szCs w:val="20"/>
                <w:color w:val="auto"/>
              </w:rPr>
            </w:pPr>
            <w:r>
              <w:rPr>
                <w:rFonts w:ascii="Arial" w:cs="Arial" w:eastAsia="Arial" w:hAnsi="Arial"/>
                <w:sz w:val="12"/>
                <w:szCs w:val="12"/>
                <w:color w:val="auto"/>
              </w:rPr>
              <w:t>Money market accounts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482,225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1,484</w:t>
            </w:r>
          </w:p>
        </w:tc>
        <w:tc>
          <w:tcPr>
            <w:tcW w:w="10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0.31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480,218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4,786</w:t>
            </w:r>
          </w:p>
        </w:tc>
        <w:tc>
          <w:tcPr>
            <w:tcW w:w="120" w:type="dxa"/>
            <w:vAlign w:val="bottom"/>
          </w:tcPr>
          <w:p>
            <w:pPr>
              <w:spacing w:after="0"/>
              <w:rPr>
                <w:sz w:val="13"/>
                <w:szCs w:val="13"/>
                <w:color w:val="auto"/>
              </w:rPr>
            </w:pPr>
          </w:p>
        </w:tc>
        <w:tc>
          <w:tcPr>
            <w:tcW w:w="1180" w:type="dxa"/>
            <w:vAlign w:val="bottom"/>
          </w:tcPr>
          <w:p>
            <w:pPr>
              <w:ind w:left="8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Time deposits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269,262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4,119</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297,997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6,077</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2"/>
                <w:szCs w:val="12"/>
                <w:color w:val="auto"/>
              </w:rPr>
              <w:t>2.04</w:t>
            </w:r>
          </w:p>
        </w:tc>
        <w:tc>
          <w:tcPr>
            <w:tcW w:w="0" w:type="dxa"/>
            <w:vAlign w:val="bottom"/>
          </w:tcPr>
          <w:p>
            <w:pPr>
              <w:spacing w:after="0"/>
              <w:rPr>
                <w:sz w:val="1"/>
                <w:szCs w:val="1"/>
                <w:color w:val="auto"/>
              </w:rPr>
            </w:pPr>
          </w:p>
        </w:tc>
      </w:tr>
      <w:tr>
        <w:trPr>
          <w:trHeight w:val="157"/>
        </w:trPr>
        <w:tc>
          <w:tcPr>
            <w:tcW w:w="34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Borrowed funds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34,214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742</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2.17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42,471</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1,658</w:t>
            </w:r>
          </w:p>
        </w:tc>
        <w:tc>
          <w:tcPr>
            <w:tcW w:w="1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3.90</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 interest bearing liabilities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1,081,456</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6,550</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0.61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1,021,202</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13,182</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ind w:left="80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37"/>
        </w:trPr>
        <w:tc>
          <w:tcPr>
            <w:tcW w:w="3460" w:type="dxa"/>
            <w:vAlign w:val="bottom"/>
          </w:tcPr>
          <w:p>
            <w:pPr>
              <w:ind w:left="160"/>
              <w:spacing w:after="0" w:line="137" w:lineRule="exact"/>
              <w:rPr>
                <w:sz w:val="20"/>
                <w:szCs w:val="20"/>
                <w:color w:val="auto"/>
              </w:rPr>
            </w:pPr>
            <w:r>
              <w:rPr>
                <w:rFonts w:ascii="Arial" w:cs="Arial" w:eastAsia="Arial" w:hAnsi="Arial"/>
                <w:sz w:val="12"/>
                <w:szCs w:val="12"/>
                <w:color w:val="auto"/>
              </w:rPr>
              <w:t>Noninterest bearing liabilities:</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Noninterest bearing liabilities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24,128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300"/>
              <w:spacing w:after="0"/>
              <w:rPr>
                <w:sz w:val="20"/>
                <w:szCs w:val="20"/>
                <w:color w:val="auto"/>
              </w:rPr>
            </w:pPr>
            <w:r>
              <w:rPr>
                <w:rFonts w:ascii="Arial" w:cs="Arial" w:eastAsia="Arial" w:hAnsi="Arial"/>
                <w:sz w:val="12"/>
                <w:szCs w:val="12"/>
                <w:color w:val="auto"/>
              </w:rPr>
              <w:t>Noninterest bearing deposits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750,760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473,301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Stockholders’ equity</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179,500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143,493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300"/>
              <w:spacing w:after="0"/>
              <w:rPr>
                <w:sz w:val="20"/>
                <w:szCs w:val="20"/>
                <w:color w:val="auto"/>
              </w:rPr>
            </w:pPr>
            <w:r>
              <w:rPr>
                <w:rFonts w:ascii="Arial" w:cs="Arial" w:eastAsia="Arial" w:hAnsi="Arial"/>
                <w:sz w:val="12"/>
                <w:szCs w:val="12"/>
                <w:color w:val="auto"/>
              </w:rPr>
              <w:t>Total liabilities and stockholders’ equity</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2,035,844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1,660,003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20"/>
              <w:spacing w:after="0"/>
              <w:rPr>
                <w:sz w:val="20"/>
                <w:szCs w:val="20"/>
                <w:color w:val="auto"/>
              </w:rPr>
            </w:pPr>
            <w:r>
              <w:rPr>
                <w:rFonts w:ascii="Arial" w:cs="Arial" w:eastAsia="Arial" w:hAnsi="Arial"/>
                <w:sz w:val="12"/>
                <w:szCs w:val="12"/>
                <w:color w:val="auto"/>
              </w:rPr>
              <w:t>Net interest spread</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5.58 %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w w:val="96"/>
              </w:rPr>
              <w:t>4.66 %</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6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2"/>
                <w:szCs w:val="12"/>
                <w:color w:val="auto"/>
              </w:rPr>
              <w:t>Net interest income</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116,693</w:t>
            </w:r>
          </w:p>
        </w:tc>
        <w:tc>
          <w:tcPr>
            <w:tcW w:w="1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84,069</w:t>
            </w:r>
          </w:p>
        </w:tc>
        <w:tc>
          <w:tcPr>
            <w:tcW w:w="1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line="139"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15"/>
                <w:szCs w:val="15"/>
                <w:color w:val="auto"/>
                <w:vertAlign w:val="superscript"/>
              </w:rPr>
              <w:t>(3)</w:t>
            </w: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color w:val="auto"/>
              </w:rPr>
              <w:t>5.86 %</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2"/>
                <w:szCs w:val="12"/>
                <w:color w:val="auto"/>
                <w:w w:val="96"/>
              </w:rPr>
              <w:t>5.14 %</w:t>
            </w:r>
          </w:p>
        </w:tc>
        <w:tc>
          <w:tcPr>
            <w:tcW w:w="0" w:type="dxa"/>
            <w:vAlign w:val="bottom"/>
          </w:tcPr>
          <w:p>
            <w:pPr>
              <w:spacing w:after="0" w:line="20" w:lineRule="exact"/>
              <w:rPr>
                <w:sz w:val="1"/>
                <w:szCs w:val="1"/>
                <w:color w:val="auto"/>
              </w:rPr>
            </w:pPr>
          </w:p>
        </w:tc>
      </w:tr>
      <w:tr>
        <w:trPr>
          <w:trHeight w:val="99"/>
        </w:trPr>
        <w:tc>
          <w:tcPr>
            <w:tcW w:w="3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ind w:left="280" w:hanging="270"/>
        <w:spacing w:after="0" w:line="189" w:lineRule="auto"/>
        <w:tabs>
          <w:tab w:leader="none" w:pos="28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Includes nonaccrual loans.</w:t>
      </w:r>
    </w:p>
    <w:p>
      <w:pPr>
        <w:ind w:left="280" w:hanging="270"/>
        <w:spacing w:after="0" w:line="200" w:lineRule="auto"/>
        <w:tabs>
          <w:tab w:leader="none" w:pos="28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Interest income includes amortization of deferred loan fees, net of deferred loan costs.</w:t>
      </w:r>
    </w:p>
    <w:p>
      <w:pPr>
        <w:ind w:left="280" w:hanging="270"/>
        <w:spacing w:after="0" w:line="187" w:lineRule="auto"/>
        <w:tabs>
          <w:tab w:leader="none" w:pos="28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For the twelve months ended December 31, 2021 and 2020, SBA-PPP loans and credit card loans accounted for 226 and 125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35" w:name="page36"/>
    <w:bookmarkEnd w:id="35"/>
    <w:p>
      <w:pPr>
        <w:ind w:left="280"/>
        <w:spacing w:after="0"/>
        <w:rPr>
          <w:sz w:val="20"/>
          <w:szCs w:val="20"/>
          <w:color w:val="auto"/>
        </w:rPr>
      </w:pPr>
      <w:r>
        <w:rPr>
          <w:rFonts w:ascii="Arial" w:cs="Arial" w:eastAsia="Arial" w:hAnsi="Arial"/>
          <w:sz w:val="15"/>
          <w:szCs w:val="15"/>
          <w:b w:val="1"/>
          <w:bCs w:val="1"/>
          <w:color w:val="auto"/>
        </w:rPr>
        <w:t>Rate/Volume Analysis of Net Interest Income</w:t>
      </w:r>
    </w:p>
    <w:p>
      <w:pPr>
        <w:spacing w:after="0" w:line="204" w:lineRule="exact"/>
        <w:rPr>
          <w:sz w:val="20"/>
          <w:szCs w:val="20"/>
          <w:color w:val="auto"/>
        </w:rPr>
      </w:pPr>
    </w:p>
    <w:p>
      <w:pPr>
        <w:jc w:val="both"/>
        <w:ind w:right="20" w:firstLine="268"/>
        <w:spacing w:after="0" w:line="258" w:lineRule="auto"/>
        <w:rPr>
          <w:sz w:val="20"/>
          <w:szCs w:val="20"/>
          <w:color w:val="auto"/>
        </w:rPr>
      </w:pPr>
      <w:r>
        <w:rPr>
          <w:rFonts w:ascii="Arial" w:cs="Arial" w:eastAsia="Arial" w:hAnsi="Arial"/>
          <w:sz w:val="15"/>
          <w:szCs w:val="15"/>
          <w:color w:val="auto"/>
        </w:rPr>
        <w:t>The rate/volume table below presents the composition of the change in net interest income for the periods indicated, as allocated between the change in net interest income due to changes in the volume of average earning assets and interest bearing liabilities, and the changes in net interest income due to changes in interest rates.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0" w:type="dxa"/>
            <w:vAlign w:val="bottom"/>
            <w:gridSpan w:val="6"/>
          </w:tcPr>
          <w:p>
            <w:pPr>
              <w:jc w:val="center"/>
              <w:spacing w:after="0"/>
              <w:rPr>
                <w:sz w:val="20"/>
                <w:szCs w:val="20"/>
                <w:color w:val="auto"/>
              </w:rPr>
            </w:pPr>
            <w:r>
              <w:rPr>
                <w:rFonts w:ascii="Arial" w:cs="Arial" w:eastAsia="Arial" w:hAnsi="Arial"/>
                <w:sz w:val="13"/>
                <w:szCs w:val="13"/>
                <w:b w:val="1"/>
                <w:bCs w:val="1"/>
                <w:color w:val="auto"/>
              </w:rPr>
              <w:t>Year Ended December 31, 2021</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rPr>
              <w:t>Compared to the</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Year Ended December 31, 2020</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20" w:type="dxa"/>
            <w:vAlign w:val="bottom"/>
            <w:gridSpan w:val="7"/>
          </w:tcPr>
          <w:p>
            <w:pPr>
              <w:ind w:left="120"/>
              <w:spacing w:after="0"/>
              <w:rPr>
                <w:sz w:val="20"/>
                <w:szCs w:val="20"/>
                <w:color w:val="auto"/>
              </w:rPr>
            </w:pPr>
            <w:r>
              <w:rPr>
                <w:rFonts w:ascii="Arial" w:cs="Arial" w:eastAsia="Arial" w:hAnsi="Arial"/>
                <w:sz w:val="13"/>
                <w:szCs w:val="13"/>
                <w:b w:val="1"/>
                <w:bCs w:val="1"/>
                <w:color w:val="auto"/>
              </w:rPr>
              <w:t>Change Due To</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58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3"/>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Interest Variance</w:t>
            </w:r>
          </w:p>
        </w:tc>
        <w:tc>
          <w:tcPr>
            <w:tcW w:w="0" w:type="dxa"/>
            <w:vAlign w:val="bottom"/>
          </w:tcPr>
          <w:p>
            <w:pPr>
              <w:spacing w:after="0"/>
              <w:rPr>
                <w:sz w:val="1"/>
                <w:szCs w:val="1"/>
                <w:color w:val="auto"/>
              </w:rPr>
            </w:pPr>
          </w:p>
        </w:tc>
      </w:tr>
      <w:tr>
        <w:trPr>
          <w:trHeight w:val="169"/>
        </w:trPr>
        <w:tc>
          <w:tcPr>
            <w:tcW w:w="586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Volume</w:t>
            </w: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rPr>
              <w:t>Rate</w:t>
            </w:r>
          </w:p>
        </w:tc>
        <w:tc>
          <w:tcPr>
            <w:tcW w:w="1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860" w:type="dxa"/>
            <w:vAlign w:val="bottom"/>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58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Interest Income:</w:t>
            </w: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60" w:type="dxa"/>
            <w:vAlign w:val="bottom"/>
          </w:tcPr>
          <w:p>
            <w:pPr>
              <w:ind w:left="20"/>
              <w:spacing w:after="0"/>
              <w:rPr>
                <w:sz w:val="20"/>
                <w:szCs w:val="20"/>
                <w:color w:val="auto"/>
              </w:rPr>
            </w:pPr>
            <w:r>
              <w:rPr>
                <w:rFonts w:ascii="Arial" w:cs="Arial" w:eastAsia="Arial" w:hAnsi="Arial"/>
                <w:sz w:val="13"/>
                <w:szCs w:val="13"/>
                <w:color w:val="auto"/>
              </w:rPr>
              <w:t>Interest bearing deposits</w:t>
            </w:r>
          </w:p>
        </w:tc>
        <w:tc>
          <w:tcPr>
            <w:tcW w:w="1180" w:type="dxa"/>
            <w:vAlign w:val="bottom"/>
          </w:tcPr>
          <w:p>
            <w:pPr>
              <w:jc w:val="right"/>
              <w:ind w:right="1033"/>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144</w:t>
            </w: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funds sold</w:t>
            </w: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7"/>
        </w:trPr>
        <w:tc>
          <w:tcPr>
            <w:tcW w:w="5860" w:type="dxa"/>
            <w:vAlign w:val="bottom"/>
          </w:tcPr>
          <w:p>
            <w:pPr>
              <w:ind w:left="20"/>
              <w:spacing w:after="0"/>
              <w:rPr>
                <w:sz w:val="20"/>
                <w:szCs w:val="20"/>
                <w:color w:val="auto"/>
              </w:rPr>
            </w:pPr>
            <w:r>
              <w:rPr>
                <w:rFonts w:ascii="Arial" w:cs="Arial" w:eastAsia="Arial" w:hAnsi="Arial"/>
                <w:sz w:val="13"/>
                <w:szCs w:val="13"/>
                <w:color w:val="auto"/>
              </w:rPr>
              <w:t>Investment securities</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1,239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investments</w:t>
            </w: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77"/>
        </w:trPr>
        <w:tc>
          <w:tcPr>
            <w:tcW w:w="5860" w:type="dxa"/>
            <w:vAlign w:val="bottom"/>
          </w:tcPr>
          <w:p>
            <w:pPr>
              <w:ind w:left="20"/>
              <w:spacing w:after="0"/>
              <w:rPr>
                <w:sz w:val="20"/>
                <w:szCs w:val="20"/>
                <w:color w:val="auto"/>
              </w:rPr>
            </w:pPr>
            <w:r>
              <w:rPr>
                <w:rFonts w:ascii="Arial" w:cs="Arial" w:eastAsia="Arial" w:hAnsi="Arial"/>
                <w:sz w:val="13"/>
                <w:szCs w:val="13"/>
                <w:color w:val="auto"/>
              </w:rPr>
              <w:t>Loans held for sale</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(1,186)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(1,386)</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SBA-PPP loans</w:t>
            </w: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w:t>
            </w:r>
          </w:p>
        </w:tc>
        <w:tc>
          <w:tcPr>
            <w:tcW w:w="0" w:type="dxa"/>
            <w:vAlign w:val="bottom"/>
          </w:tcPr>
          <w:p>
            <w:pPr>
              <w:spacing w:after="0"/>
              <w:rPr>
                <w:sz w:val="1"/>
                <w:szCs w:val="1"/>
                <w:color w:val="auto"/>
              </w:rPr>
            </w:pPr>
          </w:p>
        </w:tc>
      </w:tr>
      <w:tr>
        <w:trPr>
          <w:trHeight w:val="177"/>
        </w:trPr>
        <w:tc>
          <w:tcPr>
            <w:tcW w:w="5860" w:type="dxa"/>
            <w:vAlign w:val="bottom"/>
          </w:tcPr>
          <w:p>
            <w:pPr>
              <w:ind w:left="20"/>
              <w:spacing w:after="0"/>
              <w:rPr>
                <w:sz w:val="20"/>
                <w:szCs w:val="20"/>
                <w:color w:val="auto"/>
              </w:rPr>
            </w:pPr>
            <w:r>
              <w:rPr>
                <w:rFonts w:ascii="Arial" w:cs="Arial" w:eastAsia="Arial" w:hAnsi="Arial"/>
                <w:sz w:val="13"/>
                <w:szCs w:val="13"/>
                <w:color w:val="auto"/>
              </w:rPr>
              <w:t>Portfolio loans excluding credit card loans</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4,752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(4,806)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card loans</w:t>
            </w:r>
          </w:p>
        </w:tc>
        <w:tc>
          <w:tcPr>
            <w:tcW w:w="11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22,064</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1,659</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23,723</w:t>
            </w:r>
          </w:p>
        </w:tc>
        <w:tc>
          <w:tcPr>
            <w:tcW w:w="0" w:type="dxa"/>
            <w:vAlign w:val="bottom"/>
          </w:tcPr>
          <w:p>
            <w:pPr>
              <w:spacing w:after="0"/>
              <w:rPr>
                <w:sz w:val="1"/>
                <w:szCs w:val="1"/>
                <w:color w:val="auto"/>
              </w:rPr>
            </w:pPr>
          </w:p>
        </w:tc>
      </w:tr>
      <w:tr>
        <w:trPr>
          <w:trHeight w:val="168"/>
        </w:trPr>
        <w:tc>
          <w:tcPr>
            <w:tcW w:w="5860" w:type="dxa"/>
            <w:vAlign w:val="bottom"/>
          </w:tcPr>
          <w:p>
            <w:pPr>
              <w:ind w:left="20"/>
              <w:spacing w:after="0"/>
              <w:rPr>
                <w:sz w:val="20"/>
                <w:szCs w:val="20"/>
                <w:color w:val="auto"/>
              </w:rPr>
            </w:pPr>
            <w:r>
              <w:rPr>
                <w:rFonts w:ascii="Arial" w:cs="Arial" w:eastAsia="Arial" w:hAnsi="Arial"/>
                <w:sz w:val="13"/>
                <w:szCs w:val="13"/>
                <w:b w:val="1"/>
                <w:bCs w:val="1"/>
                <w:color w:val="auto"/>
              </w:rPr>
              <w:t>Total interest income</w:t>
            </w:r>
          </w:p>
        </w:tc>
        <w:tc>
          <w:tcPr>
            <w:tcW w:w="1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28,318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(2,326)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25,992</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60" w:type="dxa"/>
            <w:vAlign w:val="bottom"/>
          </w:tcPr>
          <w:p>
            <w:pPr>
              <w:ind w:left="2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bearing demand accounts</w:t>
            </w: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77"/>
        </w:trPr>
        <w:tc>
          <w:tcPr>
            <w:tcW w:w="5860" w:type="dxa"/>
            <w:vAlign w:val="bottom"/>
          </w:tcPr>
          <w:p>
            <w:pPr>
              <w:ind w:left="20"/>
              <w:spacing w:after="0"/>
              <w:rPr>
                <w:sz w:val="20"/>
                <w:szCs w:val="20"/>
                <w:color w:val="auto"/>
              </w:rPr>
            </w:pPr>
            <w:r>
              <w:rPr>
                <w:rFonts w:ascii="Arial" w:cs="Arial" w:eastAsia="Arial" w:hAnsi="Arial"/>
                <w:sz w:val="13"/>
                <w:szCs w:val="13"/>
                <w:color w:val="auto"/>
              </w:rPr>
              <w:t>Savings</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accounts</w:t>
            </w: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(3,302)</w:t>
            </w:r>
          </w:p>
        </w:tc>
        <w:tc>
          <w:tcPr>
            <w:tcW w:w="0" w:type="dxa"/>
            <w:vAlign w:val="bottom"/>
          </w:tcPr>
          <w:p>
            <w:pPr>
              <w:spacing w:after="0"/>
              <w:rPr>
                <w:sz w:val="1"/>
                <w:szCs w:val="1"/>
                <w:color w:val="auto"/>
              </w:rPr>
            </w:pPr>
          </w:p>
        </w:tc>
      </w:tr>
      <w:tr>
        <w:trPr>
          <w:trHeight w:val="177"/>
        </w:trPr>
        <w:tc>
          <w:tcPr>
            <w:tcW w:w="5860" w:type="dxa"/>
            <w:vAlign w:val="bottom"/>
          </w:tcPr>
          <w:p>
            <w:pPr>
              <w:ind w:left="20"/>
              <w:spacing w:after="0"/>
              <w:rPr>
                <w:sz w:val="20"/>
                <w:szCs w:val="20"/>
                <w:color w:val="auto"/>
              </w:rPr>
            </w:pPr>
            <w:r>
              <w:rPr>
                <w:rFonts w:ascii="Arial" w:cs="Arial" w:eastAsia="Arial" w:hAnsi="Arial"/>
                <w:sz w:val="13"/>
                <w:szCs w:val="13"/>
                <w:color w:val="auto"/>
              </w:rPr>
              <w:t>Time deposits</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(1,518)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(1,958)</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Borrowed funds</w:t>
            </w:r>
          </w:p>
        </w:tc>
        <w:tc>
          <w:tcPr>
            <w:tcW w:w="11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16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interest expense</w:t>
            </w:r>
          </w:p>
        </w:tc>
        <w:tc>
          <w:tcPr>
            <w:tcW w:w="1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(6,085)</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(6,632)</w:t>
            </w:r>
          </w:p>
        </w:tc>
        <w:tc>
          <w:tcPr>
            <w:tcW w:w="0" w:type="dxa"/>
            <w:vAlign w:val="bottom"/>
          </w:tcPr>
          <w:p>
            <w:pPr>
              <w:spacing w:after="0"/>
              <w:rPr>
                <w:sz w:val="1"/>
                <w:szCs w:val="1"/>
                <w:color w:val="auto"/>
              </w:rPr>
            </w:pPr>
          </w:p>
        </w:tc>
      </w:tr>
      <w:tr>
        <w:trPr>
          <w:trHeight w:val="193"/>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interest income</w:t>
            </w:r>
          </w:p>
        </w:tc>
        <w:tc>
          <w:tcPr>
            <w:tcW w:w="1180" w:type="dxa"/>
            <w:vAlign w:val="bottom"/>
            <w:shd w:val="clear" w:color="auto" w:fill="CCEEFF"/>
          </w:tcPr>
          <w:p>
            <w:pPr>
              <w:jc w:val="right"/>
              <w:ind w:right="1033"/>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28,865</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32,624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When comparing the years ended December 31, 2021 to 2020, the greatest positive impact to total interest income was associated with the credit card portfolio. On a stand-alone basis, the credit card portfolio contributed an increase of $23.7 million due to volume and rate increases when comparing the year over year 2021 to 2020 figures. The origination of SBA-PPP loans in 2021 as well as the SBA-PPP loan forgiveness in 2021 contributed an additional $3.1 million to interest income. Volume increases in the portfolio loans excluding credit cards accounted for an additional increase $4.8 million in interest income for the year ended December 31, 2021. Management’s efforts to reduce the cost of funds associated with the deposit portfolio contributed $5.3 million to the increase in net interest income between the years ended December 31, 2021 and 2020.</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Provision for Loan Losses</w:t>
      </w:r>
    </w:p>
    <w:p>
      <w:pPr>
        <w:spacing w:after="0" w:line="202"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The provision for loan losses represents the amount of expense charged to current earnings to fund the allowance for loan losses. The amount of the allowance for loan losses is based on many factors which reflect management’s assessment of the risk in the loan portfolio. Those factors include historical losses, economic conditions and trends, the value and adequacy of collateral, volume and mix of the portfolio, performance of the portfolio, and internal loan processes of the Company and Bank. For a detailed description of the factors taken into account by our management in determining the allowance for loan losses see “Financial Condition— Allowance for Loan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36" w:name="page37"/>
    <w:bookmarkEnd w:id="36"/>
    <w:p>
      <w:pPr>
        <w:jc w:val="both"/>
        <w:ind w:firstLine="268"/>
        <w:spacing w:after="0" w:line="253" w:lineRule="auto"/>
        <w:rPr>
          <w:sz w:val="20"/>
          <w:szCs w:val="20"/>
          <w:color w:val="auto"/>
        </w:rPr>
      </w:pPr>
      <w:r>
        <w:rPr>
          <w:rFonts w:ascii="Arial" w:cs="Arial" w:eastAsia="Arial" w:hAnsi="Arial"/>
          <w:sz w:val="15"/>
          <w:szCs w:val="15"/>
          <w:color w:val="auto"/>
        </w:rPr>
        <w:t>For the year ended December 31, 2021, the Company recorded a provision for loan losses of $3.4 million, compared to $11.2 million for the previous year. The decrease in the provision for 2021 compared to 2020 was primarily due to an improving economy. See additional discussion regarding the Company’s allowance for loan losses and reserve for off-balance sheet credit exposures at December 31, 2021 in “Financial Condition— Allowance for Loan Losses.”</w:t>
      </w:r>
    </w:p>
    <w:p>
      <w:pPr>
        <w:spacing w:after="0" w:line="171"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maintenance of a high quality loan portfolio, with an adequate allowance for possible credit losses, will continue to be a primary management objective for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Noninterest Income</w:t>
      </w:r>
    </w:p>
    <w:p>
      <w:pPr>
        <w:spacing w:after="0" w:line="202"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Our primary sources of recurring noninterest income are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for the periods indicated, the major categories of noninterest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7"/>
              </w:rPr>
              <w:t>Years Ended December 31,</w:t>
            </w:r>
          </w:p>
        </w:tc>
        <w:tc>
          <w:tcPr>
            <w:tcW w:w="1540" w:type="dxa"/>
            <w:vAlign w:val="bottom"/>
            <w:tcBorders>
              <w:bottom w:val="single" w:sz="8" w:color="auto"/>
            </w:tcBorders>
          </w:tcPr>
          <w:p>
            <w:pPr>
              <w:spacing w:after="0"/>
              <w:rPr>
                <w:sz w:val="13"/>
                <w:szCs w:val="13"/>
                <w:color w:val="auto"/>
              </w:rPr>
            </w:pPr>
          </w:p>
        </w:tc>
      </w:tr>
      <w:tr>
        <w:trPr>
          <w:trHeight w:val="148"/>
        </w:trPr>
        <w:tc>
          <w:tcPr>
            <w:tcW w:w="6680" w:type="dxa"/>
            <w:vAlign w:val="bottom"/>
          </w:tcPr>
          <w:p>
            <w:pPr>
              <w:ind w:left="20"/>
              <w:spacing w:after="0"/>
              <w:rPr>
                <w:sz w:val="20"/>
                <w:szCs w:val="20"/>
                <w:color w:val="auto"/>
              </w:rPr>
            </w:pPr>
            <w:r>
              <w:rPr>
                <w:rFonts w:ascii="Arial" w:cs="Arial" w:eastAsia="Arial" w:hAnsi="Arial"/>
                <w:sz w:val="9"/>
                <w:szCs w:val="9"/>
                <w:color w:val="auto"/>
              </w:rPr>
              <w:t>(in thousands)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2"/>
                <w:szCs w:val="12"/>
                <w:color w:val="auto"/>
              </w:rPr>
            </w:pPr>
          </w:p>
        </w:tc>
        <w:tc>
          <w:tcPr>
            <w:tcW w:w="154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 Change</w:t>
            </w:r>
          </w:p>
        </w:tc>
      </w:tr>
      <w:tr>
        <w:trPr>
          <w:trHeight w:val="103"/>
        </w:trPr>
        <w:tc>
          <w:tcPr>
            <w:tcW w:w="6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179"/>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income: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77"/>
        </w:trPr>
        <w:tc>
          <w:tcPr>
            <w:tcW w:w="6680" w:type="dxa"/>
            <w:vAlign w:val="bottom"/>
          </w:tcPr>
          <w:p>
            <w:pPr>
              <w:ind w:left="160"/>
              <w:spacing w:after="0"/>
              <w:rPr>
                <w:sz w:val="20"/>
                <w:szCs w:val="20"/>
                <w:color w:val="auto"/>
              </w:rPr>
            </w:pPr>
            <w:r>
              <w:rPr>
                <w:rFonts w:ascii="Arial" w:cs="Arial" w:eastAsia="Arial" w:hAnsi="Arial"/>
                <w:sz w:val="13"/>
                <w:szCs w:val="13"/>
                <w:color w:val="auto"/>
              </w:rPr>
              <w:t>Service charges on deposit accounts</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609</w:t>
            </w:r>
          </w:p>
        </w:tc>
        <w:tc>
          <w:tcPr>
            <w:tcW w:w="12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520</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17.1 %</w:t>
            </w:r>
          </w:p>
        </w:tc>
      </w:tr>
      <w:tr>
        <w:trPr>
          <w:trHeight w:val="181"/>
        </w:trPr>
        <w:tc>
          <w:tcPr>
            <w:tcW w:w="66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Credit card fees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27,884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16,966</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64.4</w:t>
            </w:r>
          </w:p>
        </w:tc>
      </w:tr>
      <w:tr>
        <w:trPr>
          <w:trHeight w:val="177"/>
        </w:trPr>
        <w:tc>
          <w:tcPr>
            <w:tcW w:w="6680" w:type="dxa"/>
            <w:vAlign w:val="bottom"/>
          </w:tcPr>
          <w:p>
            <w:pPr>
              <w:ind w:left="160"/>
              <w:spacing w:after="0"/>
              <w:rPr>
                <w:sz w:val="20"/>
                <w:szCs w:val="20"/>
                <w:color w:val="auto"/>
              </w:rPr>
            </w:pPr>
            <w:r>
              <w:rPr>
                <w:rFonts w:ascii="Arial" w:cs="Arial" w:eastAsia="Arial" w:hAnsi="Arial"/>
                <w:sz w:val="13"/>
                <w:szCs w:val="13"/>
                <w:color w:val="auto"/>
              </w:rPr>
              <w:t>Mortgage banking revenue</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20,843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32,273</w:t>
            </w:r>
          </w:p>
        </w:tc>
        <w:tc>
          <w:tcPr>
            <w:tcW w:w="100" w:type="dxa"/>
            <w:vAlign w:val="bottom"/>
          </w:tcPr>
          <w:p>
            <w:pPr>
              <w:spacing w:after="0"/>
              <w:rPr>
                <w:sz w:val="15"/>
                <w:szCs w:val="15"/>
                <w:color w:val="auto"/>
              </w:rPr>
            </w:pPr>
          </w:p>
        </w:tc>
        <w:tc>
          <w:tcPr>
            <w:tcW w:w="1540" w:type="dxa"/>
            <w:vAlign w:val="bottom"/>
          </w:tcPr>
          <w:p>
            <w:pPr>
              <w:jc w:val="right"/>
              <w:ind w:right="74"/>
              <w:spacing w:after="0"/>
              <w:rPr>
                <w:sz w:val="20"/>
                <w:szCs w:val="20"/>
                <w:color w:val="auto"/>
              </w:rPr>
            </w:pPr>
            <w:r>
              <w:rPr>
                <w:rFonts w:ascii="Arial" w:cs="Arial" w:eastAsia="Arial" w:hAnsi="Arial"/>
                <w:sz w:val="13"/>
                <w:szCs w:val="13"/>
                <w:color w:val="auto"/>
              </w:rPr>
              <w:t>(35.4)</w:t>
            </w:r>
          </w:p>
        </w:tc>
      </w:tr>
      <w:tr>
        <w:trPr>
          <w:trHeight w:val="181"/>
        </w:trPr>
        <w:tc>
          <w:tcPr>
            <w:tcW w:w="66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Gain on sale of investment securities available for sale, net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665.0</w:t>
            </w:r>
          </w:p>
        </w:tc>
      </w:tr>
      <w:tr>
        <w:trPr>
          <w:trHeight w:val="177"/>
        </w:trPr>
        <w:tc>
          <w:tcPr>
            <w:tcW w:w="66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income</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214.2</w:t>
            </w:r>
          </w:p>
        </w:tc>
      </w:tr>
      <w:tr>
        <w:trPr>
          <w:trHeight w:val="198"/>
        </w:trPr>
        <w:tc>
          <w:tcPr>
            <w:tcW w:w="6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noninterest income</w:t>
            </w: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50,636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50,144</w:t>
            </w: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268"/>
        <w:spacing w:after="0" w:line="232" w:lineRule="auto"/>
        <w:rPr>
          <w:sz w:val="20"/>
          <w:szCs w:val="20"/>
          <w:color w:val="auto"/>
        </w:rPr>
      </w:pPr>
      <w:r>
        <w:rPr>
          <w:rFonts w:ascii="Arial" w:cs="Arial" w:eastAsia="Arial" w:hAnsi="Arial"/>
          <w:sz w:val="15"/>
          <w:szCs w:val="15"/>
          <w:color w:val="auto"/>
        </w:rPr>
        <w:t>The Bank’s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Division continued to exceed management’s expectations in 2021. Active customer accounts grew by 92 thousand when comparing the year-end balance 2021 to 2020. The increase in accounts led to increased fees totaling $10.9 million during 2021. Management anticipates the impact of COVID-19 will wane as consumer patterns return to more normalized seasonal trends.</w:t>
      </w:r>
    </w:p>
    <w:p>
      <w:pPr>
        <w:spacing w:after="0" w:line="180"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The Bank’s Capital Bank Home Loans division saw a decline in mortgage originations during the year ended December 31, 2021 when compared to the prior year. The steepening of the yield curve in 2021 slowed originations from the year earlier when low interest rates fueled refinance volumes. Gain on sale margins, down slightly from 3.02% for the twelve months ended December 31, 2020, remained strong at 2.79% for the twelve months ended December 31, 2021. Historically-low housing inventory, shortages in new home building materials, and fluctuating interest rates are likely to continue suppressing origination volumes into 2022.</w:t>
      </w:r>
    </w:p>
    <w:p>
      <w:pPr>
        <w:spacing w:after="0" w:line="171"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Mortgage loans sold are subject to repurchase in circumstances where documentation is deficient or the underlying loan becomes delinquent or pays off within a specified period following loan funding and sale. The Bank considers these potential recourse provisions to be a risk and has established a reserve under generally accepted accounting principles for possible repurchases. The reserve was $1.2 million at December 31, 2021 and 2020. The Bank repurchased one loan for $205 thousand during 2021 while no loans were repurchased during 2020. The Bank does not originate “sub-prime” loans and has no exposure to this market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37" w:name="page38"/>
    <w:bookmarkEnd w:id="37"/>
    <w:p>
      <w:pPr>
        <w:spacing w:after="0"/>
        <w:rPr>
          <w:sz w:val="20"/>
          <w:szCs w:val="20"/>
          <w:color w:val="auto"/>
        </w:rPr>
      </w:pPr>
      <w:r>
        <w:rPr>
          <w:rFonts w:ascii="Arial" w:cs="Arial" w:eastAsia="Arial" w:hAnsi="Arial"/>
          <w:sz w:val="15"/>
          <w:szCs w:val="15"/>
          <w:i w:val="1"/>
          <w:iCs w:val="1"/>
          <w:color w:val="auto"/>
        </w:rPr>
        <w:t>Noninterest Expense</w:t>
      </w:r>
    </w:p>
    <w:p>
      <w:pPr>
        <w:spacing w:after="0" w:line="202"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for the periods indicated, the major categories of noninterest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Years Ended December 31,</w:t>
            </w:r>
          </w:p>
        </w:tc>
        <w:tc>
          <w:tcPr>
            <w:tcW w:w="1640" w:type="dxa"/>
            <w:vAlign w:val="bottom"/>
            <w:tcBorders>
              <w:bottom w:val="single" w:sz="8" w:color="auto"/>
            </w:tcBorders>
          </w:tcPr>
          <w:p>
            <w:pPr>
              <w:spacing w:after="0"/>
              <w:rPr>
                <w:sz w:val="13"/>
                <w:szCs w:val="13"/>
                <w:color w:val="auto"/>
              </w:rPr>
            </w:pPr>
          </w:p>
        </w:tc>
      </w:tr>
      <w:tr>
        <w:trPr>
          <w:trHeight w:val="148"/>
        </w:trPr>
        <w:tc>
          <w:tcPr>
            <w:tcW w:w="6360" w:type="dxa"/>
            <w:vAlign w:val="bottom"/>
          </w:tcPr>
          <w:p>
            <w:pPr>
              <w:ind w:left="20"/>
              <w:spacing w:after="0"/>
              <w:rPr>
                <w:sz w:val="20"/>
                <w:szCs w:val="20"/>
                <w:color w:val="auto"/>
              </w:rPr>
            </w:pPr>
            <w:r>
              <w:rPr>
                <w:rFonts w:ascii="Arial" w:cs="Arial" w:eastAsia="Arial" w:hAnsi="Arial"/>
                <w:sz w:val="9"/>
                <w:szCs w:val="9"/>
                <w:color w:val="auto"/>
              </w:rPr>
              <w:t>(in thousands)</w:t>
            </w: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2"/>
                <w:szCs w:val="12"/>
                <w:color w:val="auto"/>
              </w:rPr>
            </w:pPr>
          </w:p>
        </w:tc>
        <w:tc>
          <w:tcPr>
            <w:tcW w:w="164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 Change</w:t>
            </w:r>
          </w:p>
        </w:tc>
      </w:tr>
      <w:tr>
        <w:trPr>
          <w:trHeight w:val="103"/>
        </w:trPr>
        <w:tc>
          <w:tcPr>
            <w:tcW w:w="6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179"/>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expense: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7"/>
        </w:trPr>
        <w:tc>
          <w:tcPr>
            <w:tcW w:w="6360" w:type="dxa"/>
            <w:vAlign w:val="bottom"/>
          </w:tcPr>
          <w:p>
            <w:pPr>
              <w:ind w:left="160"/>
              <w:spacing w:after="0"/>
              <w:rPr>
                <w:sz w:val="20"/>
                <w:szCs w:val="20"/>
                <w:color w:val="auto"/>
              </w:rPr>
            </w:pPr>
            <w:r>
              <w:rPr>
                <w:rFonts w:ascii="Arial" w:cs="Arial" w:eastAsia="Arial" w:hAnsi="Arial"/>
                <w:sz w:val="13"/>
                <w:szCs w:val="13"/>
                <w:color w:val="auto"/>
              </w:rPr>
              <w:t>Salaries and employee benefits</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37,843</w:t>
            </w:r>
          </w:p>
        </w:tc>
        <w:tc>
          <w:tcPr>
            <w:tcW w:w="100" w:type="dxa"/>
            <w:vAlign w:val="bottom"/>
          </w:tcPr>
          <w:p>
            <w:pPr>
              <w:spacing w:after="0"/>
              <w:rPr>
                <w:sz w:val="15"/>
                <w:szCs w:val="15"/>
                <w:color w:val="auto"/>
              </w:rPr>
            </w:pPr>
          </w:p>
        </w:tc>
        <w:tc>
          <w:tcPr>
            <w:tcW w:w="360" w:type="dxa"/>
            <w:vAlign w:val="bottom"/>
          </w:tcPr>
          <w:p>
            <w:pPr>
              <w:jc w:val="right"/>
              <w:ind w:right="215"/>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33,442</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13.2 %</w:t>
            </w:r>
          </w:p>
        </w:tc>
      </w:tr>
      <w:tr>
        <w:trPr>
          <w:trHeight w:val="181"/>
        </w:trPr>
        <w:tc>
          <w:tcPr>
            <w:tcW w:w="6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Occupancy and equipment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(16.3)</w:t>
            </w:r>
          </w:p>
        </w:tc>
      </w:tr>
      <w:tr>
        <w:trPr>
          <w:trHeight w:val="177"/>
        </w:trPr>
        <w:tc>
          <w:tcPr>
            <w:tcW w:w="6360" w:type="dxa"/>
            <w:vAlign w:val="bottom"/>
          </w:tcPr>
          <w:p>
            <w:pPr>
              <w:ind w:left="160"/>
              <w:spacing w:after="0"/>
              <w:rPr>
                <w:sz w:val="20"/>
                <w:szCs w:val="20"/>
                <w:color w:val="auto"/>
              </w:rPr>
            </w:pPr>
            <w:r>
              <w:rPr>
                <w:rFonts w:ascii="Arial" w:cs="Arial" w:eastAsia="Arial" w:hAnsi="Arial"/>
                <w:sz w:val="13"/>
                <w:szCs w:val="13"/>
                <w:color w:val="auto"/>
              </w:rPr>
              <w:t>Professional fees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6,996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4,900</w:t>
            </w:r>
          </w:p>
        </w:tc>
        <w:tc>
          <w:tcPr>
            <w:tcW w:w="100" w:type="dxa"/>
            <w:vAlign w:val="bottom"/>
          </w:tcPr>
          <w:p>
            <w:pPr>
              <w:spacing w:after="0"/>
              <w:rPr>
                <w:sz w:val="15"/>
                <w:szCs w:val="15"/>
                <w:color w:val="auto"/>
              </w:rPr>
            </w:pPr>
          </w:p>
        </w:tc>
        <w:tc>
          <w:tcPr>
            <w:tcW w:w="1640" w:type="dxa"/>
            <w:vAlign w:val="bottom"/>
          </w:tcPr>
          <w:p>
            <w:pPr>
              <w:jc w:val="right"/>
              <w:ind w:right="114"/>
              <w:spacing w:after="0"/>
              <w:rPr>
                <w:sz w:val="20"/>
                <w:szCs w:val="20"/>
                <w:color w:val="auto"/>
              </w:rPr>
            </w:pPr>
            <w:r>
              <w:rPr>
                <w:rFonts w:ascii="Arial" w:cs="Arial" w:eastAsia="Arial" w:hAnsi="Arial"/>
                <w:sz w:val="13"/>
                <w:szCs w:val="13"/>
                <w:color w:val="auto"/>
              </w:rPr>
              <w:t>42.8</w:t>
            </w:r>
          </w:p>
        </w:tc>
      </w:tr>
      <w:tr>
        <w:trPr>
          <w:trHeight w:val="181"/>
        </w:trPr>
        <w:tc>
          <w:tcPr>
            <w:tcW w:w="6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Data processing</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26,917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45.8</w:t>
            </w:r>
          </w:p>
        </w:tc>
      </w:tr>
      <w:tr>
        <w:trPr>
          <w:trHeight w:val="177"/>
        </w:trPr>
        <w:tc>
          <w:tcPr>
            <w:tcW w:w="6360" w:type="dxa"/>
            <w:vAlign w:val="bottom"/>
          </w:tcPr>
          <w:p>
            <w:pPr>
              <w:ind w:left="160"/>
              <w:spacing w:after="0"/>
              <w:rPr>
                <w:sz w:val="20"/>
                <w:szCs w:val="20"/>
                <w:color w:val="auto"/>
              </w:rPr>
            </w:pPr>
            <w:r>
              <w:rPr>
                <w:rFonts w:ascii="Arial" w:cs="Arial" w:eastAsia="Arial" w:hAnsi="Arial"/>
                <w:sz w:val="13"/>
                <w:szCs w:val="13"/>
                <w:color w:val="auto"/>
              </w:rPr>
              <w:t>Advertising</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2,530</w:t>
            </w:r>
          </w:p>
        </w:tc>
        <w:tc>
          <w:tcPr>
            <w:tcW w:w="100" w:type="dxa"/>
            <w:vAlign w:val="bottom"/>
          </w:tcPr>
          <w:p>
            <w:pPr>
              <w:spacing w:after="0"/>
              <w:rPr>
                <w:sz w:val="15"/>
                <w:szCs w:val="15"/>
                <w:color w:val="auto"/>
              </w:rPr>
            </w:pPr>
          </w:p>
        </w:tc>
        <w:tc>
          <w:tcPr>
            <w:tcW w:w="1640" w:type="dxa"/>
            <w:vAlign w:val="bottom"/>
          </w:tcPr>
          <w:p>
            <w:pPr>
              <w:jc w:val="right"/>
              <w:ind w:right="114"/>
              <w:spacing w:after="0"/>
              <w:rPr>
                <w:sz w:val="20"/>
                <w:szCs w:val="20"/>
                <w:color w:val="auto"/>
              </w:rPr>
            </w:pPr>
            <w:r>
              <w:rPr>
                <w:rFonts w:ascii="Arial" w:cs="Arial" w:eastAsia="Arial" w:hAnsi="Arial"/>
                <w:sz w:val="13"/>
                <w:szCs w:val="13"/>
                <w:color w:val="auto"/>
              </w:rPr>
              <w:t>89.8</w:t>
            </w:r>
          </w:p>
        </w:tc>
      </w:tr>
      <w:tr>
        <w:trPr>
          <w:trHeight w:val="181"/>
        </w:trPr>
        <w:tc>
          <w:tcPr>
            <w:tcW w:w="6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Loan processing</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3,811</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(7.5)</w:t>
            </w:r>
          </w:p>
        </w:tc>
      </w:tr>
      <w:tr>
        <w:trPr>
          <w:trHeight w:val="177"/>
        </w:trPr>
        <w:tc>
          <w:tcPr>
            <w:tcW w:w="6360" w:type="dxa"/>
            <w:vAlign w:val="bottom"/>
          </w:tcPr>
          <w:p>
            <w:pPr>
              <w:ind w:left="160"/>
              <w:spacing w:after="0"/>
              <w:rPr>
                <w:sz w:val="20"/>
                <w:szCs w:val="20"/>
                <w:color w:val="auto"/>
              </w:rPr>
            </w:pPr>
            <w:r>
              <w:rPr>
                <w:rFonts w:ascii="Arial" w:cs="Arial" w:eastAsia="Arial" w:hAnsi="Arial"/>
                <w:sz w:val="13"/>
                <w:szCs w:val="13"/>
                <w:color w:val="auto"/>
              </w:rPr>
              <w:t>Other real estate expense, net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1640" w:type="dxa"/>
            <w:vAlign w:val="bottom"/>
          </w:tcPr>
          <w:p>
            <w:pPr>
              <w:jc w:val="right"/>
              <w:ind w:right="114"/>
              <w:spacing w:after="0"/>
              <w:rPr>
                <w:sz w:val="20"/>
                <w:szCs w:val="20"/>
                <w:color w:val="auto"/>
              </w:rPr>
            </w:pPr>
            <w:r>
              <w:rPr>
                <w:rFonts w:ascii="Arial" w:cs="Arial" w:eastAsia="Arial" w:hAnsi="Arial"/>
                <w:sz w:val="13"/>
                <w:szCs w:val="13"/>
                <w:color w:val="auto"/>
              </w:rPr>
              <w:t>433.3</w:t>
            </w:r>
          </w:p>
        </w:tc>
      </w:tr>
      <w:tr>
        <w:trPr>
          <w:trHeight w:val="179"/>
        </w:trPr>
        <w:tc>
          <w:tcPr>
            <w:tcW w:w="6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operating</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12,993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10,995</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18.2</w:t>
            </w:r>
          </w:p>
        </w:tc>
      </w:tr>
      <w:tr>
        <w:trPr>
          <w:trHeight w:val="173"/>
        </w:trPr>
        <w:tc>
          <w:tcPr>
            <w:tcW w:w="6360" w:type="dxa"/>
            <w:vAlign w:val="bottom"/>
          </w:tcPr>
          <w:p>
            <w:pPr>
              <w:ind w:left="300"/>
              <w:spacing w:after="0"/>
              <w:rPr>
                <w:sz w:val="20"/>
                <w:szCs w:val="20"/>
                <w:color w:val="auto"/>
              </w:rPr>
            </w:pPr>
            <w:r>
              <w:rPr>
                <w:rFonts w:ascii="Arial" w:cs="Arial" w:eastAsia="Arial" w:hAnsi="Arial"/>
                <w:sz w:val="13"/>
                <w:szCs w:val="13"/>
                <w:color w:val="auto"/>
              </w:rPr>
              <w:t>Total noninterest expense</w:t>
            </w:r>
          </w:p>
        </w:tc>
        <w:tc>
          <w:tcPr>
            <w:tcW w:w="3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110,094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87,834</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25.3 %</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ind w:firstLine="268"/>
        <w:spacing w:after="0" w:line="231" w:lineRule="auto"/>
        <w:rPr>
          <w:sz w:val="20"/>
          <w:szCs w:val="20"/>
          <w:color w:val="auto"/>
        </w:rPr>
      </w:pPr>
      <w:r>
        <w:rPr>
          <w:rFonts w:ascii="Arial" w:cs="Arial" w:eastAsia="Arial" w:hAnsi="Arial"/>
          <w:sz w:val="15"/>
          <w:szCs w:val="15"/>
          <w:color w:val="auto"/>
        </w:rPr>
        <w:t>During 2021, salaries and employee benefits increased due to the addition of new employees in our commercial and commercial real estate lending groups as well as additional positions in executive management as the Company continues to put in place the requisite human capital for its continued growth. Contributions to the long-term incentive plan during 2021 was responsible for an additional $1.2 million in salaries and employee benefits expense when compared to the year ended December 31, 2020. The increase in data processing expense as well as other operating expense was primarily related to the increase in the number of active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accounts at year end 2021, while the increase in advertising expense was attributable to enhanced marketing for the commercial bank segment as well as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during 2021. Professional fees associated with the commercial bank segment increased as the Company continued to build out its regulatory and compliance infrastructure in anticipation of the budgeted growth for 2022.</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Tax Expense</w:t>
      </w:r>
    </w:p>
    <w:p>
      <w:pPr>
        <w:spacing w:after="0" w:line="202"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 amount of income tax expense we incur is influenced by our pre-tax income and our nondeductible expenses. Deferred tax assets and liabilities are reflected at current income tax rates in effect for the period in which the deferred tax assets and liabilities are expected to be realized or settled. A valuation allowance is established when necessary to reduce deferred tax assets to the amount expected to be realized.</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Income tax expense was $13.9 million for 2021 compared to $9.3 million for 2020. Our effective tax rates for those periods were 25.8% and 26.5%,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6" w:right="319" w:bottom="1440" w:gutter="0" w:footer="0" w:header="0"/>
        </w:sectPr>
      </w:pPr>
    </w:p>
    <w:bookmarkStart w:id="38" w:name="page39"/>
    <w:bookmarkEnd w:id="38"/>
    <w:p>
      <w:pPr>
        <w:spacing w:after="0" w:line="3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Condition</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the Company’s financial condition at the dates indicated.</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3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December 31,</w:t>
            </w:r>
          </w:p>
        </w:tc>
        <w:tc>
          <w:tcPr>
            <w:tcW w:w="10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660"/>
              <w:spacing w:after="0"/>
              <w:rPr>
                <w:sz w:val="20"/>
                <w:szCs w:val="20"/>
                <w:color w:val="auto"/>
              </w:rPr>
            </w:pPr>
            <w:r>
              <w:rPr>
                <w:rFonts w:ascii="Arial" w:cs="Arial" w:eastAsia="Arial" w:hAnsi="Arial"/>
                <w:sz w:val="12"/>
                <w:szCs w:val="12"/>
                <w:b w:val="1"/>
                <w:bCs w:val="1"/>
                <w:color w:val="auto"/>
                <w:w w:val="99"/>
              </w:rPr>
              <w:t>Change expressed in:</w:t>
            </w:r>
          </w:p>
        </w:tc>
        <w:tc>
          <w:tcPr>
            <w:tcW w:w="740" w:type="dxa"/>
            <w:vAlign w:val="bottom"/>
            <w:tcBorders>
              <w:bottom w:val="single" w:sz="8" w:color="auto"/>
            </w:tcBorders>
          </w:tcPr>
          <w:p>
            <w:pPr>
              <w:spacing w:after="0"/>
              <w:rPr>
                <w:sz w:val="13"/>
                <w:szCs w:val="13"/>
                <w:color w:val="auto"/>
              </w:rPr>
            </w:pPr>
          </w:p>
        </w:tc>
      </w:tr>
      <w:tr>
        <w:trPr>
          <w:trHeight w:val="148"/>
        </w:trPr>
        <w:tc>
          <w:tcPr>
            <w:tcW w:w="3580" w:type="dxa"/>
            <w:vAlign w:val="bottom"/>
          </w:tcPr>
          <w:p>
            <w:pPr>
              <w:ind w:left="280"/>
              <w:spacing w:after="0"/>
              <w:rPr>
                <w:sz w:val="20"/>
                <w:szCs w:val="20"/>
                <w:color w:val="auto"/>
              </w:rPr>
            </w:pPr>
            <w:r>
              <w:rPr>
                <w:rFonts w:ascii="Arial" w:cs="Arial" w:eastAsia="Arial" w:hAnsi="Arial"/>
                <w:sz w:val="9"/>
                <w:szCs w:val="9"/>
                <w:color w:val="auto"/>
              </w:rPr>
              <w:t>(in thousands)</w:t>
            </w:r>
          </w:p>
        </w:tc>
        <w:tc>
          <w:tcPr>
            <w:tcW w:w="680" w:type="dxa"/>
            <w:vAlign w:val="bottom"/>
          </w:tcPr>
          <w:p>
            <w:pPr>
              <w:spacing w:after="0"/>
              <w:rPr>
                <w:sz w:val="12"/>
                <w:szCs w:val="12"/>
                <w:color w:val="auto"/>
              </w:rPr>
            </w:pPr>
          </w:p>
        </w:tc>
        <w:tc>
          <w:tcPr>
            <w:tcW w:w="940" w:type="dxa"/>
            <w:vAlign w:val="bottom"/>
          </w:tcPr>
          <w:p>
            <w:pPr>
              <w:jc w:val="right"/>
              <w:ind w:right="254"/>
              <w:spacing w:after="0"/>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right"/>
              <w:ind w:right="394"/>
              <w:spacing w:after="0"/>
              <w:rPr>
                <w:sz w:val="20"/>
                <w:szCs w:val="20"/>
                <w:color w:val="auto"/>
              </w:rPr>
            </w:pPr>
            <w:r>
              <w:rPr>
                <w:rFonts w:ascii="Arial" w:cs="Arial" w:eastAsia="Arial" w:hAnsi="Arial"/>
                <w:sz w:val="12"/>
                <w:szCs w:val="12"/>
                <w:b w:val="1"/>
                <w:bCs w:val="1"/>
                <w:color w:val="auto"/>
              </w:rPr>
              <w:t>2020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3"/>
          </w:tcPr>
          <w:p>
            <w:pPr>
              <w:ind w:left="200"/>
              <w:spacing w:after="0"/>
              <w:rPr>
                <w:sz w:val="20"/>
                <w:szCs w:val="20"/>
                <w:color w:val="auto"/>
              </w:rPr>
            </w:pPr>
            <w:r>
              <w:rPr>
                <w:rFonts w:ascii="Arial" w:cs="Arial" w:eastAsia="Arial" w:hAnsi="Arial"/>
                <w:sz w:val="12"/>
                <w:szCs w:val="12"/>
                <w:b w:val="1"/>
                <w:bCs w:val="1"/>
                <w:color w:val="auto"/>
              </w:rPr>
              <w:t>Dollars</w:t>
            </w:r>
          </w:p>
        </w:tc>
        <w:tc>
          <w:tcPr>
            <w:tcW w:w="740" w:type="dxa"/>
            <w:vAlign w:val="bottom"/>
          </w:tcPr>
          <w:p>
            <w:pPr>
              <w:jc w:val="right"/>
              <w:ind w:right="214"/>
              <w:spacing w:after="0"/>
              <w:rPr>
                <w:sz w:val="20"/>
                <w:szCs w:val="20"/>
                <w:color w:val="auto"/>
              </w:rPr>
            </w:pPr>
            <w:r>
              <w:rPr>
                <w:rFonts w:ascii="Arial" w:cs="Arial" w:eastAsia="Arial" w:hAnsi="Arial"/>
                <w:sz w:val="12"/>
                <w:szCs w:val="12"/>
                <w:b w:val="1"/>
                <w:bCs w:val="1"/>
                <w:color w:val="auto"/>
                <w:w w:val="99"/>
              </w:rPr>
              <w:t>Percent</w:t>
            </w:r>
          </w:p>
        </w:tc>
      </w:tr>
      <w:tr>
        <w:trPr>
          <w:trHeight w:val="103"/>
        </w:trPr>
        <w:tc>
          <w:tcPr>
            <w:tcW w:w="35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r>
      <w:tr>
        <w:trPr>
          <w:trHeight w:val="179"/>
        </w:trPr>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68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2,055,300</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1,876,593</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178,707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9.5</w:t>
            </w:r>
          </w:p>
        </w:tc>
      </w:tr>
      <w:tr>
        <w:trPr>
          <w:trHeight w:val="177"/>
        </w:trPr>
        <w:tc>
          <w:tcPr>
            <w:tcW w:w="3580" w:type="dxa"/>
            <w:vAlign w:val="bottom"/>
          </w:tcPr>
          <w:p>
            <w:pPr>
              <w:ind w:left="280"/>
              <w:spacing w:after="0"/>
              <w:rPr>
                <w:sz w:val="20"/>
                <w:szCs w:val="20"/>
                <w:color w:val="auto"/>
              </w:rPr>
            </w:pPr>
            <w:r>
              <w:rPr>
                <w:rFonts w:ascii="Arial" w:cs="Arial" w:eastAsia="Arial" w:hAnsi="Arial"/>
                <w:sz w:val="13"/>
                <w:szCs w:val="13"/>
                <w:color w:val="auto"/>
              </w:rPr>
              <w:t>AFS securities</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184,455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99,787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84,668</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84.8</w:t>
            </w:r>
          </w:p>
        </w:tc>
      </w:tr>
      <w:tr>
        <w:trPr>
          <w:trHeight w:val="181"/>
        </w:trPr>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Portfolio loans receivable, net</w:t>
            </w: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1,523,982</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1,315,502</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208,480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15.8</w:t>
            </w:r>
          </w:p>
        </w:tc>
      </w:tr>
      <w:tr>
        <w:trPr>
          <w:trHeight w:val="177"/>
        </w:trPr>
        <w:tc>
          <w:tcPr>
            <w:tcW w:w="3580" w:type="dxa"/>
            <w:vAlign w:val="bottom"/>
          </w:tcPr>
          <w:p>
            <w:pPr>
              <w:ind w:left="280"/>
              <w:spacing w:after="0"/>
              <w:rPr>
                <w:sz w:val="20"/>
                <w:szCs w:val="20"/>
                <w:color w:val="auto"/>
              </w:rPr>
            </w:pPr>
            <w:r>
              <w:rPr>
                <w:rFonts w:ascii="Arial" w:cs="Arial" w:eastAsia="Arial" w:hAnsi="Arial"/>
                <w:sz w:val="13"/>
                <w:szCs w:val="13"/>
                <w:color w:val="auto"/>
              </w:rPr>
              <w:t>Deposits</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1,797,137</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1,652,128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145,009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8.8</w:t>
            </w:r>
          </w:p>
        </w:tc>
      </w:tr>
      <w:tr>
        <w:trPr>
          <w:trHeight w:val="181"/>
        </w:trPr>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Borrowings</w:t>
            </w: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34,062</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36,016</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(5.4)</w:t>
            </w:r>
          </w:p>
        </w:tc>
      </w:tr>
      <w:tr>
        <w:trPr>
          <w:trHeight w:val="177"/>
        </w:trPr>
        <w:tc>
          <w:tcPr>
            <w:tcW w:w="3580" w:type="dxa"/>
            <w:vAlign w:val="bottom"/>
          </w:tcPr>
          <w:p>
            <w:pPr>
              <w:ind w:left="280"/>
              <w:spacing w:after="0"/>
              <w:rPr>
                <w:sz w:val="20"/>
                <w:szCs w:val="20"/>
                <w:color w:val="auto"/>
              </w:rPr>
            </w:pPr>
            <w:r>
              <w:rPr>
                <w:rFonts w:ascii="Arial" w:cs="Arial" w:eastAsia="Arial" w:hAnsi="Arial"/>
                <w:sz w:val="13"/>
                <w:szCs w:val="13"/>
                <w:color w:val="auto"/>
              </w:rPr>
              <w:t>Stockholders’ equity</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197,903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159,311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38,592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24.2</w:t>
            </w:r>
          </w:p>
        </w:tc>
      </w:tr>
      <w:tr>
        <w:trPr>
          <w:trHeight w:val="181"/>
        </w:trPr>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 to total assets at end of period</w:t>
            </w: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8.5</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12.9</w:t>
            </w:r>
          </w:p>
        </w:tc>
      </w:tr>
      <w:tr>
        <w:trPr>
          <w:trHeight w:val="177"/>
        </w:trPr>
        <w:tc>
          <w:tcPr>
            <w:tcW w:w="3580" w:type="dxa"/>
            <w:vAlign w:val="bottom"/>
          </w:tcPr>
          <w:p>
            <w:pPr>
              <w:ind w:left="280"/>
              <w:spacing w:after="0"/>
              <w:rPr>
                <w:sz w:val="20"/>
                <w:szCs w:val="20"/>
                <w:color w:val="auto"/>
              </w:rPr>
            </w:pPr>
            <w:r>
              <w:rPr>
                <w:rFonts w:ascii="Arial" w:cs="Arial" w:eastAsia="Arial" w:hAnsi="Arial"/>
                <w:sz w:val="13"/>
                <w:szCs w:val="13"/>
                <w:color w:val="auto"/>
              </w:rPr>
              <w:t>Average number of basic shares outstanding</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13,799</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13,793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0.0</w:t>
            </w:r>
          </w:p>
        </w:tc>
      </w:tr>
      <w:tr>
        <w:trPr>
          <w:trHeight w:val="181"/>
        </w:trPr>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Average number of diluted shares outstanding</w:t>
            </w: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13,800</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2.0</w:t>
            </w:r>
          </w:p>
        </w:tc>
      </w:tr>
    </w:tbl>
    <w:p>
      <w:pPr>
        <w:spacing w:after="0" w:line="257" w:lineRule="exact"/>
        <w:rPr>
          <w:sz w:val="20"/>
          <w:szCs w:val="20"/>
          <w:color w:val="auto"/>
        </w:rPr>
      </w:pPr>
    </w:p>
    <w:p>
      <w:pPr>
        <w:jc w:val="both"/>
        <w:ind w:right="120" w:firstLine="268"/>
        <w:spacing w:after="0" w:line="253" w:lineRule="auto"/>
        <w:rPr>
          <w:sz w:val="20"/>
          <w:szCs w:val="20"/>
          <w:color w:val="auto"/>
        </w:rPr>
      </w:pPr>
      <w:r>
        <w:rPr>
          <w:rFonts w:ascii="Arial" w:cs="Arial" w:eastAsia="Arial" w:hAnsi="Arial"/>
          <w:sz w:val="15"/>
          <w:szCs w:val="15"/>
          <w:color w:val="auto"/>
        </w:rPr>
        <w:t>Total assets at December 31, 2021 reflected an increase from its December 31, 2020 balance due to growth in the commercial real estate loan portfolio and credit card portfolios, the addition of bank-owned life insurance, and the deployment of excess liquidity into the investment portfolio. Offsetting these increases were decreases in the loans held for sale portfolio during 2021 when compared to 2020, as well as a reduction in SBA-PPP loans.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Securities</w:t>
      </w:r>
    </w:p>
    <w:p>
      <w:pPr>
        <w:spacing w:after="0" w:line="202" w:lineRule="exact"/>
        <w:rPr>
          <w:sz w:val="20"/>
          <w:szCs w:val="20"/>
          <w:color w:val="auto"/>
        </w:rPr>
      </w:pPr>
    </w:p>
    <w:p>
      <w:pPr>
        <w:ind w:right="160" w:firstLine="268"/>
        <w:spacing w:after="0" w:line="258" w:lineRule="auto"/>
        <w:rPr>
          <w:sz w:val="20"/>
          <w:szCs w:val="20"/>
          <w:color w:val="auto"/>
        </w:rPr>
      </w:pPr>
      <w:r>
        <w:rPr>
          <w:rFonts w:ascii="Arial" w:cs="Arial" w:eastAsia="Arial" w:hAnsi="Arial"/>
          <w:sz w:val="15"/>
          <w:szCs w:val="15"/>
          <w:color w:val="auto"/>
        </w:rPr>
        <w:t>The Company uses its securities portfolio to provide a source of liquidity, provide an appropriate return on funds invested, manage interest rate risk, meet collateral requirements and meet regulatory capital requirements.</w:t>
      </w:r>
    </w:p>
    <w:p>
      <w:pPr>
        <w:spacing w:after="0" w:line="166" w:lineRule="exact"/>
        <w:rPr>
          <w:sz w:val="20"/>
          <w:szCs w:val="20"/>
          <w:color w:val="auto"/>
        </w:rPr>
      </w:pPr>
    </w:p>
    <w:p>
      <w:pPr>
        <w:jc w:val="both"/>
        <w:ind w:right="80" w:firstLine="268"/>
        <w:spacing w:after="0" w:line="252" w:lineRule="auto"/>
        <w:rPr>
          <w:sz w:val="20"/>
          <w:szCs w:val="20"/>
          <w:color w:val="auto"/>
        </w:rPr>
      </w:pPr>
      <w:r>
        <w:rPr>
          <w:rFonts w:ascii="Arial" w:cs="Arial" w:eastAsia="Arial" w:hAnsi="Arial"/>
          <w:sz w:val="15"/>
          <w:szCs w:val="15"/>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171"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To supplement interest income earned on our loan portfolio, the Company invests in high quality mortgage-backed securities, government agency bonds, asset-backed securities and high quality municipal and corporate bonds. During 2021, management invested a portion of its excess liquidity into U.S. Treasuries as the spread between treasuries and other investment portfolios continued to contract.</w:t>
      </w:r>
    </w:p>
    <w:p>
      <w:pPr>
        <w:spacing w:after="0" w:line="171" w:lineRule="exact"/>
        <w:rPr>
          <w:sz w:val="20"/>
          <w:szCs w:val="20"/>
          <w:color w:val="auto"/>
        </w:rPr>
      </w:pPr>
    </w:p>
    <w:p>
      <w:pPr>
        <w:jc w:val="both"/>
        <w:ind w:right="160" w:firstLine="268"/>
        <w:spacing w:after="0" w:line="252" w:lineRule="auto"/>
        <w:rPr>
          <w:sz w:val="20"/>
          <w:szCs w:val="20"/>
          <w:color w:val="auto"/>
        </w:rPr>
      </w:pPr>
      <w:r>
        <w:rPr>
          <w:rFonts w:ascii="Arial" w:cs="Arial" w:eastAsia="Arial" w:hAnsi="Arial"/>
          <w:sz w:val="15"/>
          <w:szCs w:val="15"/>
          <w:color w:val="auto"/>
        </w:rPr>
        <w:t>The following tables summarize the contractual maturities, without consideration of call features or pre-refunding dates, and weighted-average yields of investment securities at December 31, 2021 and the amortized cost and carrying value of those securities as of the indicated dates. The weighted average yields were calculated by multiplying the book value of each individual security by its yield, dividing that figure by the portfolio total, and then summing the value of these results to arrive at the weighted average yield. Yields on tax-exempt investments are not calculated on a fully tax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44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27"/>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4"/>
          </w:tcPr>
          <w:p>
            <w:pPr>
              <w:ind w:left="20"/>
              <w:spacing w:after="0"/>
              <w:rPr>
                <w:sz w:val="20"/>
                <w:szCs w:val="20"/>
                <w:color w:val="auto"/>
              </w:rPr>
            </w:pPr>
            <w:r>
              <w:rPr>
                <w:rFonts w:ascii="Arial" w:cs="Arial" w:eastAsia="Arial" w:hAnsi="Arial"/>
                <w:sz w:val="9"/>
                <w:szCs w:val="9"/>
                <w:b w:val="1"/>
                <w:bCs w:val="1"/>
                <w:color w:val="auto"/>
              </w:rPr>
              <w:t>More Than One Year Through Five Years</w:t>
            </w:r>
          </w:p>
        </w:tc>
        <w:tc>
          <w:tcPr>
            <w:tcW w:w="100" w:type="dxa"/>
            <w:vAlign w:val="bottom"/>
          </w:tcPr>
          <w:p>
            <w:pPr>
              <w:spacing w:after="0"/>
              <w:rPr>
                <w:sz w:val="11"/>
                <w:szCs w:val="11"/>
                <w:color w:val="auto"/>
              </w:rPr>
            </w:pPr>
          </w:p>
        </w:tc>
        <w:tc>
          <w:tcPr>
            <w:tcW w:w="1980" w:type="dxa"/>
            <w:vAlign w:val="bottom"/>
            <w:gridSpan w:val="4"/>
          </w:tcPr>
          <w:p>
            <w:pPr>
              <w:jc w:val="right"/>
              <w:ind w:right="220"/>
              <w:spacing w:after="0"/>
              <w:rPr>
                <w:sz w:val="20"/>
                <w:szCs w:val="20"/>
                <w:color w:val="auto"/>
              </w:rPr>
            </w:pPr>
            <w:r>
              <w:rPr>
                <w:rFonts w:ascii="Arial" w:cs="Arial" w:eastAsia="Arial" w:hAnsi="Arial"/>
                <w:sz w:val="9"/>
                <w:szCs w:val="9"/>
                <w:b w:val="1"/>
                <w:bCs w:val="1"/>
                <w:color w:val="auto"/>
                <w:w w:val="97"/>
              </w:rPr>
              <w:t>More Than Five Years Through Ten Years</w:t>
            </w:r>
          </w:p>
        </w:tc>
        <w:tc>
          <w:tcPr>
            <w:tcW w:w="140" w:type="dxa"/>
            <w:vAlign w:val="bottom"/>
          </w:tcPr>
          <w:p>
            <w:pPr>
              <w:spacing w:after="0"/>
              <w:rPr>
                <w:sz w:val="11"/>
                <w:szCs w:val="11"/>
                <w:color w:val="auto"/>
              </w:rPr>
            </w:pPr>
          </w:p>
        </w:tc>
        <w:tc>
          <w:tcPr>
            <w:tcW w:w="1940" w:type="dxa"/>
            <w:vAlign w:val="bottom"/>
            <w:gridSpan w:val="4"/>
          </w:tcPr>
          <w:p>
            <w:pPr>
              <w:ind w:left="400"/>
              <w:spacing w:after="0"/>
              <w:rPr>
                <w:sz w:val="20"/>
                <w:szCs w:val="20"/>
                <w:color w:val="auto"/>
              </w:rPr>
            </w:pPr>
            <w:r>
              <w:rPr>
                <w:rFonts w:ascii="Arial" w:cs="Arial" w:eastAsia="Arial" w:hAnsi="Arial"/>
                <w:sz w:val="9"/>
                <w:szCs w:val="9"/>
                <w:b w:val="1"/>
                <w:bCs w:val="1"/>
                <w:color w:val="auto"/>
              </w:rPr>
              <w:t>More Than Ten Years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250"/>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9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At December 31, 2021</w:t>
            </w:r>
          </w:p>
        </w:tc>
        <w:tc>
          <w:tcPr>
            <w:tcW w:w="100" w:type="dxa"/>
            <w:vAlign w:val="bottom"/>
            <w:vMerge w:val="restart"/>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9"/>
                <w:szCs w:val="9"/>
                <w:b w:val="1"/>
                <w:bCs w:val="1"/>
                <w:color w:val="auto"/>
              </w:rPr>
              <w:t>Book Value</w:t>
            </w: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ind w:right="50"/>
              <w:spacing w:after="0" w:line="90" w:lineRule="exact"/>
              <w:rPr>
                <w:sz w:val="20"/>
                <w:szCs w:val="20"/>
                <w:color w:val="auto"/>
              </w:rPr>
            </w:pPr>
            <w:r>
              <w:rPr>
                <w:rFonts w:ascii="Arial" w:cs="Arial" w:eastAsia="Arial" w:hAnsi="Arial"/>
                <w:sz w:val="9"/>
                <w:szCs w:val="9"/>
                <w:b w:val="1"/>
                <w:bCs w:val="1"/>
                <w:color w:val="auto"/>
              </w:rPr>
              <w:t>Weighted Average</w:t>
            </w: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9"/>
                <w:szCs w:val="9"/>
                <w:b w:val="1"/>
                <w:bCs w:val="1"/>
                <w:color w:val="auto"/>
              </w:rPr>
              <w:t>Book Value</w:t>
            </w: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ind w:right="52"/>
              <w:spacing w:after="0" w:line="90" w:lineRule="exact"/>
              <w:rPr>
                <w:sz w:val="20"/>
                <w:szCs w:val="20"/>
                <w:color w:val="auto"/>
              </w:rPr>
            </w:pPr>
            <w:r>
              <w:rPr>
                <w:rFonts w:ascii="Arial" w:cs="Arial" w:eastAsia="Arial" w:hAnsi="Arial"/>
                <w:sz w:val="9"/>
                <w:szCs w:val="9"/>
                <w:b w:val="1"/>
                <w:bCs w:val="1"/>
                <w:color w:val="auto"/>
              </w:rPr>
              <w:t>Weighted Average</w:t>
            </w: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9"/>
                <w:szCs w:val="9"/>
                <w:b w:val="1"/>
                <w:bCs w:val="1"/>
                <w:color w:val="auto"/>
              </w:rPr>
              <w:t>Book Value</w:t>
            </w: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ind w:right="52"/>
              <w:spacing w:after="0" w:line="90" w:lineRule="exact"/>
              <w:rPr>
                <w:sz w:val="20"/>
                <w:szCs w:val="20"/>
                <w:color w:val="auto"/>
              </w:rPr>
            </w:pPr>
            <w:r>
              <w:rPr>
                <w:rFonts w:ascii="Arial" w:cs="Arial" w:eastAsia="Arial" w:hAnsi="Arial"/>
                <w:sz w:val="9"/>
                <w:szCs w:val="9"/>
                <w:b w:val="1"/>
                <w:bCs w:val="1"/>
                <w:color w:val="auto"/>
              </w:rPr>
              <w:t>Weighted Average</w:t>
            </w: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vMerge w:val="restart"/>
          </w:tcPr>
          <w:p>
            <w:pPr>
              <w:jc w:val="right"/>
              <w:ind w:right="169"/>
              <w:spacing w:after="0"/>
              <w:rPr>
                <w:sz w:val="20"/>
                <w:szCs w:val="20"/>
                <w:color w:val="auto"/>
              </w:rPr>
            </w:pPr>
            <w:r>
              <w:rPr>
                <w:rFonts w:ascii="Arial" w:cs="Arial" w:eastAsia="Arial" w:hAnsi="Arial"/>
                <w:sz w:val="9"/>
                <w:szCs w:val="9"/>
                <w:b w:val="1"/>
                <w:bCs w:val="1"/>
                <w:color w:val="auto"/>
              </w:rPr>
              <w:t>Book Value</w:t>
            </w:r>
          </w:p>
        </w:tc>
        <w:tc>
          <w:tcPr>
            <w:tcW w:w="100" w:type="dxa"/>
            <w:vAlign w:val="bottom"/>
            <w:tcBorders>
              <w:top w:val="single" w:sz="8" w:color="auto"/>
            </w:tcBorders>
            <w:vMerge w:val="restart"/>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9"/>
                <w:szCs w:val="9"/>
                <w:b w:val="1"/>
                <w:bCs w:val="1"/>
                <w:color w:val="auto"/>
              </w:rPr>
              <w:t>Fair Value</w:t>
            </w:r>
          </w:p>
        </w:tc>
        <w:tc>
          <w:tcPr>
            <w:tcW w:w="1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Weighted Average</w:t>
            </w:r>
          </w:p>
        </w:tc>
        <w:tc>
          <w:tcPr>
            <w:tcW w:w="0" w:type="dxa"/>
            <w:vAlign w:val="bottom"/>
          </w:tcPr>
          <w:p>
            <w:pPr>
              <w:spacing w:after="0"/>
              <w:rPr>
                <w:sz w:val="1"/>
                <w:szCs w:val="1"/>
                <w:color w:val="auto"/>
              </w:rPr>
            </w:pPr>
          </w:p>
        </w:tc>
      </w:tr>
      <w:tr>
        <w:trPr>
          <w:trHeight w:val="127"/>
        </w:trPr>
        <w:tc>
          <w:tcPr>
            <w:tcW w:w="196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9"/>
                <w:szCs w:val="9"/>
                <w:b w:val="1"/>
                <w:bCs w:val="1"/>
                <w:color w:val="auto"/>
              </w:rPr>
              <w:t>Yield</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9"/>
                <w:szCs w:val="9"/>
                <w:b w:val="1"/>
                <w:bCs w:val="1"/>
                <w:color w:val="auto"/>
              </w:rPr>
              <w:t>Yield</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9"/>
                <w:szCs w:val="9"/>
                <w:b w:val="1"/>
                <w:bCs w:val="1"/>
                <w:color w:val="auto"/>
              </w:rPr>
              <w:t>Yield</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Yield</w:t>
            </w:r>
          </w:p>
        </w:tc>
        <w:tc>
          <w:tcPr>
            <w:tcW w:w="0" w:type="dxa"/>
            <w:vAlign w:val="bottom"/>
          </w:tcPr>
          <w:p>
            <w:pPr>
              <w:spacing w:after="0"/>
              <w:rPr>
                <w:sz w:val="1"/>
                <w:szCs w:val="1"/>
                <w:color w:val="auto"/>
              </w:rPr>
            </w:pPr>
          </w:p>
        </w:tc>
      </w:tr>
      <w:tr>
        <w:trPr>
          <w:trHeight w:val="123"/>
        </w:trPr>
        <w:tc>
          <w:tcPr>
            <w:tcW w:w="2060" w:type="dxa"/>
            <w:vAlign w:val="bottom"/>
            <w:gridSpan w:val="2"/>
          </w:tcPr>
          <w:p>
            <w:pPr>
              <w:ind w:left="20"/>
              <w:spacing w:after="0"/>
              <w:rPr>
                <w:sz w:val="20"/>
                <w:szCs w:val="20"/>
                <w:color w:val="auto"/>
              </w:rPr>
            </w:pPr>
            <w:r>
              <w:rPr>
                <w:rFonts w:ascii="Arial" w:cs="Arial" w:eastAsia="Arial" w:hAnsi="Arial"/>
                <w:sz w:val="9"/>
                <w:szCs w:val="9"/>
                <w:color w:val="auto"/>
              </w:rPr>
              <w:t>(dollars in thousands)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Securities Available for Sale:</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60" w:type="dxa"/>
            <w:vAlign w:val="bottom"/>
            <w:gridSpan w:val="2"/>
          </w:tcPr>
          <w:p>
            <w:pPr>
              <w:ind w:left="20"/>
              <w:spacing w:after="0"/>
              <w:rPr>
                <w:sz w:val="20"/>
                <w:szCs w:val="20"/>
                <w:color w:val="auto"/>
              </w:rPr>
            </w:pPr>
            <w:r>
              <w:rPr>
                <w:rFonts w:ascii="Arial" w:cs="Arial" w:eastAsia="Arial" w:hAnsi="Arial"/>
                <w:sz w:val="10"/>
                <w:szCs w:val="10"/>
                <w:color w:val="auto"/>
              </w:rPr>
              <w:t>U.S Treasuries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58,602</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0.56 %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0"/>
              <w:spacing w:after="0"/>
              <w:rPr>
                <w:sz w:val="20"/>
                <w:szCs w:val="20"/>
                <w:color w:val="auto"/>
              </w:rPr>
            </w:pPr>
            <w:r>
              <w:rPr>
                <w:rFonts w:ascii="Arial" w:cs="Arial" w:eastAsia="Arial" w:hAnsi="Arial"/>
                <w:sz w:val="10"/>
                <w:szCs w:val="10"/>
                <w:color w:val="auto"/>
              </w:rPr>
              <w:t>73,850</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1.27 %</w:t>
            </w:r>
          </w:p>
        </w:tc>
        <w:tc>
          <w:tcPr>
            <w:tcW w:w="120" w:type="dxa"/>
            <w:vAlign w:val="bottom"/>
          </w:tcPr>
          <w:p>
            <w:pPr>
              <w:spacing w:after="0"/>
              <w:rPr>
                <w:sz w:val="12"/>
                <w:szCs w:val="12"/>
                <w:color w:val="auto"/>
              </w:rPr>
            </w:pPr>
          </w:p>
        </w:tc>
        <w:tc>
          <w:tcPr>
            <w:tcW w:w="1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80" w:type="dxa"/>
            <w:vAlign w:val="bottom"/>
            <w:gridSpan w:val="2"/>
          </w:tcPr>
          <w:p>
            <w:pPr>
              <w:ind w:left="720"/>
              <w:spacing w:after="0"/>
              <w:rPr>
                <w:sz w:val="20"/>
                <w:szCs w:val="20"/>
                <w:color w:val="auto"/>
              </w:rPr>
            </w:pPr>
            <w:r>
              <w:rPr>
                <w:rFonts w:ascii="Arial" w:cs="Arial" w:eastAsia="Arial" w:hAnsi="Arial"/>
                <w:sz w:val="10"/>
                <w:szCs w:val="10"/>
                <w:color w:val="auto"/>
              </w:rPr>
              <w:t>— %</w:t>
            </w:r>
          </w:p>
        </w:tc>
        <w:tc>
          <w:tcPr>
            <w:tcW w:w="1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132,452</w:t>
            </w:r>
          </w:p>
        </w:tc>
        <w:tc>
          <w:tcPr>
            <w:tcW w:w="100" w:type="dxa"/>
            <w:vAlign w:val="bottom"/>
          </w:tcPr>
          <w:p>
            <w:pPr>
              <w:spacing w:after="0"/>
              <w:rPr>
                <w:sz w:val="12"/>
                <w:szCs w:val="12"/>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131,001</w:t>
            </w:r>
          </w:p>
        </w:tc>
        <w:tc>
          <w:tcPr>
            <w:tcW w:w="1100" w:type="dxa"/>
            <w:vAlign w:val="bottom"/>
            <w:gridSpan w:val="2"/>
          </w:tcPr>
          <w:p>
            <w:pPr>
              <w:ind w:left="760"/>
              <w:spacing w:after="0"/>
              <w:rPr>
                <w:sz w:val="20"/>
                <w:szCs w:val="20"/>
                <w:color w:val="auto"/>
              </w:rPr>
            </w:pPr>
            <w:r>
              <w:rPr>
                <w:rFonts w:ascii="Arial" w:cs="Arial" w:eastAsia="Arial" w:hAnsi="Arial"/>
                <w:sz w:val="10"/>
                <w:szCs w:val="10"/>
                <w:color w:val="auto"/>
              </w:rPr>
              <w:t>0.96 %</w:t>
            </w:r>
          </w:p>
        </w:tc>
        <w:tc>
          <w:tcPr>
            <w:tcW w:w="0" w:type="dxa"/>
            <w:vAlign w:val="bottom"/>
          </w:tcPr>
          <w:p>
            <w:pPr>
              <w:spacing w:after="0"/>
              <w:rPr>
                <w:sz w:val="1"/>
                <w:szCs w:val="1"/>
                <w:color w:val="auto"/>
              </w:rPr>
            </w:pPr>
          </w:p>
        </w:tc>
      </w:tr>
      <w:tr>
        <w:trPr>
          <w:trHeight w:val="153"/>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Asset-backed securities</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10,093</w:t>
            </w:r>
          </w:p>
        </w:tc>
        <w:tc>
          <w:tcPr>
            <w:tcW w:w="1080" w:type="dxa"/>
            <w:vAlign w:val="bottom"/>
            <w:gridSpan w:val="2"/>
            <w:shd w:val="clear" w:color="auto" w:fill="CCEEFF"/>
          </w:tcPr>
          <w:p>
            <w:pPr>
              <w:jc w:val="right"/>
              <w:ind w:right="92"/>
              <w:spacing w:after="0"/>
              <w:rPr>
                <w:sz w:val="20"/>
                <w:szCs w:val="20"/>
                <w:color w:val="auto"/>
              </w:rPr>
            </w:pPr>
            <w:r>
              <w:rPr>
                <w:rFonts w:ascii="Arial" w:cs="Arial" w:eastAsia="Arial" w:hAnsi="Arial"/>
                <w:sz w:val="10"/>
                <w:szCs w:val="10"/>
                <w:color w:val="auto"/>
              </w:rPr>
              <w:t>0.98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10,093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10,140</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0"/>
                <w:szCs w:val="10"/>
                <w:color w:val="auto"/>
              </w:rPr>
              <w:t>0.98</w:t>
            </w:r>
          </w:p>
        </w:tc>
        <w:tc>
          <w:tcPr>
            <w:tcW w:w="0" w:type="dxa"/>
            <w:vAlign w:val="bottom"/>
          </w:tcPr>
          <w:p>
            <w:pPr>
              <w:spacing w:after="0"/>
              <w:rPr>
                <w:sz w:val="1"/>
                <w:szCs w:val="1"/>
                <w:color w:val="auto"/>
              </w:rPr>
            </w:pPr>
          </w:p>
        </w:tc>
      </w:tr>
      <w:tr>
        <w:trPr>
          <w:trHeight w:val="138"/>
        </w:trPr>
        <w:tc>
          <w:tcPr>
            <w:tcW w:w="2060" w:type="dxa"/>
            <w:vAlign w:val="bottom"/>
            <w:gridSpan w:val="2"/>
          </w:tcPr>
          <w:p>
            <w:pPr>
              <w:ind w:left="20"/>
              <w:spacing w:after="0"/>
              <w:rPr>
                <w:sz w:val="20"/>
                <w:szCs w:val="20"/>
                <w:color w:val="auto"/>
              </w:rPr>
            </w:pPr>
            <w:r>
              <w:rPr>
                <w:rFonts w:ascii="Arial" w:cs="Arial" w:eastAsia="Arial" w:hAnsi="Arial"/>
                <w:sz w:val="10"/>
                <w:szCs w:val="10"/>
                <w:color w:val="auto"/>
              </w:rPr>
              <w:t>Municipal</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10,825</w:t>
            </w:r>
          </w:p>
        </w:tc>
        <w:tc>
          <w:tcPr>
            <w:tcW w:w="1080" w:type="dxa"/>
            <w:vAlign w:val="bottom"/>
            <w:gridSpan w:val="2"/>
          </w:tcPr>
          <w:p>
            <w:pPr>
              <w:jc w:val="right"/>
              <w:ind w:right="92"/>
              <w:spacing w:after="0"/>
              <w:rPr>
                <w:sz w:val="20"/>
                <w:szCs w:val="20"/>
                <w:color w:val="auto"/>
              </w:rPr>
            </w:pPr>
            <w:r>
              <w:rPr>
                <w:rFonts w:ascii="Arial" w:cs="Arial" w:eastAsia="Arial" w:hAnsi="Arial"/>
                <w:sz w:val="10"/>
                <w:szCs w:val="10"/>
                <w:color w:val="auto"/>
              </w:rPr>
              <w:t>1.94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10,825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10,474</w:t>
            </w:r>
          </w:p>
        </w:tc>
        <w:tc>
          <w:tcPr>
            <w:tcW w:w="1100" w:type="dxa"/>
            <w:vAlign w:val="bottom"/>
            <w:gridSpan w:val="2"/>
          </w:tcPr>
          <w:p>
            <w:pPr>
              <w:ind w:left="760"/>
              <w:spacing w:after="0"/>
              <w:rPr>
                <w:sz w:val="20"/>
                <w:szCs w:val="20"/>
                <w:color w:val="auto"/>
              </w:rPr>
            </w:pPr>
            <w:r>
              <w:rPr>
                <w:rFonts w:ascii="Arial" w:cs="Arial" w:eastAsia="Arial" w:hAnsi="Arial"/>
                <w:sz w:val="10"/>
                <w:szCs w:val="10"/>
                <w:color w:val="auto"/>
              </w:rPr>
              <w:t>1.94</w:t>
            </w:r>
          </w:p>
        </w:tc>
        <w:tc>
          <w:tcPr>
            <w:tcW w:w="0" w:type="dxa"/>
            <w:vAlign w:val="bottom"/>
          </w:tcPr>
          <w:p>
            <w:pPr>
              <w:spacing w:after="0"/>
              <w:rPr>
                <w:sz w:val="1"/>
                <w:szCs w:val="1"/>
                <w:color w:val="auto"/>
              </w:rPr>
            </w:pPr>
          </w:p>
        </w:tc>
      </w:tr>
      <w:tr>
        <w:trPr>
          <w:trHeight w:val="153"/>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Corporate bonds</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5,000</w:t>
            </w:r>
          </w:p>
        </w:tc>
        <w:tc>
          <w:tcPr>
            <w:tcW w:w="1080" w:type="dxa"/>
            <w:vAlign w:val="bottom"/>
            <w:gridSpan w:val="2"/>
            <w:shd w:val="clear" w:color="auto" w:fill="CCEEFF"/>
          </w:tcPr>
          <w:p>
            <w:pPr>
              <w:jc w:val="right"/>
              <w:ind w:right="92"/>
              <w:spacing w:after="0"/>
              <w:rPr>
                <w:sz w:val="20"/>
                <w:szCs w:val="20"/>
                <w:color w:val="auto"/>
              </w:rPr>
            </w:pPr>
            <w:r>
              <w:rPr>
                <w:rFonts w:ascii="Arial" w:cs="Arial" w:eastAsia="Arial" w:hAnsi="Arial"/>
                <w:sz w:val="10"/>
                <w:szCs w:val="10"/>
                <w:color w:val="auto"/>
              </w:rPr>
              <w:t>4.31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4,934</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0"/>
                <w:szCs w:val="10"/>
                <w:color w:val="auto"/>
              </w:rPr>
              <w:t>4.31</w:t>
            </w:r>
          </w:p>
        </w:tc>
        <w:tc>
          <w:tcPr>
            <w:tcW w:w="0" w:type="dxa"/>
            <w:vAlign w:val="bottom"/>
          </w:tcPr>
          <w:p>
            <w:pPr>
              <w:spacing w:after="0"/>
              <w:rPr>
                <w:sz w:val="1"/>
                <w:szCs w:val="1"/>
                <w:color w:val="auto"/>
              </w:rPr>
            </w:pPr>
          </w:p>
        </w:tc>
      </w:tr>
      <w:tr>
        <w:trPr>
          <w:trHeight w:val="138"/>
        </w:trPr>
        <w:tc>
          <w:tcPr>
            <w:tcW w:w="20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Mortgage-backed securities</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10,172</w:t>
            </w:r>
          </w:p>
        </w:tc>
        <w:tc>
          <w:tcPr>
            <w:tcW w:w="1080" w:type="dxa"/>
            <w:vAlign w:val="bottom"/>
            <w:tcBorders>
              <w:bottom w:val="single" w:sz="8" w:color="CCEEFF"/>
            </w:tcBorders>
            <w:gridSpan w:val="2"/>
          </w:tcPr>
          <w:p>
            <w:pPr>
              <w:jc w:val="right"/>
              <w:ind w:right="92"/>
              <w:spacing w:after="0"/>
              <w:rPr>
                <w:sz w:val="20"/>
                <w:szCs w:val="20"/>
                <w:color w:val="auto"/>
              </w:rPr>
            </w:pPr>
            <w:r>
              <w:rPr>
                <w:rFonts w:ascii="Arial" w:cs="Arial" w:eastAsia="Arial" w:hAnsi="Arial"/>
                <w:sz w:val="10"/>
                <w:szCs w:val="10"/>
                <w:color w:val="auto"/>
              </w:rPr>
              <w:t>2.34</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17,417</w:t>
            </w:r>
          </w:p>
        </w:tc>
        <w:tc>
          <w:tcPr>
            <w:tcW w:w="1080" w:type="dxa"/>
            <w:vAlign w:val="bottom"/>
            <w:tcBorders>
              <w:bottom w:val="single" w:sz="8" w:color="CCEEFF"/>
            </w:tcBorders>
            <w:gridSpan w:val="2"/>
          </w:tcPr>
          <w:p>
            <w:pPr>
              <w:jc w:val="right"/>
              <w:ind w:right="92"/>
              <w:spacing w:after="0"/>
              <w:rPr>
                <w:sz w:val="20"/>
                <w:szCs w:val="20"/>
                <w:color w:val="auto"/>
              </w:rPr>
            </w:pPr>
            <w:r>
              <w:rPr>
                <w:rFonts w:ascii="Arial" w:cs="Arial" w:eastAsia="Arial" w:hAnsi="Arial"/>
                <w:sz w:val="10"/>
                <w:szCs w:val="10"/>
                <w:color w:val="auto"/>
              </w:rPr>
              <w:t>0.57</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27,589</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27,906</w:t>
            </w:r>
          </w:p>
        </w:tc>
        <w:tc>
          <w:tcPr>
            <w:tcW w:w="1100" w:type="dxa"/>
            <w:vAlign w:val="bottom"/>
            <w:tcBorders>
              <w:bottom w:val="single" w:sz="8" w:color="CCEEFF"/>
            </w:tcBorders>
            <w:gridSpan w:val="2"/>
          </w:tcPr>
          <w:p>
            <w:pPr>
              <w:ind w:left="760"/>
              <w:spacing w:after="0"/>
              <w:rPr>
                <w:sz w:val="20"/>
                <w:szCs w:val="20"/>
                <w:color w:val="auto"/>
              </w:rPr>
            </w:pPr>
            <w:r>
              <w:rPr>
                <w:rFonts w:ascii="Arial" w:cs="Arial" w:eastAsia="Arial" w:hAnsi="Arial"/>
                <w:sz w:val="10"/>
                <w:szCs w:val="10"/>
                <w:color w:val="auto"/>
              </w:rPr>
              <w:t>1.23</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58,602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0.56 %</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89,022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1.56 %</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38,335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1.06 %</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185,959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184,455</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0"/>
                <w:szCs w:val="10"/>
                <w:color w:val="auto"/>
              </w:rPr>
              <w:t>1.15 %</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Portfolio Loans</w:t>
      </w:r>
    </w:p>
    <w:p>
      <w:pPr>
        <w:spacing w:after="0" w:line="202"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Our primary source of income is derived from interest earned on loans. Our loan portfolio consists of loans secured by real estate, commercial business loans and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and investment commercial real estate loans, residential construction loans and commercial business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Outside of credit cards, our lending activities are principally directed to our market area consisting of the Washington, D.C. and Baltimore metropolitan areas.</w:t>
      </w:r>
    </w:p>
    <w:p>
      <w:pPr>
        <w:spacing w:after="0" w:line="159"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5"/>
          <w:szCs w:val="15"/>
          <w:i w:val="1"/>
          <w:iCs w:val="1"/>
          <w:color w:val="auto"/>
        </w:rPr>
        <w:t>Residential Real Estate Loans</w:t>
      </w:r>
      <w:r>
        <w:rPr>
          <w:rFonts w:ascii="Arial" w:cs="Arial" w:eastAsia="Arial" w:hAnsi="Arial"/>
          <w:sz w:val="15"/>
          <w:szCs w:val="15"/>
          <w:color w:val="auto"/>
        </w:rPr>
        <w:t>. We offer one-to-four family mortgage loans primarily on owner-occupied primary residences and, to a lesser extent, investor owned</w:t>
      </w:r>
      <w:r>
        <w:rPr>
          <w:rFonts w:ascii="Arial" w:cs="Arial" w:eastAsia="Arial" w:hAnsi="Arial"/>
          <w:sz w:val="15"/>
          <w:szCs w:val="15"/>
          <w:i w:val="1"/>
          <w:iCs w:val="1"/>
          <w:color w:val="auto"/>
        </w:rPr>
        <w:t xml:space="preserve"> </w:t>
      </w:r>
      <w:r>
        <w:rPr>
          <w:rFonts w:ascii="Arial" w:cs="Arial" w:eastAsia="Arial" w:hAnsi="Arial"/>
          <w:sz w:val="15"/>
          <w:szCs w:val="15"/>
          <w:color w:val="auto"/>
        </w:rPr>
        <w:t>residences. Residential loans are originated through our commercial sales teams and our Capital Bank Home Loan division. Our residential loans also include home equity lines of credit. Our owner-occupied residential real estate loans usually have fixed rates for five to seven years and adjust on an annual basis after the initial term based on a typical maturity of 30 years. Our investor residential real estate loans are generally based on 25-year terms with a balloon payment due after five years. In general, the required minimum debt service coverage ratio is 1.15. Residential real estate loans have represented a growing portion of our loan portfolio.</w:t>
      </w:r>
    </w:p>
    <w:p>
      <w:pPr>
        <w:spacing w:after="0" w:line="154" w:lineRule="exact"/>
        <w:rPr>
          <w:sz w:val="20"/>
          <w:szCs w:val="20"/>
          <w:color w:val="auto"/>
        </w:rPr>
      </w:pPr>
    </w:p>
    <w:p>
      <w:pPr>
        <w:jc w:val="both"/>
        <w:ind w:firstLine="268"/>
        <w:spacing w:after="0" w:line="254" w:lineRule="auto"/>
        <w:rPr>
          <w:sz w:val="20"/>
          <w:szCs w:val="20"/>
          <w:color w:val="auto"/>
        </w:rPr>
      </w:pPr>
      <w:r>
        <w:rPr>
          <w:rFonts w:ascii="Arial" w:cs="Arial" w:eastAsia="Arial" w:hAnsi="Arial"/>
          <w:sz w:val="15"/>
          <w:szCs w:val="15"/>
          <w:i w:val="1"/>
          <w:iCs w:val="1"/>
          <w:color w:val="auto"/>
        </w:rPr>
        <w:t>Commercial Real Estate Loans</w:t>
      </w:r>
      <w:r>
        <w:rPr>
          <w:rFonts w:ascii="Arial" w:cs="Arial" w:eastAsia="Arial" w:hAnsi="Arial"/>
          <w:sz w:val="15"/>
          <w:szCs w:val="15"/>
          <w:color w:val="auto"/>
        </w:rPr>
        <w:t>. The Company originates both owner-occupied and non-owner-occupied commercial real estate loans. These loans may be adversely</w:t>
      </w:r>
      <w:r>
        <w:rPr>
          <w:rFonts w:ascii="Arial" w:cs="Arial" w:eastAsia="Arial" w:hAnsi="Arial"/>
          <w:sz w:val="15"/>
          <w:szCs w:val="15"/>
          <w:i w:val="1"/>
          <w:iCs w:val="1"/>
          <w:color w:val="auto"/>
        </w:rPr>
        <w:t xml:space="preserve"> </w:t>
      </w:r>
      <w:r>
        <w:rPr>
          <w:rFonts w:ascii="Arial" w:cs="Arial" w:eastAsia="Arial" w:hAnsi="Arial"/>
          <w:sz w:val="15"/>
          <w:szCs w:val="15"/>
          <w:color w:val="auto"/>
        </w:rPr>
        <w:t>affected by conditions in the real estate markets or in the general economy. Commercial loans that are secured by owner-occupied commercial real estate and primarily collateralized by operating cash flows are also included in this category of loans. Commercial real estate loan terms are generally extended for 10 years or less and amortize generally over 25 years or less. The interest rates on our commercial real estate loans generally have an initial fixed rate terms that adjust typically at 5 years. Origination fees are routinely charged for our services. The Company generally requires personal guarantees from the principal owners of the business, supported by a review of the principal owners’ personal financial statements and global debt service obligations. The properties securing the portfolio are diverse in terms of type. This diversity helps reduce the exposure to adverse economic events that affect any single industry.</w:t>
      </w:r>
    </w:p>
    <w:p>
      <w:pPr>
        <w:spacing w:after="0" w:line="155" w:lineRule="exact"/>
        <w:rPr>
          <w:sz w:val="20"/>
          <w:szCs w:val="20"/>
          <w:color w:val="auto"/>
        </w:rPr>
      </w:pPr>
    </w:p>
    <w:p>
      <w:pPr>
        <w:jc w:val="both"/>
        <w:ind w:firstLine="268"/>
        <w:spacing w:after="0" w:line="264" w:lineRule="auto"/>
        <w:rPr>
          <w:sz w:val="20"/>
          <w:szCs w:val="20"/>
          <w:color w:val="auto"/>
        </w:rPr>
      </w:pPr>
      <w:r>
        <w:rPr>
          <w:rFonts w:ascii="Arial" w:cs="Arial" w:eastAsia="Arial" w:hAnsi="Arial"/>
          <w:sz w:val="15"/>
          <w:szCs w:val="15"/>
          <w:i w:val="1"/>
          <w:iCs w:val="1"/>
          <w:color w:val="auto"/>
        </w:rPr>
        <w:t>Construction Loans</w:t>
      </w:r>
      <w:r>
        <w:rPr>
          <w:rFonts w:ascii="Arial" w:cs="Arial" w:eastAsia="Arial" w:hAnsi="Arial"/>
          <w:sz w:val="15"/>
          <w:szCs w:val="15"/>
          <w:color w:val="auto"/>
        </w:rPr>
        <w:t>. Our construction loans are offered within our Washington, D.C. and Baltimore, Maryland metropolitan operating areas to builders primarily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construction of single-family homes, condominium and townhouse conversions or renovations and, to a lesser extent, to individuals. Our construction loans typically have terms of 12 to 18 months with the goal of transitioning the borrowers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414" w:right="319" w:bottom="1440" w:gutter="0" w:footer="0" w:header="0"/>
        </w:sectPr>
      </w:pPr>
    </w:p>
    <w:bookmarkStart w:id="40" w:name="page41"/>
    <w:bookmarkEnd w:id="40"/>
    <w:p>
      <w:pPr>
        <w:jc w:val="both"/>
        <w:spacing w:after="0" w:line="251" w:lineRule="auto"/>
        <w:rPr>
          <w:sz w:val="20"/>
          <w:szCs w:val="20"/>
          <w:color w:val="auto"/>
        </w:rPr>
      </w:pPr>
      <w:r>
        <w:rPr>
          <w:rFonts w:ascii="Arial" w:cs="Arial" w:eastAsia="Arial" w:hAnsi="Arial"/>
          <w:sz w:val="15"/>
          <w:szCs w:val="15"/>
          <w:color w:val="auto"/>
        </w:rPr>
        <w:t>permanent financing or re-underwriting and selling into the secondary market through Capital Bank Home Loan. According to our underwriting standards, the ratio of loan principal to collateral value, as established by an independent appraisal, should not exceed 75% for investor-owned and 80% for owner-occupied properties. We conduct semi-annual stress testing of our construction loan portfolio and closely monitor underlying real estate conditions as well as our borrower’s trends of sales valuations as compared to underwriting valuations as part of our ongoing risk management efforts. Borrowers’ progress is monitored during the course of construction buildout, including for adherence to construction milestones and completion timelines.</w:t>
      </w:r>
    </w:p>
    <w:p>
      <w:pPr>
        <w:spacing w:after="0" w:line="156"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5"/>
          <w:szCs w:val="15"/>
          <w:i w:val="1"/>
          <w:iCs w:val="1"/>
          <w:color w:val="auto"/>
        </w:rPr>
        <w:t>Commercial Business Loans</w:t>
      </w:r>
      <w:r>
        <w:rPr>
          <w:rFonts w:ascii="Arial" w:cs="Arial" w:eastAsia="Arial" w:hAnsi="Arial"/>
          <w:sz w:val="15"/>
          <w:szCs w:val="15"/>
          <w:color w:val="auto"/>
        </w:rPr>
        <w:t>. In addition to our other loan products, the Company provides general commercial loans, including commercial lines of credit, working</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loans, term loans, equipment financing, letters of credit and other loan products, primarily in our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and we generally obtain a personal guaranty from the borrower or other principal.</w:t>
      </w:r>
    </w:p>
    <w:p>
      <w:pPr>
        <w:spacing w:after="0" w:line="154" w:lineRule="exact"/>
        <w:rPr>
          <w:sz w:val="20"/>
          <w:szCs w:val="20"/>
          <w:color w:val="auto"/>
        </w:rPr>
      </w:pPr>
    </w:p>
    <w:p>
      <w:pPr>
        <w:jc w:val="both"/>
        <w:ind w:firstLine="268"/>
        <w:spacing w:after="0"/>
        <w:rPr>
          <w:sz w:val="20"/>
          <w:szCs w:val="20"/>
          <w:color w:val="auto"/>
        </w:rPr>
      </w:pPr>
      <w:r>
        <w:rPr>
          <w:rFonts w:ascii="Arial" w:cs="Arial" w:eastAsia="Arial" w:hAnsi="Arial"/>
          <w:sz w:val="15"/>
          <w:szCs w:val="15"/>
          <w:i w:val="1"/>
          <w:iCs w:val="1"/>
          <w:color w:val="auto"/>
        </w:rPr>
        <w:t>Credit Cards</w:t>
      </w:r>
      <w:r>
        <w:rPr>
          <w:rFonts w:ascii="Arial" w:cs="Arial" w:eastAsia="Arial" w:hAnsi="Arial"/>
          <w:sz w:val="15"/>
          <w:szCs w:val="15"/>
          <w:color w:val="auto"/>
        </w:rPr>
        <w:t>. Through our OpenSky</w:t>
      </w:r>
      <w:r>
        <w:rPr>
          <w:rFonts w:ascii="Arial" w:cs="Arial" w:eastAsia="Arial" w:hAnsi="Arial"/>
          <w:sz w:val="19"/>
          <w:szCs w:val="19"/>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credit card division, the Company provides credit cards on a nationwide basis to under-banked populations and those looking to</w:t>
      </w:r>
      <w:r>
        <w:rPr>
          <w:rFonts w:ascii="Arial" w:cs="Arial" w:eastAsia="Arial" w:hAnsi="Arial"/>
          <w:sz w:val="15"/>
          <w:szCs w:val="15"/>
          <w:i w:val="1"/>
          <w:iCs w:val="1"/>
          <w:color w:val="auto"/>
        </w:rPr>
        <w:t xml:space="preserve"> </w:t>
      </w:r>
      <w:r>
        <w:rPr>
          <w:rFonts w:ascii="Arial" w:cs="Arial" w:eastAsia="Arial" w:hAnsi="Arial"/>
          <w:sz w:val="15"/>
          <w:szCs w:val="15"/>
          <w:color w:val="auto"/>
        </w:rPr>
        <w:t>rebuild their credit scores through a fully digital and mobile platform. Substantially all of the lines of credit are secured by a noninterest bearing demand account at the Bank in an amount equal to the full credit limit of the credit card. In addition, using our proprietary scoring model, which considers credit score and repayment history (typically a minimum of six months of on-time repayments, but ultimately determined on a case-by-case basis), the Bank offers certain customers an unsecured line in excess of their secured line of credit.</w:t>
      </w:r>
    </w:p>
    <w:p>
      <w:pPr>
        <w:spacing w:after="0" w:line="166" w:lineRule="exact"/>
        <w:rPr>
          <w:sz w:val="20"/>
          <w:szCs w:val="20"/>
          <w:color w:val="auto"/>
        </w:rPr>
      </w:pPr>
    </w:p>
    <w:p>
      <w:pPr>
        <w:jc w:val="both"/>
        <w:ind w:firstLine="268"/>
        <w:spacing w:after="0" w:line="280" w:lineRule="auto"/>
        <w:rPr>
          <w:sz w:val="20"/>
          <w:szCs w:val="20"/>
          <w:color w:val="auto"/>
        </w:rPr>
      </w:pPr>
      <w:r>
        <w:rPr>
          <w:rFonts w:ascii="Arial" w:cs="Arial" w:eastAsia="Arial" w:hAnsi="Arial"/>
          <w:sz w:val="15"/>
          <w:szCs w:val="15"/>
          <w:i w:val="1"/>
          <w:iCs w:val="1"/>
          <w:color w:val="auto"/>
        </w:rPr>
        <w:t>Other Consumer Loans</w:t>
      </w:r>
      <w:r>
        <w:rPr>
          <w:rFonts w:ascii="Arial" w:cs="Arial" w:eastAsia="Arial" w:hAnsi="Arial"/>
          <w:sz w:val="15"/>
          <w:szCs w:val="15"/>
          <w:color w:val="auto"/>
        </w:rPr>
        <w:t>. To a very limited extent and typically as an accommodation to existing customers, we offer personal consumer loans such as term loans, car</w:t>
      </w:r>
      <w:r>
        <w:rPr>
          <w:rFonts w:ascii="Arial" w:cs="Arial" w:eastAsia="Arial" w:hAnsi="Arial"/>
          <w:sz w:val="15"/>
          <w:szCs w:val="15"/>
          <w:i w:val="1"/>
          <w:iCs w:val="1"/>
          <w:color w:val="auto"/>
        </w:rPr>
        <w:t xml:space="preserve"> </w:t>
      </w:r>
      <w:r>
        <w:rPr>
          <w:rFonts w:ascii="Arial" w:cs="Arial" w:eastAsia="Arial" w:hAnsi="Arial"/>
          <w:sz w:val="15"/>
          <w:szCs w:val="15"/>
          <w:color w:val="auto"/>
        </w:rPr>
        <w:t>loans or boat loans.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41" w:name="page42"/>
    <w:bookmarkEnd w:id="41"/>
    <w:p>
      <w:pPr>
        <w:jc w:val="both"/>
        <w:ind w:right="80" w:firstLine="268"/>
        <w:spacing w:after="0" w:line="253" w:lineRule="auto"/>
        <w:rPr>
          <w:sz w:val="20"/>
          <w:szCs w:val="20"/>
          <w:color w:val="auto"/>
        </w:rPr>
      </w:pPr>
      <w:r>
        <w:rPr>
          <w:rFonts w:ascii="Arial" w:cs="Arial" w:eastAsia="Arial" w:hAnsi="Arial"/>
          <w:sz w:val="15"/>
          <w:szCs w:val="15"/>
          <w:color w:val="auto"/>
        </w:rPr>
        <w:t>The repayment of loans is a source of additional liquidity for us. The following table details contractual maturities of our portfolio loans, along with associated weighted average yields and an analysis of loans maturing after one year categorized by rate characteristic. Loans with adjustable interest rates are shown as maturing in the period during which the contract is due. The table does not reflect the effects of possible prepayments.</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2"/>
                <w:szCs w:val="12"/>
                <w:b w:val="1"/>
                <w:bCs w:val="1"/>
                <w:color w:val="auto"/>
              </w:rPr>
              <w:t>As of December 31, 2021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2"/>
          </w:tcPr>
          <w:p>
            <w:pPr>
              <w:ind w:left="540"/>
              <w:spacing w:after="0" w:line="119" w:lineRule="exact"/>
              <w:rPr>
                <w:sz w:val="20"/>
                <w:szCs w:val="20"/>
                <w:color w:val="auto"/>
              </w:rPr>
            </w:pPr>
            <w:r>
              <w:rPr>
                <w:rFonts w:ascii="Arial" w:cs="Arial" w:eastAsia="Arial" w:hAnsi="Arial"/>
                <w:sz w:val="12"/>
                <w:szCs w:val="12"/>
                <w:b w:val="1"/>
                <w:bCs w:val="1"/>
                <w:color w:val="auto"/>
                <w:w w:val="94"/>
              </w:rPr>
              <w:t>One Year</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tcPr>
          <w:p>
            <w:pPr>
              <w:ind w:left="600"/>
              <w:spacing w:after="0" w:line="119" w:lineRule="exact"/>
              <w:rPr>
                <w:sz w:val="20"/>
                <w:szCs w:val="20"/>
                <w:color w:val="auto"/>
              </w:rPr>
            </w:pPr>
            <w:r>
              <w:rPr>
                <w:rFonts w:ascii="Arial" w:cs="Arial" w:eastAsia="Arial" w:hAnsi="Arial"/>
                <w:sz w:val="12"/>
                <w:szCs w:val="12"/>
                <w:b w:val="1"/>
                <w:bCs w:val="1"/>
                <w:color w:val="auto"/>
              </w:rPr>
              <w:t>One to</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40" w:type="dxa"/>
            <w:vAlign w:val="bottom"/>
            <w:gridSpan w:val="2"/>
          </w:tcPr>
          <w:p>
            <w:pPr>
              <w:jc w:val="right"/>
              <w:ind w:right="620"/>
              <w:spacing w:after="0" w:line="119" w:lineRule="exact"/>
              <w:rPr>
                <w:sz w:val="20"/>
                <w:szCs w:val="20"/>
                <w:color w:val="auto"/>
              </w:rPr>
            </w:pPr>
            <w:r>
              <w:rPr>
                <w:rFonts w:ascii="Arial" w:cs="Arial" w:eastAsia="Arial" w:hAnsi="Arial"/>
                <w:sz w:val="12"/>
                <w:szCs w:val="12"/>
                <w:b w:val="1"/>
                <w:bCs w:val="1"/>
                <w:color w:val="auto"/>
              </w:rPr>
              <w:t>Over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After Fifteen Years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1100" w:type="dxa"/>
            <w:vAlign w:val="bottom"/>
          </w:tcPr>
          <w:p>
            <w:pPr>
              <w:ind w:left="280"/>
              <w:spacing w:after="0"/>
              <w:rPr>
                <w:sz w:val="20"/>
                <w:szCs w:val="20"/>
                <w:color w:val="auto"/>
              </w:rPr>
            </w:pPr>
            <w:r>
              <w:rPr>
                <w:rFonts w:ascii="Arial" w:cs="Arial" w:eastAsia="Arial" w:hAnsi="Arial"/>
                <w:sz w:val="9"/>
                <w:szCs w:val="9"/>
                <w:i w:val="1"/>
                <w:iCs w:val="1"/>
                <w:color w:val="auto"/>
              </w:rPr>
              <w:t>(in thousands)</w:t>
            </w: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460"/>
              <w:spacing w:after="0"/>
              <w:rPr>
                <w:sz w:val="20"/>
                <w:szCs w:val="20"/>
                <w:color w:val="auto"/>
              </w:rPr>
            </w:pPr>
            <w:r>
              <w:rPr>
                <w:rFonts w:ascii="Arial" w:cs="Arial" w:eastAsia="Arial" w:hAnsi="Arial"/>
                <w:sz w:val="12"/>
                <w:szCs w:val="12"/>
                <w:b w:val="1"/>
                <w:bCs w:val="1"/>
                <w:color w:val="auto"/>
              </w:rPr>
              <w:t>or Less</w:t>
            </w: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rPr>
              <w:t>Five Years</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Five Years to Fifteen Years</w:t>
            </w: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Yield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Yield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Yield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b w:val="1"/>
                <w:bCs w:val="1"/>
                <w:color w:val="auto"/>
              </w:rPr>
              <w:t>Amount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Yield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Real estate:</w:t>
            </w: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ind w:left="420"/>
              <w:spacing w:after="0"/>
              <w:rPr>
                <w:sz w:val="20"/>
                <w:szCs w:val="20"/>
                <w:color w:val="auto"/>
              </w:rPr>
            </w:pPr>
            <w:r>
              <w:rPr>
                <w:rFonts w:ascii="Arial" w:cs="Arial" w:eastAsia="Arial" w:hAnsi="Arial"/>
                <w:sz w:val="12"/>
                <w:szCs w:val="12"/>
                <w:color w:val="auto"/>
              </w:rPr>
              <w:t>Residential</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74,282</w:t>
            </w:r>
          </w:p>
        </w:tc>
        <w:tc>
          <w:tcPr>
            <w:tcW w:w="360" w:type="dxa"/>
            <w:vAlign w:val="bottom"/>
          </w:tcPr>
          <w:p>
            <w:pPr>
              <w:spacing w:after="0"/>
              <w:rPr>
                <w:sz w:val="13"/>
                <w:szCs w:val="13"/>
                <w:color w:val="auto"/>
              </w:rPr>
            </w:pPr>
          </w:p>
        </w:tc>
        <w:tc>
          <w:tcPr>
            <w:tcW w:w="540" w:type="dxa"/>
            <w:vAlign w:val="bottom"/>
          </w:tcPr>
          <w:p>
            <w:pPr>
              <w:jc w:val="right"/>
              <w:ind w:right="200"/>
              <w:spacing w:after="0"/>
              <w:rPr>
                <w:sz w:val="20"/>
                <w:szCs w:val="20"/>
                <w:color w:val="auto"/>
              </w:rPr>
            </w:pPr>
            <w:r>
              <w:rPr>
                <w:rFonts w:ascii="Arial" w:cs="Arial" w:eastAsia="Arial" w:hAnsi="Arial"/>
                <w:sz w:val="12"/>
                <w:szCs w:val="12"/>
                <w:color w:val="auto"/>
              </w:rPr>
              <w:t>5.58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152,875</w:t>
            </w:r>
          </w:p>
        </w:tc>
        <w:tc>
          <w:tcPr>
            <w:tcW w:w="300" w:type="dxa"/>
            <w:vAlign w:val="bottom"/>
          </w:tcPr>
          <w:p>
            <w:pPr>
              <w:spacing w:after="0"/>
              <w:rPr>
                <w:sz w:val="13"/>
                <w:szCs w:val="13"/>
                <w:color w:val="auto"/>
              </w:rPr>
            </w:pPr>
          </w:p>
        </w:tc>
        <w:tc>
          <w:tcPr>
            <w:tcW w:w="560" w:type="dxa"/>
            <w:vAlign w:val="bottom"/>
          </w:tcPr>
          <w:p>
            <w:pPr>
              <w:jc w:val="right"/>
              <w:ind w:right="220"/>
              <w:spacing w:after="0"/>
              <w:rPr>
                <w:sz w:val="20"/>
                <w:szCs w:val="20"/>
                <w:color w:val="auto"/>
              </w:rPr>
            </w:pPr>
            <w:r>
              <w:rPr>
                <w:rFonts w:ascii="Arial" w:cs="Arial" w:eastAsia="Arial" w:hAnsi="Arial"/>
                <w:sz w:val="12"/>
                <w:szCs w:val="12"/>
                <w:color w:val="auto"/>
              </w:rPr>
              <w:t>4.88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97,229</w:t>
            </w:r>
          </w:p>
        </w:tc>
        <w:tc>
          <w:tcPr>
            <w:tcW w:w="900" w:type="dxa"/>
            <w:vAlign w:val="bottom"/>
          </w:tcPr>
          <w:p>
            <w:pPr>
              <w:jc w:val="right"/>
              <w:ind w:right="220"/>
              <w:spacing w:after="0"/>
              <w:rPr>
                <w:sz w:val="20"/>
                <w:szCs w:val="20"/>
                <w:color w:val="auto"/>
              </w:rPr>
            </w:pPr>
            <w:r>
              <w:rPr>
                <w:rFonts w:ascii="Arial" w:cs="Arial" w:eastAsia="Arial" w:hAnsi="Arial"/>
                <w:sz w:val="12"/>
                <w:szCs w:val="12"/>
                <w:color w:val="auto"/>
              </w:rPr>
              <w:t>4.38</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77,221</w:t>
            </w:r>
          </w:p>
        </w:tc>
        <w:tc>
          <w:tcPr>
            <w:tcW w:w="880" w:type="dxa"/>
            <w:vAlign w:val="bottom"/>
          </w:tcPr>
          <w:p>
            <w:pPr>
              <w:jc w:val="right"/>
              <w:ind w:right="200"/>
              <w:spacing w:after="0"/>
              <w:rPr>
                <w:sz w:val="20"/>
                <w:szCs w:val="20"/>
                <w:color w:val="auto"/>
              </w:rPr>
            </w:pPr>
            <w:r>
              <w:rPr>
                <w:rFonts w:ascii="Arial" w:cs="Arial" w:eastAsia="Arial" w:hAnsi="Arial"/>
                <w:sz w:val="12"/>
                <w:szCs w:val="12"/>
                <w:color w:val="auto"/>
              </w:rPr>
              <w:t>4.19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401,6</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Commercial</w:t>
            </w: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114,801</w:t>
            </w: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4.98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212,592</w:t>
            </w: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4.54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223,468</w:t>
            </w:r>
          </w:p>
        </w:tc>
        <w:tc>
          <w:tcPr>
            <w:tcW w:w="9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4.14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5,478</w:t>
            </w:r>
          </w:p>
        </w:tc>
        <w:tc>
          <w:tcPr>
            <w:tcW w:w="8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3.23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556,3</w:t>
            </w:r>
          </w:p>
        </w:tc>
        <w:tc>
          <w:tcPr>
            <w:tcW w:w="0" w:type="dxa"/>
            <w:vAlign w:val="bottom"/>
          </w:tcPr>
          <w:p>
            <w:pPr>
              <w:spacing w:after="0"/>
              <w:rPr>
                <w:sz w:val="1"/>
                <w:szCs w:val="1"/>
                <w:color w:val="auto"/>
              </w:rPr>
            </w:pPr>
          </w:p>
        </w:tc>
      </w:tr>
      <w:tr>
        <w:trPr>
          <w:trHeight w:val="157"/>
        </w:trPr>
        <w:tc>
          <w:tcPr>
            <w:tcW w:w="1100" w:type="dxa"/>
            <w:vAlign w:val="bottom"/>
          </w:tcPr>
          <w:p>
            <w:pPr>
              <w:ind w:left="420"/>
              <w:spacing w:after="0"/>
              <w:rPr>
                <w:sz w:val="20"/>
                <w:szCs w:val="20"/>
                <w:color w:val="auto"/>
              </w:rPr>
            </w:pPr>
            <w:r>
              <w:rPr>
                <w:rFonts w:ascii="Arial" w:cs="Arial" w:eastAsia="Arial" w:hAnsi="Arial"/>
                <w:sz w:val="12"/>
                <w:szCs w:val="12"/>
                <w:color w:val="auto"/>
                <w:w w:val="97"/>
              </w:rPr>
              <w:t>Construction</w:t>
            </w: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240,587</w:t>
            </w:r>
          </w:p>
        </w:tc>
        <w:tc>
          <w:tcPr>
            <w:tcW w:w="360" w:type="dxa"/>
            <w:vAlign w:val="bottom"/>
          </w:tcPr>
          <w:p>
            <w:pPr>
              <w:spacing w:after="0"/>
              <w:rPr>
                <w:sz w:val="13"/>
                <w:szCs w:val="13"/>
                <w:color w:val="auto"/>
              </w:rPr>
            </w:pPr>
          </w:p>
        </w:tc>
        <w:tc>
          <w:tcPr>
            <w:tcW w:w="540" w:type="dxa"/>
            <w:vAlign w:val="bottom"/>
          </w:tcPr>
          <w:p>
            <w:pPr>
              <w:jc w:val="right"/>
              <w:ind w:right="200"/>
              <w:spacing w:after="0"/>
              <w:rPr>
                <w:sz w:val="20"/>
                <w:szCs w:val="20"/>
                <w:color w:val="auto"/>
              </w:rPr>
            </w:pPr>
            <w:r>
              <w:rPr>
                <w:rFonts w:ascii="Arial" w:cs="Arial" w:eastAsia="Arial" w:hAnsi="Arial"/>
                <w:sz w:val="12"/>
                <w:szCs w:val="12"/>
                <w:color w:val="auto"/>
              </w:rPr>
              <w:t>5.86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14,560</w:t>
            </w:r>
          </w:p>
        </w:tc>
        <w:tc>
          <w:tcPr>
            <w:tcW w:w="300" w:type="dxa"/>
            <w:vAlign w:val="bottom"/>
          </w:tcPr>
          <w:p>
            <w:pPr>
              <w:spacing w:after="0"/>
              <w:rPr>
                <w:sz w:val="13"/>
                <w:szCs w:val="13"/>
                <w:color w:val="auto"/>
              </w:rPr>
            </w:pPr>
          </w:p>
        </w:tc>
        <w:tc>
          <w:tcPr>
            <w:tcW w:w="560" w:type="dxa"/>
            <w:vAlign w:val="bottom"/>
          </w:tcPr>
          <w:p>
            <w:pPr>
              <w:jc w:val="right"/>
              <w:ind w:right="220"/>
              <w:spacing w:after="0"/>
              <w:rPr>
                <w:sz w:val="20"/>
                <w:szCs w:val="20"/>
                <w:color w:val="auto"/>
              </w:rPr>
            </w:pPr>
            <w:r>
              <w:rPr>
                <w:rFonts w:ascii="Arial" w:cs="Arial" w:eastAsia="Arial" w:hAnsi="Arial"/>
                <w:sz w:val="12"/>
                <w:szCs w:val="12"/>
                <w:color w:val="auto"/>
              </w:rPr>
              <w:t>5.75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255,1</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Commercial</w:t>
            </w: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74,002</w:t>
            </w: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5.25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57,822</w:t>
            </w: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4.61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39,863</w:t>
            </w:r>
          </w:p>
        </w:tc>
        <w:tc>
          <w:tcPr>
            <w:tcW w:w="9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5.50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4,269</w:t>
            </w:r>
          </w:p>
        </w:tc>
        <w:tc>
          <w:tcPr>
            <w:tcW w:w="8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4.53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175,9</w:t>
            </w:r>
          </w:p>
        </w:tc>
        <w:tc>
          <w:tcPr>
            <w:tcW w:w="0" w:type="dxa"/>
            <w:vAlign w:val="bottom"/>
          </w:tcPr>
          <w:p>
            <w:pPr>
              <w:spacing w:after="0"/>
              <w:rPr>
                <w:sz w:val="1"/>
                <w:szCs w:val="1"/>
                <w:color w:val="auto"/>
              </w:rPr>
            </w:pPr>
          </w:p>
        </w:tc>
      </w:tr>
      <w:tr>
        <w:trPr>
          <w:trHeight w:val="157"/>
        </w:trPr>
        <w:tc>
          <w:tcPr>
            <w:tcW w:w="1100" w:type="dxa"/>
            <w:vAlign w:val="bottom"/>
          </w:tcPr>
          <w:p>
            <w:pPr>
              <w:ind w:left="280"/>
              <w:spacing w:after="0"/>
              <w:rPr>
                <w:sz w:val="20"/>
                <w:szCs w:val="20"/>
                <w:color w:val="auto"/>
              </w:rPr>
            </w:pPr>
            <w:r>
              <w:rPr>
                <w:rFonts w:ascii="Arial" w:cs="Arial" w:eastAsia="Arial" w:hAnsi="Arial"/>
                <w:sz w:val="12"/>
                <w:szCs w:val="12"/>
                <w:color w:val="auto"/>
              </w:rPr>
              <w:t>Credit card</w:t>
            </w: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141,120</w:t>
            </w:r>
          </w:p>
        </w:tc>
        <w:tc>
          <w:tcPr>
            <w:tcW w:w="360" w:type="dxa"/>
            <w:vAlign w:val="bottom"/>
          </w:tcPr>
          <w:p>
            <w:pPr>
              <w:spacing w:after="0"/>
              <w:rPr>
                <w:sz w:val="13"/>
                <w:szCs w:val="13"/>
                <w:color w:val="auto"/>
              </w:rPr>
            </w:pPr>
          </w:p>
        </w:tc>
        <w:tc>
          <w:tcPr>
            <w:tcW w:w="540" w:type="dxa"/>
            <w:vAlign w:val="bottom"/>
          </w:tcPr>
          <w:p>
            <w:pPr>
              <w:jc w:val="right"/>
              <w:ind w:right="180"/>
              <w:spacing w:after="0"/>
              <w:rPr>
                <w:sz w:val="20"/>
                <w:szCs w:val="20"/>
                <w:color w:val="auto"/>
              </w:rPr>
            </w:pPr>
            <w:r>
              <w:rPr>
                <w:rFonts w:ascii="Arial" w:cs="Arial" w:eastAsia="Arial" w:hAnsi="Arial"/>
                <w:sz w:val="12"/>
                <w:szCs w:val="12"/>
                <w:color w:val="auto"/>
                <w:w w:val="93"/>
              </w:rPr>
              <w:t>42.96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141,1</w:t>
            </w:r>
          </w:p>
        </w:tc>
        <w:tc>
          <w:tcPr>
            <w:tcW w:w="0" w:type="dxa"/>
            <w:vAlign w:val="bottom"/>
          </w:tcPr>
          <w:p>
            <w:pPr>
              <w:spacing w:after="0"/>
              <w:rPr>
                <w:sz w:val="1"/>
                <w:szCs w:val="1"/>
                <w:color w:val="auto"/>
              </w:rPr>
            </w:pPr>
          </w:p>
        </w:tc>
      </w:tr>
      <w:tr>
        <w:trPr>
          <w:trHeight w:val="127"/>
        </w:trPr>
        <w:tc>
          <w:tcPr>
            <w:tcW w:w="1100" w:type="dxa"/>
            <w:vAlign w:val="bottom"/>
            <w:shd w:val="clear" w:color="auto" w:fill="CCEEFF"/>
          </w:tcPr>
          <w:p>
            <w:pPr>
              <w:ind w:left="280"/>
              <w:spacing w:after="0" w:line="127" w:lineRule="exact"/>
              <w:rPr>
                <w:sz w:val="20"/>
                <w:szCs w:val="20"/>
                <w:color w:val="auto"/>
              </w:rPr>
            </w:pPr>
            <w:r>
              <w:rPr>
                <w:rFonts w:ascii="Arial" w:cs="Arial" w:eastAsia="Arial" w:hAnsi="Arial"/>
                <w:sz w:val="12"/>
                <w:szCs w:val="12"/>
                <w:color w:val="auto"/>
              </w:rPr>
              <w:t>Other</w:t>
            </w:r>
          </w:p>
        </w:tc>
        <w:tc>
          <w:tcPr>
            <w:tcW w:w="4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306</w:t>
            </w: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5.60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3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5.30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900" w:type="dxa"/>
            <w:vAlign w:val="bottom"/>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4.89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2"/>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w:t>
            </w:r>
          </w:p>
        </w:tc>
        <w:tc>
          <w:tcPr>
            <w:tcW w:w="4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100" w:type="dxa"/>
            <w:vAlign w:val="bottom"/>
          </w:tcPr>
          <w:p>
            <w:pPr>
              <w:ind w:left="420"/>
              <w:spacing w:after="0" w:line="107" w:lineRule="exact"/>
              <w:rPr>
                <w:sz w:val="20"/>
                <w:szCs w:val="20"/>
                <w:color w:val="auto"/>
              </w:rPr>
            </w:pPr>
            <w:r>
              <w:rPr>
                <w:rFonts w:ascii="Arial" w:cs="Arial" w:eastAsia="Arial" w:hAnsi="Arial"/>
                <w:sz w:val="12"/>
                <w:szCs w:val="12"/>
                <w:color w:val="auto"/>
              </w:rPr>
              <w:t>Total</w:t>
            </w: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00" w:type="dxa"/>
            <w:vAlign w:val="bottom"/>
          </w:tcPr>
          <w:p>
            <w:pPr>
              <w:ind w:left="140"/>
              <w:spacing w:after="0" w:line="112" w:lineRule="exact"/>
              <w:rPr>
                <w:sz w:val="20"/>
                <w:szCs w:val="20"/>
                <w:color w:val="auto"/>
              </w:rPr>
            </w:pPr>
            <w:r>
              <w:rPr>
                <w:rFonts w:ascii="Arial" w:cs="Arial" w:eastAsia="Arial" w:hAnsi="Arial"/>
                <w:sz w:val="12"/>
                <w:szCs w:val="12"/>
                <w:color w:val="auto"/>
              </w:rPr>
              <w:t>portfolio loans,</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645,098</w:t>
            </w:r>
          </w:p>
        </w:tc>
        <w:tc>
          <w:tcPr>
            <w:tcW w:w="360" w:type="dxa"/>
            <w:vAlign w:val="bottom"/>
          </w:tcPr>
          <w:p>
            <w:pPr>
              <w:spacing w:after="0"/>
              <w:rPr>
                <w:sz w:val="9"/>
                <w:szCs w:val="9"/>
                <w:color w:val="auto"/>
              </w:rPr>
            </w:pPr>
          </w:p>
        </w:tc>
        <w:tc>
          <w:tcPr>
            <w:tcW w:w="540" w:type="dxa"/>
            <w:vAlign w:val="bottom"/>
            <w:vMerge w:val="restart"/>
          </w:tcPr>
          <w:p>
            <w:pPr>
              <w:jc w:val="right"/>
              <w:ind w:right="180"/>
              <w:spacing w:after="0"/>
              <w:rPr>
                <w:sz w:val="20"/>
                <w:szCs w:val="20"/>
                <w:color w:val="auto"/>
              </w:rPr>
            </w:pPr>
            <w:r>
              <w:rPr>
                <w:rFonts w:ascii="Arial" w:cs="Arial" w:eastAsia="Arial" w:hAnsi="Arial"/>
                <w:sz w:val="12"/>
                <w:szCs w:val="12"/>
                <w:color w:val="auto"/>
                <w:w w:val="93"/>
              </w:rPr>
              <w:t>13.69</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438,145</w:t>
            </w:r>
          </w:p>
        </w:tc>
        <w:tc>
          <w:tcPr>
            <w:tcW w:w="300" w:type="dxa"/>
            <w:vAlign w:val="bottom"/>
          </w:tcPr>
          <w:p>
            <w:pPr>
              <w:spacing w:after="0"/>
              <w:rPr>
                <w:sz w:val="9"/>
                <w:szCs w:val="9"/>
                <w:color w:val="auto"/>
              </w:rPr>
            </w:pPr>
          </w:p>
        </w:tc>
        <w:tc>
          <w:tcPr>
            <w:tcW w:w="560" w:type="dxa"/>
            <w:vAlign w:val="bottom"/>
            <w:vMerge w:val="restart"/>
          </w:tcPr>
          <w:p>
            <w:pPr>
              <w:jc w:val="right"/>
              <w:ind w:right="220"/>
              <w:spacing w:after="0"/>
              <w:rPr>
                <w:sz w:val="20"/>
                <w:szCs w:val="20"/>
                <w:color w:val="auto"/>
              </w:rPr>
            </w:pPr>
            <w:r>
              <w:rPr>
                <w:rFonts w:ascii="Arial" w:cs="Arial" w:eastAsia="Arial" w:hAnsi="Arial"/>
                <w:sz w:val="12"/>
                <w:szCs w:val="12"/>
                <w:color w:val="auto"/>
              </w:rPr>
              <w:t>4.71</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360,991</w:t>
            </w:r>
          </w:p>
        </w:tc>
        <w:tc>
          <w:tcPr>
            <w:tcW w:w="900" w:type="dxa"/>
            <w:vAlign w:val="bottom"/>
            <w:vMerge w:val="restart"/>
          </w:tcPr>
          <w:p>
            <w:pPr>
              <w:jc w:val="right"/>
              <w:ind w:right="220"/>
              <w:spacing w:after="0"/>
              <w:rPr>
                <w:sz w:val="20"/>
                <w:szCs w:val="20"/>
                <w:color w:val="auto"/>
              </w:rPr>
            </w:pPr>
            <w:r>
              <w:rPr>
                <w:rFonts w:ascii="Arial" w:cs="Arial" w:eastAsia="Arial" w:hAnsi="Arial"/>
                <w:sz w:val="12"/>
                <w:szCs w:val="12"/>
                <w:color w:val="auto"/>
              </w:rPr>
              <w:t>4.36</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86,968</w:t>
            </w:r>
          </w:p>
        </w:tc>
        <w:tc>
          <w:tcPr>
            <w:tcW w:w="880" w:type="dxa"/>
            <w:vAlign w:val="bottom"/>
            <w:vMerge w:val="restart"/>
          </w:tcPr>
          <w:p>
            <w:pPr>
              <w:jc w:val="right"/>
              <w:ind w:right="200"/>
              <w:spacing w:after="0"/>
              <w:rPr>
                <w:sz w:val="20"/>
                <w:szCs w:val="20"/>
                <w:color w:val="auto"/>
              </w:rPr>
            </w:pPr>
            <w:r>
              <w:rPr>
                <w:rFonts w:ascii="Arial" w:cs="Arial" w:eastAsia="Arial" w:hAnsi="Arial"/>
                <w:sz w:val="12"/>
                <w:szCs w:val="12"/>
                <w:color w:val="auto"/>
              </w:rPr>
              <w:t>4.14</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48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1,531,2</w:t>
            </w:r>
          </w:p>
        </w:tc>
        <w:tc>
          <w:tcPr>
            <w:tcW w:w="0" w:type="dxa"/>
            <w:vAlign w:val="bottom"/>
          </w:tcPr>
          <w:p>
            <w:pPr>
              <w:spacing w:after="0"/>
              <w:rPr>
                <w:sz w:val="1"/>
                <w:szCs w:val="1"/>
                <w:color w:val="auto"/>
              </w:rPr>
            </w:pPr>
          </w:p>
        </w:tc>
      </w:tr>
      <w:tr>
        <w:trPr>
          <w:trHeight w:val="124"/>
        </w:trPr>
        <w:tc>
          <w:tcPr>
            <w:tcW w:w="1100" w:type="dxa"/>
            <w:vAlign w:val="bottom"/>
          </w:tcPr>
          <w:p>
            <w:pPr>
              <w:ind w:left="140"/>
              <w:spacing w:after="0" w:line="120" w:lineRule="exact"/>
              <w:rPr>
                <w:sz w:val="20"/>
                <w:szCs w:val="20"/>
                <w:color w:val="auto"/>
              </w:rPr>
            </w:pPr>
            <w:r>
              <w:rPr>
                <w:rFonts w:ascii="Arial" w:cs="Arial" w:eastAsia="Arial" w:hAnsi="Arial"/>
                <w:sz w:val="12"/>
                <w:szCs w:val="12"/>
                <w:color w:val="auto"/>
              </w:rPr>
              <w:t>gross</w:t>
            </w:r>
          </w:p>
        </w:tc>
        <w:tc>
          <w:tcPr>
            <w:tcW w:w="42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1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780" w:type="dxa"/>
            <w:vAlign w:val="bottom"/>
            <w:tcBorders>
              <w:bottom w:val="single" w:sz="8" w:color="CCEEFF"/>
            </w:tcBorders>
            <w:gridSpan w:val="10"/>
          </w:tcPr>
          <w:p>
            <w:pPr>
              <w:ind w:left="280"/>
              <w:spacing w:after="0"/>
              <w:rPr>
                <w:sz w:val="20"/>
                <w:szCs w:val="20"/>
                <w:color w:val="auto"/>
              </w:rPr>
            </w:pPr>
            <w:r>
              <w:rPr>
                <w:rFonts w:ascii="Arial" w:cs="Arial" w:eastAsia="Arial" w:hAnsi="Arial"/>
                <w:sz w:val="12"/>
                <w:szCs w:val="12"/>
                <w:color w:val="auto"/>
              </w:rPr>
              <w:t>Loans above maturing after one year categorized by rate characteristic:</w:t>
            </w:r>
          </w:p>
        </w:tc>
        <w:tc>
          <w:tcPr>
            <w:tcW w:w="5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Predetermined Interest Rates</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Floating or Variable Rates</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7"/>
        </w:trPr>
        <w:tc>
          <w:tcPr>
            <w:tcW w:w="1100" w:type="dxa"/>
            <w:vAlign w:val="bottom"/>
            <w:shd w:val="clear" w:color="auto" w:fill="CCEEFF"/>
          </w:tcPr>
          <w:p>
            <w:pPr>
              <w:ind w:left="280"/>
              <w:spacing w:after="0" w:line="137" w:lineRule="exact"/>
              <w:rPr>
                <w:sz w:val="20"/>
                <w:szCs w:val="20"/>
                <w:color w:val="auto"/>
              </w:rPr>
            </w:pPr>
            <w:r>
              <w:rPr>
                <w:rFonts w:ascii="Arial" w:cs="Arial" w:eastAsia="Arial" w:hAnsi="Arial"/>
                <w:sz w:val="12"/>
                <w:szCs w:val="12"/>
                <w:color w:val="auto"/>
              </w:rPr>
              <w:t>Real estate:</w:t>
            </w: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00" w:type="dxa"/>
            <w:vAlign w:val="bottom"/>
          </w:tcPr>
          <w:p>
            <w:pPr>
              <w:ind w:left="420"/>
              <w:spacing w:after="0"/>
              <w:rPr>
                <w:sz w:val="20"/>
                <w:szCs w:val="20"/>
                <w:color w:val="auto"/>
              </w:rPr>
            </w:pPr>
            <w:r>
              <w:rPr>
                <w:rFonts w:ascii="Arial" w:cs="Arial" w:eastAsia="Arial" w:hAnsi="Arial"/>
                <w:sz w:val="12"/>
                <w:szCs w:val="12"/>
                <w:color w:val="auto"/>
              </w:rPr>
              <w:t>Residential</w:t>
            </w: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900" w:type="dxa"/>
            <w:vAlign w:val="bottom"/>
          </w:tcPr>
          <w:p>
            <w:pPr>
              <w:jc w:val="right"/>
              <w:ind w:right="220"/>
              <w:spacing w:after="0"/>
              <w:rPr>
                <w:sz w:val="20"/>
                <w:szCs w:val="20"/>
                <w:color w:val="auto"/>
              </w:rPr>
            </w:pPr>
            <w:r>
              <w:rPr>
                <w:rFonts w:ascii="Arial" w:cs="Arial" w:eastAsia="Arial" w:hAnsi="Arial"/>
                <w:sz w:val="12"/>
                <w:szCs w:val="12"/>
                <w:color w:val="auto"/>
              </w:rPr>
              <w:t>154,928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880" w:type="dxa"/>
            <w:vAlign w:val="bottom"/>
          </w:tcPr>
          <w:p>
            <w:pPr>
              <w:jc w:val="right"/>
              <w:ind w:right="200"/>
              <w:spacing w:after="0"/>
              <w:rPr>
                <w:sz w:val="20"/>
                <w:szCs w:val="20"/>
                <w:color w:val="auto"/>
              </w:rPr>
            </w:pPr>
            <w:r>
              <w:rPr>
                <w:rFonts w:ascii="Arial" w:cs="Arial" w:eastAsia="Arial" w:hAnsi="Arial"/>
                <w:sz w:val="12"/>
                <w:szCs w:val="12"/>
                <w:color w:val="auto"/>
              </w:rPr>
              <w:t>172,397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327,3</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Commercial</w:t>
            </w: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297,753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143,785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441,5</w:t>
            </w:r>
          </w:p>
        </w:tc>
        <w:tc>
          <w:tcPr>
            <w:tcW w:w="0" w:type="dxa"/>
            <w:vAlign w:val="bottom"/>
          </w:tcPr>
          <w:p>
            <w:pPr>
              <w:spacing w:after="0"/>
              <w:rPr>
                <w:sz w:val="1"/>
                <w:szCs w:val="1"/>
                <w:color w:val="auto"/>
              </w:rPr>
            </w:pPr>
          </w:p>
        </w:tc>
      </w:tr>
      <w:tr>
        <w:trPr>
          <w:trHeight w:val="157"/>
        </w:trPr>
        <w:tc>
          <w:tcPr>
            <w:tcW w:w="1100" w:type="dxa"/>
            <w:vAlign w:val="bottom"/>
          </w:tcPr>
          <w:p>
            <w:pPr>
              <w:ind w:left="420"/>
              <w:spacing w:after="0"/>
              <w:rPr>
                <w:sz w:val="20"/>
                <w:szCs w:val="20"/>
                <w:color w:val="auto"/>
              </w:rPr>
            </w:pPr>
            <w:r>
              <w:rPr>
                <w:rFonts w:ascii="Arial" w:cs="Arial" w:eastAsia="Arial" w:hAnsi="Arial"/>
                <w:sz w:val="12"/>
                <w:szCs w:val="12"/>
                <w:color w:val="auto"/>
                <w:w w:val="97"/>
              </w:rPr>
              <w:t>Construction</w:t>
            </w: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jc w:val="right"/>
              <w:ind w:right="220"/>
              <w:spacing w:after="0"/>
              <w:rPr>
                <w:sz w:val="20"/>
                <w:szCs w:val="20"/>
                <w:color w:val="auto"/>
              </w:rPr>
            </w:pPr>
            <w:r>
              <w:rPr>
                <w:rFonts w:ascii="Arial" w:cs="Arial" w:eastAsia="Arial" w:hAnsi="Arial"/>
                <w:sz w:val="12"/>
                <w:szCs w:val="12"/>
                <w:color w:val="auto"/>
              </w:rPr>
              <w:t>488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ind w:right="200"/>
              <w:spacing w:after="0"/>
              <w:rPr>
                <w:sz w:val="20"/>
                <w:szCs w:val="20"/>
                <w:color w:val="auto"/>
              </w:rPr>
            </w:pPr>
            <w:r>
              <w:rPr>
                <w:rFonts w:ascii="Arial" w:cs="Arial" w:eastAsia="Arial" w:hAnsi="Arial"/>
                <w:sz w:val="12"/>
                <w:szCs w:val="12"/>
                <w:color w:val="auto"/>
              </w:rPr>
              <w:t>14,072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Commercial</w:t>
            </w: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69,682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32,272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101,9</w:t>
            </w:r>
          </w:p>
        </w:tc>
        <w:tc>
          <w:tcPr>
            <w:tcW w:w="0" w:type="dxa"/>
            <w:vAlign w:val="bottom"/>
          </w:tcPr>
          <w:p>
            <w:pPr>
              <w:spacing w:after="0"/>
              <w:rPr>
                <w:sz w:val="1"/>
                <w:szCs w:val="1"/>
                <w:color w:val="auto"/>
              </w:rPr>
            </w:pPr>
          </w:p>
        </w:tc>
      </w:tr>
      <w:tr>
        <w:trPr>
          <w:trHeight w:val="127"/>
        </w:trPr>
        <w:tc>
          <w:tcPr>
            <w:tcW w:w="1100" w:type="dxa"/>
            <w:vAlign w:val="bottom"/>
          </w:tcPr>
          <w:p>
            <w:pPr>
              <w:ind w:left="280"/>
              <w:spacing w:after="0" w:line="127" w:lineRule="exact"/>
              <w:rPr>
                <w:sz w:val="20"/>
                <w:szCs w:val="20"/>
                <w:color w:val="auto"/>
              </w:rPr>
            </w:pPr>
            <w:r>
              <w:rPr>
                <w:rFonts w:ascii="Arial" w:cs="Arial" w:eastAsia="Arial" w:hAnsi="Arial"/>
                <w:sz w:val="12"/>
                <w:szCs w:val="12"/>
                <w:color w:val="auto"/>
              </w:rPr>
              <w:t>Other</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vMerge w:val="restart"/>
          </w:tcPr>
          <w:p>
            <w:pPr>
              <w:jc w:val="right"/>
              <w:ind w:right="220"/>
              <w:spacing w:after="0"/>
              <w:rPr>
                <w:sz w:val="20"/>
                <w:szCs w:val="20"/>
                <w:color w:val="auto"/>
              </w:rPr>
            </w:pPr>
            <w:r>
              <w:rPr>
                <w:rFonts w:ascii="Arial" w:cs="Arial" w:eastAsia="Arial" w:hAnsi="Arial"/>
                <w:sz w:val="12"/>
                <w:szCs w:val="12"/>
                <w:color w:val="auto"/>
              </w:rPr>
              <w:t>677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2"/>
                <w:szCs w:val="12"/>
                <w:color w:val="auto"/>
              </w:rPr>
              <w:t>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2"/>
        </w:trPr>
        <w:tc>
          <w:tcPr>
            <w:tcW w:w="11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consumer</w:t>
            </w:r>
          </w:p>
        </w:tc>
        <w:tc>
          <w:tcPr>
            <w:tcW w:w="4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8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2"/>
                <w:szCs w:val="12"/>
                <w:color w:val="auto"/>
              </w:rPr>
              <w:t>Total portfolio loans, gross</w:t>
            </w:r>
          </w:p>
        </w:tc>
        <w:tc>
          <w:tcPr>
            <w:tcW w:w="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523,528</w:t>
            </w: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362,576</w:t>
            </w: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886,1</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Nonperforming Assets</w:t>
      </w:r>
    </w:p>
    <w:p>
      <w:pPr>
        <w:spacing w:after="0" w:line="202" w:lineRule="exact"/>
        <w:rPr>
          <w:sz w:val="20"/>
          <w:szCs w:val="20"/>
          <w:color w:val="auto"/>
        </w:rPr>
      </w:pPr>
    </w:p>
    <w:p>
      <w:pPr>
        <w:jc w:val="both"/>
        <w:ind w:right="80" w:firstLine="268"/>
        <w:spacing w:after="0" w:line="250" w:lineRule="auto"/>
        <w:rPr>
          <w:sz w:val="20"/>
          <w:szCs w:val="20"/>
          <w:color w:val="auto"/>
        </w:rPr>
      </w:pPr>
      <w:r>
        <w:rPr>
          <w:rFonts w:ascii="Arial" w:cs="Arial" w:eastAsia="Arial" w:hAnsi="Arial"/>
          <w:sz w:val="15"/>
          <w:szCs w:val="15"/>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cash payments are received in excess of principal due. Loans are returned to accrual status when all the principal and interest amounts contractually due are brought current and future payments are, in management’s opinion, reasonably assured. Any loan which the Bank deems to be uncollectible, in whole or in part, is charged off to the extent of the anticipated loss. Consumer credit card balances are moved into the charge off queue after they become more than 90 days past due and are charged off not later than 120 days after they become past due. Loans that are past due for 180 days or more are charged off unless the loan is well secured and in the process of collection.</w:t>
      </w:r>
    </w:p>
    <w:p>
      <w:pPr>
        <w:spacing w:after="0" w:line="173"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The Company believes its disciplined lending approach and focused management of nonperforming assets has resulted in sound asset quality and timely resolution of problem assets. There are several procedures in place to assist the Company in maintaining the overall quality of our loan portfolio. The Company has established underwriting guidelines to be followed by our bankers, and monitor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392" w:right="239" w:bottom="1440" w:gutter="0" w:footer="0" w:header="0"/>
        </w:sectPr>
      </w:pPr>
    </w:p>
    <w:bookmarkStart w:id="42" w:name="page43"/>
    <w:bookmarkEnd w:id="42"/>
    <w:p>
      <w:pPr>
        <w:jc w:val="both"/>
        <w:spacing w:after="0" w:line="258" w:lineRule="auto"/>
        <w:rPr>
          <w:sz w:val="20"/>
          <w:szCs w:val="20"/>
          <w:color w:val="auto"/>
        </w:rPr>
      </w:pPr>
      <w:r>
        <w:rPr>
          <w:rFonts w:ascii="Arial" w:cs="Arial" w:eastAsia="Arial" w:hAnsi="Arial"/>
          <w:sz w:val="15"/>
          <w:szCs w:val="15"/>
          <w:color w:val="auto"/>
        </w:rPr>
        <w:t>delinquency levels for any negative or adverse trends. There can be no assurance, however, that our loan portfolio will not become subject to increasing pressures from deteriorating borrower credit.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Potential Problem Loans</w:t>
      </w:r>
    </w:p>
    <w:p>
      <w:pPr>
        <w:spacing w:after="0" w:line="202"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From a credit risk standpoint, we grade watchlist and problem loans into one of five categories: pass/watch, special mention, substandard, doubtful or loss. The classifications of loans reflect a judgment about the risks of default and loss associated with the loan. Credits ratings are reviewed regularly. Ratings are adjusted regularly to reflect the degree of risk and loss that our management believes to be appropriate for each credit. Our methodology is structured so that specific reserve allocations are increased in accordance with deterioration in credit quality (and a corresponding increase in risk and loss) or decreased in accordance with improvement in credit quality (and a corresponding decrease in risk and loss). Our lending policy requires the routine monitoring of weekly past due reports, daily overdraft reports, monthly maturing loans, monthly risk rating reports and internal loan review reports. The lending and credit management of the Bank meet periodically to review loans rated pass/watch. The focus of each meeting is to identify and promptly determine any necessary required action with this loan population, which consists of loans that, although considered satisfactory and performing to terms, may exhibit special risk features that warrant management’s attention.</w:t>
      </w:r>
    </w:p>
    <w:p>
      <w:pPr>
        <w:spacing w:after="0" w:line="174"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Bank uses the following definitions for watch list risk ratings:</w:t>
      </w:r>
    </w:p>
    <w:p>
      <w:pPr>
        <w:spacing w:after="0" w:line="186" w:lineRule="exact"/>
        <w:rPr>
          <w:sz w:val="20"/>
          <w:szCs w:val="20"/>
          <w:color w:val="auto"/>
        </w:rPr>
      </w:pPr>
    </w:p>
    <w:p>
      <w:pPr>
        <w:ind w:left="820" w:hanging="542"/>
        <w:spacing w:after="0" w:line="258" w:lineRule="auto"/>
        <w:tabs>
          <w:tab w:leader="none" w:pos="816" w:val="left"/>
        </w:tabs>
        <w:numPr>
          <w:ilvl w:val="0"/>
          <w:numId w:val="15"/>
        </w:numPr>
        <w:rPr>
          <w:rFonts w:ascii="Arial" w:cs="Arial" w:eastAsia="Arial" w:hAnsi="Arial"/>
          <w:sz w:val="15"/>
          <w:szCs w:val="15"/>
          <w:color w:val="auto"/>
        </w:rPr>
      </w:pPr>
      <w:r>
        <w:rPr>
          <w:rFonts w:ascii="Arial" w:cs="Arial" w:eastAsia="Arial" w:hAnsi="Arial"/>
          <w:sz w:val="15"/>
          <w:szCs w:val="15"/>
          <w:color w:val="auto"/>
        </w:rPr>
        <w:t>Pass/Watch. Borrowers who are considered satisfactory and performing to terms, however exhibiting special risk features such as declining earnings, strained cash flow, increasing leverage, and/or weakening fundamentals that indicate above average risk.</w:t>
      </w:r>
    </w:p>
    <w:p>
      <w:pPr>
        <w:spacing w:after="0" w:line="121" w:lineRule="exact"/>
        <w:rPr>
          <w:rFonts w:ascii="Arial" w:cs="Arial" w:eastAsia="Arial" w:hAnsi="Arial"/>
          <w:sz w:val="15"/>
          <w:szCs w:val="15"/>
          <w:color w:val="auto"/>
        </w:rPr>
      </w:pPr>
    </w:p>
    <w:p>
      <w:pPr>
        <w:ind w:left="820" w:right="20" w:hanging="542"/>
        <w:spacing w:after="0" w:line="258" w:lineRule="auto"/>
        <w:tabs>
          <w:tab w:leader="none" w:pos="816" w:val="left"/>
        </w:tabs>
        <w:numPr>
          <w:ilvl w:val="0"/>
          <w:numId w:val="15"/>
        </w:numPr>
        <w:rPr>
          <w:rFonts w:ascii="Arial" w:cs="Arial" w:eastAsia="Arial" w:hAnsi="Arial"/>
          <w:sz w:val="15"/>
          <w:szCs w:val="15"/>
          <w:color w:val="auto"/>
        </w:rPr>
      </w:pPr>
      <w:r>
        <w:rPr>
          <w:rFonts w:ascii="Arial" w:cs="Arial" w:eastAsia="Arial" w:hAnsi="Arial"/>
          <w:sz w:val="15"/>
          <w:szCs w:val="15"/>
          <w:color w:val="auto"/>
        </w:rPr>
        <w:t>Special Mention. A special mention loan has potential weaknesses deserving of management’s attention. If uncorrected, such weaknesses may result in deterioration of the repayment prospects for the asset or in our credit position at some future date.</w:t>
      </w:r>
    </w:p>
    <w:p>
      <w:pPr>
        <w:spacing w:after="0" w:line="121" w:lineRule="exact"/>
        <w:rPr>
          <w:rFonts w:ascii="Arial" w:cs="Arial" w:eastAsia="Arial" w:hAnsi="Arial"/>
          <w:sz w:val="15"/>
          <w:szCs w:val="15"/>
          <w:color w:val="auto"/>
        </w:rPr>
      </w:pPr>
    </w:p>
    <w:p>
      <w:pPr>
        <w:jc w:val="both"/>
        <w:ind w:left="820" w:hanging="542"/>
        <w:spacing w:after="0" w:line="252" w:lineRule="auto"/>
        <w:tabs>
          <w:tab w:leader="none" w:pos="816"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Substandard. A substandard loan is inadequately protected by the current financial condition and paying capacity of the obligor or of the collateral pledged, if any. Assets so classified have a well-defined weakness or weaknesses that jeopardize the liquidation of the debt. They are characterized by the distinct possibility that we will sustain some loss if deficiencies are not corrected. Loss potential, while existing in the aggregate amount of substandard assets, does not have to exist in individual assets that are classified as substandard.</w:t>
      </w:r>
    </w:p>
    <w:p>
      <w:pPr>
        <w:spacing w:after="0" w:line="126" w:lineRule="exact"/>
        <w:rPr>
          <w:rFonts w:ascii="Arial" w:cs="Arial" w:eastAsia="Arial" w:hAnsi="Arial"/>
          <w:sz w:val="15"/>
          <w:szCs w:val="15"/>
          <w:color w:val="auto"/>
        </w:rPr>
      </w:pPr>
    </w:p>
    <w:p>
      <w:pPr>
        <w:jc w:val="both"/>
        <w:ind w:left="820" w:hanging="542"/>
        <w:spacing w:after="0" w:line="251" w:lineRule="auto"/>
        <w:tabs>
          <w:tab w:leader="none" w:pos="816" w:val="left"/>
        </w:tabs>
        <w:numPr>
          <w:ilvl w:val="0"/>
          <w:numId w:val="15"/>
        </w:numPr>
        <w:rPr>
          <w:rFonts w:ascii="Arial" w:cs="Arial" w:eastAsia="Arial" w:hAnsi="Arial"/>
          <w:sz w:val="15"/>
          <w:szCs w:val="15"/>
          <w:color w:val="auto"/>
        </w:rPr>
      </w:pPr>
      <w:r>
        <w:rPr>
          <w:rFonts w:ascii="Arial" w:cs="Arial" w:eastAsia="Arial" w:hAnsi="Arial"/>
          <w:sz w:val="15"/>
          <w:szCs w:val="15"/>
          <w:color w:val="auto"/>
        </w:rPr>
        <w:t>Doubtful. A doubtful loan has all weaknesses inherent in one classified as substandard, with the added characteristic that weaknesses make collection or liquidation in full, on the basis of existing facts, conditions, and values, highly questionable and improbable. The probability of loss is extremely high, but certain important and reasonably specific factors that may work to the advantage and strengthening of the asset exist. Therefore, its classification as an estimated loss is deferred until a more precise status may be determined by management. Pending factors include proposed merger, acquisition or liquidation procedures, capital injection, perfecting liens on additional collateral and refinancing plans.</w:t>
      </w:r>
    </w:p>
    <w:p>
      <w:pPr>
        <w:spacing w:after="0" w:line="127" w:lineRule="exact"/>
        <w:rPr>
          <w:rFonts w:ascii="Arial" w:cs="Arial" w:eastAsia="Arial" w:hAnsi="Arial"/>
          <w:sz w:val="15"/>
          <w:szCs w:val="15"/>
          <w:color w:val="auto"/>
        </w:rPr>
      </w:pPr>
    </w:p>
    <w:p>
      <w:pPr>
        <w:ind w:left="820" w:hanging="542"/>
        <w:spacing w:after="0"/>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Loss. Credits rated as loss are charged-off. We have no expectation of the recovery of any payments in respect of credits rated as loss.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43" w:name="page44"/>
    <w:bookmarkEnd w:id="43"/>
    <w:p>
      <w:pPr>
        <w:ind w:left="280"/>
        <w:spacing w:after="0"/>
        <w:rPr>
          <w:sz w:val="20"/>
          <w:szCs w:val="20"/>
          <w:color w:val="auto"/>
        </w:rPr>
      </w:pPr>
      <w:r>
        <w:rPr>
          <w:rFonts w:ascii="Arial" w:cs="Arial" w:eastAsia="Arial" w:hAnsi="Arial"/>
          <w:sz w:val="15"/>
          <w:szCs w:val="15"/>
          <w:color w:val="auto"/>
        </w:rPr>
        <w:t>Loans not meeting the criteria above are considered to be pass-rated loans. The following tables present the portfolio loan balances by category as well as risk rating.</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No assets were classified as loss during the periods presented.</w:t>
      </w:r>
    </w:p>
    <w:p>
      <w:pPr>
        <w:spacing w:after="0" w:line="186"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At December 31, 2021, the recorded investment in impaired loans was $11.3 million, $336 thousand of which required a specific reserve of $218 thousand compared to a recorded investment in impaired loans of $9.2 million including $391 thousand requiring a specific reserve of $253 thousand at December 31, 2020. Of the $11.3 million of impaired loans, $5.0 million was related to one well-collateralized construction loan relationship.</w:t>
      </w:r>
    </w:p>
    <w:p>
      <w:pPr>
        <w:spacing w:after="0" w:line="171"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Impaired loans also include certain loans that have been modified as troubled debt restructurings (“TDRs”). At December 31, 2021, the Company had five loans amounting to $534 thousand that were considered to be TDRs, compared to five loans amounting to $440 thousand at December 31, 2020.</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Allowance for Loan Losses</w:t>
      </w:r>
    </w:p>
    <w:p>
      <w:pPr>
        <w:spacing w:after="0" w:line="202"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key ratios for the allowance for loan losses and nonaccrual loans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60" w:type="dxa"/>
            <w:vAlign w:val="bottom"/>
            <w:gridSpan w:val="4"/>
          </w:tcPr>
          <w:p>
            <w:pPr>
              <w:ind w:left="300"/>
              <w:spacing w:after="0"/>
              <w:rPr>
                <w:sz w:val="20"/>
                <w:szCs w:val="20"/>
                <w:color w:val="auto"/>
              </w:rPr>
            </w:pPr>
            <w:r>
              <w:rPr>
                <w:rFonts w:ascii="Arial" w:cs="Arial" w:eastAsia="Arial" w:hAnsi="Arial"/>
                <w:sz w:val="12"/>
                <w:szCs w:val="12"/>
                <w:b w:val="1"/>
                <w:bCs w:val="1"/>
                <w:color w:val="auto"/>
              </w:rPr>
              <w:t>For the Years Ended December 31,</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140" w:type="dxa"/>
            <w:vAlign w:val="bottom"/>
            <w:shd w:val="clear" w:color="auto" w:fill="CCEEFF"/>
          </w:tcPr>
          <w:p>
            <w:pPr>
              <w:spacing w:after="0"/>
              <w:rPr>
                <w:sz w:val="10"/>
                <w:szCs w:val="10"/>
                <w:color w:val="auto"/>
              </w:rPr>
            </w:pPr>
          </w:p>
        </w:tc>
        <w:tc>
          <w:tcPr>
            <w:tcW w:w="2740" w:type="dxa"/>
            <w:vAlign w:val="bottom"/>
            <w:gridSpan w:val="6"/>
            <w:shd w:val="clear" w:color="auto" w:fill="CCEEFF"/>
          </w:tcPr>
          <w:p>
            <w:pPr>
              <w:ind w:left="220"/>
              <w:spacing w:after="0" w:line="124" w:lineRule="exact"/>
              <w:rPr>
                <w:sz w:val="20"/>
                <w:szCs w:val="20"/>
                <w:color w:val="auto"/>
              </w:rPr>
            </w:pPr>
            <w:r>
              <w:rPr>
                <w:rFonts w:ascii="Arial" w:cs="Arial" w:eastAsia="Arial" w:hAnsi="Arial"/>
                <w:sz w:val="12"/>
                <w:szCs w:val="12"/>
                <w:color w:val="auto"/>
              </w:rPr>
              <w:t>Allowance for loan losses to period end</w:t>
            </w:r>
          </w:p>
        </w:tc>
        <w:tc>
          <w:tcPr>
            <w:tcW w:w="25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Nonaccrual loans to total portfolio loans</w:t>
            </w:r>
          </w:p>
        </w:tc>
        <w:tc>
          <w:tcPr>
            <w:tcW w:w="220" w:type="dxa"/>
            <w:vAlign w:val="bottom"/>
            <w:vMerge w:val="restart"/>
            <w:shd w:val="clear" w:color="auto" w:fill="CCEEFF"/>
          </w:tcPr>
          <w:p>
            <w:pPr>
              <w:spacing w:after="0"/>
              <w:rPr>
                <w:sz w:val="10"/>
                <w:szCs w:val="10"/>
                <w:color w:val="auto"/>
              </w:rPr>
            </w:pPr>
          </w:p>
        </w:tc>
        <w:tc>
          <w:tcPr>
            <w:tcW w:w="256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w w:val="97"/>
              </w:rPr>
              <w:t xml:space="preserve">Allowance for loan losses to nonaccrual loans </w:t>
            </w:r>
            <w:r>
              <w:rPr>
                <w:rFonts w:ascii="Arial" w:cs="Arial" w:eastAsia="Arial" w:hAnsi="Arial"/>
                <w:sz w:val="15"/>
                <w:szCs w:val="15"/>
                <w:color w:val="auto"/>
                <w:w w:val="97"/>
                <w:vertAlign w:val="superscript"/>
              </w:rPr>
              <w:t>(1)</w:t>
            </w: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ind w:left="20"/>
              <w:spacing w:after="0"/>
              <w:rPr>
                <w:sz w:val="20"/>
                <w:szCs w:val="20"/>
                <w:color w:val="auto"/>
              </w:rPr>
            </w:pPr>
            <w:r>
              <w:rPr>
                <w:rFonts w:ascii="Arial" w:cs="Arial" w:eastAsia="Arial" w:hAnsi="Arial"/>
                <w:sz w:val="9"/>
                <w:szCs w:val="9"/>
                <w:i w:val="1"/>
                <w:iCs w:val="1"/>
                <w:color w:val="auto"/>
              </w:rPr>
              <w:t>(in thousands)</w:t>
            </w:r>
          </w:p>
        </w:tc>
        <w:tc>
          <w:tcPr>
            <w:tcW w:w="7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3"/>
            <w:shd w:val="clear" w:color="auto" w:fill="CCEEFF"/>
          </w:tcPr>
          <w:p>
            <w:pPr>
              <w:ind w:left="40"/>
              <w:spacing w:after="0" w:line="146" w:lineRule="exact"/>
              <w:rPr>
                <w:sz w:val="20"/>
                <w:szCs w:val="20"/>
                <w:color w:val="auto"/>
              </w:rPr>
            </w:pPr>
            <w:r>
              <w:rPr>
                <w:rFonts w:ascii="Arial" w:cs="Arial" w:eastAsia="Arial" w:hAnsi="Arial"/>
                <w:sz w:val="12"/>
                <w:szCs w:val="12"/>
                <w:color w:val="auto"/>
                <w:w w:val="99"/>
              </w:rPr>
              <w:t xml:space="preserve">portfolio loans </w:t>
            </w:r>
            <w:r>
              <w:rPr>
                <w:rFonts w:ascii="Arial" w:cs="Arial" w:eastAsia="Arial" w:hAnsi="Arial"/>
                <w:sz w:val="15"/>
                <w:szCs w:val="15"/>
                <w:color w:val="auto"/>
                <w:w w:val="99"/>
                <w:vertAlign w:val="superscript"/>
              </w:rPr>
              <w:t>(1)</w:t>
            </w:r>
          </w:p>
        </w:tc>
        <w:tc>
          <w:tcPr>
            <w:tcW w:w="7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540" w:type="dxa"/>
            <w:vAlign w:val="bottom"/>
            <w:tcBorders>
              <w:bottom w:val="single" w:sz="8" w:color="auto"/>
            </w:tcBorders>
            <w:gridSpan w:val="3"/>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560" w:type="dxa"/>
            <w:vAlign w:val="bottom"/>
            <w:tcBorders>
              <w:bottom w:val="single" w:sz="8" w:color="auto"/>
            </w:tcBorders>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37"/>
        </w:trPr>
        <w:tc>
          <w:tcPr>
            <w:tcW w:w="3920" w:type="dxa"/>
            <w:vAlign w:val="bottom"/>
            <w:gridSpan w:val="2"/>
            <w:shd w:val="clear" w:color="auto" w:fill="CCEEFF"/>
          </w:tcPr>
          <w:p>
            <w:pPr>
              <w:ind w:left="60"/>
              <w:spacing w:after="0" w:line="137" w:lineRule="exact"/>
              <w:rPr>
                <w:sz w:val="20"/>
                <w:szCs w:val="20"/>
                <w:color w:val="auto"/>
              </w:rPr>
            </w:pPr>
            <w:r>
              <w:rPr>
                <w:rFonts w:ascii="Arial" w:cs="Arial" w:eastAsia="Arial" w:hAnsi="Arial"/>
                <w:sz w:val="12"/>
                <w:szCs w:val="12"/>
                <w:color w:val="auto"/>
              </w:rPr>
              <w:t>Real estate:</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920" w:type="dxa"/>
            <w:vAlign w:val="bottom"/>
            <w:gridSpan w:val="2"/>
          </w:tcPr>
          <w:p>
            <w:pPr>
              <w:ind w:left="160"/>
              <w:spacing w:after="0"/>
              <w:rPr>
                <w:sz w:val="20"/>
                <w:szCs w:val="20"/>
                <w:color w:val="auto"/>
              </w:rPr>
            </w:pPr>
            <w:r>
              <w:rPr>
                <w:rFonts w:ascii="Arial" w:cs="Arial" w:eastAsia="Arial" w:hAnsi="Arial"/>
                <w:sz w:val="12"/>
                <w:szCs w:val="12"/>
                <w:color w:val="auto"/>
              </w:rPr>
              <w:t>Residential</w:t>
            </w:r>
          </w:p>
        </w:tc>
        <w:tc>
          <w:tcPr>
            <w:tcW w:w="440" w:type="dxa"/>
            <w:vAlign w:val="bottom"/>
          </w:tcPr>
          <w:p>
            <w:pPr>
              <w:ind w:left="40"/>
              <w:spacing w:after="0"/>
              <w:rPr>
                <w:sz w:val="20"/>
                <w:szCs w:val="20"/>
                <w:color w:val="auto"/>
              </w:rPr>
            </w:pPr>
            <w:r>
              <w:rPr>
                <w:rFonts w:ascii="Arial" w:cs="Arial" w:eastAsia="Arial" w:hAnsi="Arial"/>
                <w:sz w:val="12"/>
                <w:szCs w:val="12"/>
                <w:color w:val="auto"/>
              </w:rPr>
              <w:t>1.40 %</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ind w:left="400"/>
              <w:spacing w:after="0"/>
              <w:rPr>
                <w:sz w:val="20"/>
                <w:szCs w:val="20"/>
                <w:color w:val="auto"/>
              </w:rPr>
            </w:pPr>
            <w:r>
              <w:rPr>
                <w:rFonts w:ascii="Arial" w:cs="Arial" w:eastAsia="Arial" w:hAnsi="Arial"/>
                <w:sz w:val="12"/>
                <w:szCs w:val="12"/>
                <w:color w:val="auto"/>
                <w:w w:val="96"/>
              </w:rPr>
              <w:t>1.63 %</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0.71 %</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0.82 %</w:t>
            </w:r>
          </w:p>
        </w:tc>
        <w:tc>
          <w:tcPr>
            <w:tcW w:w="2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198 %</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200 %</w:t>
            </w:r>
          </w:p>
        </w:tc>
        <w:tc>
          <w:tcPr>
            <w:tcW w:w="0" w:type="dxa"/>
            <w:vAlign w:val="bottom"/>
          </w:tcPr>
          <w:p>
            <w:pPr>
              <w:spacing w:after="0"/>
              <w:rPr>
                <w:sz w:val="1"/>
                <w:szCs w:val="1"/>
                <w:color w:val="auto"/>
              </w:rPr>
            </w:pPr>
          </w:p>
        </w:tc>
      </w:tr>
      <w:tr>
        <w:trPr>
          <w:trHeight w:val="157"/>
        </w:trPr>
        <w:tc>
          <w:tcPr>
            <w:tcW w:w="39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Commercial</w:t>
            </w:r>
          </w:p>
        </w:tc>
        <w:tc>
          <w:tcPr>
            <w:tcW w:w="440" w:type="dxa"/>
            <w:vAlign w:val="bottom"/>
            <w:shd w:val="clear" w:color="auto" w:fill="CCEEFF"/>
          </w:tcPr>
          <w:p>
            <w:pPr>
              <w:ind w:left="40"/>
              <w:spacing w:after="0"/>
              <w:rPr>
                <w:sz w:val="20"/>
                <w:szCs w:val="20"/>
                <w:color w:val="auto"/>
              </w:rPr>
            </w:pPr>
            <w:r>
              <w:rPr>
                <w:rFonts w:ascii="Arial" w:cs="Arial" w:eastAsia="Arial" w:hAnsi="Arial"/>
                <w:sz w:val="12"/>
                <w:szCs w:val="12"/>
                <w:color w:val="auto"/>
              </w:rPr>
              <w:t>1.54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1.73</w:t>
            </w:r>
          </w:p>
        </w:tc>
        <w:tc>
          <w:tcPr>
            <w:tcW w:w="2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0.60</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34,606</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288</w:t>
            </w:r>
          </w:p>
        </w:tc>
        <w:tc>
          <w:tcPr>
            <w:tcW w:w="0" w:type="dxa"/>
            <w:vAlign w:val="bottom"/>
          </w:tcPr>
          <w:p>
            <w:pPr>
              <w:spacing w:after="0"/>
              <w:rPr>
                <w:sz w:val="1"/>
                <w:szCs w:val="1"/>
                <w:color w:val="auto"/>
              </w:rPr>
            </w:pPr>
          </w:p>
        </w:tc>
      </w:tr>
      <w:tr>
        <w:trPr>
          <w:trHeight w:val="157"/>
        </w:trPr>
        <w:tc>
          <w:tcPr>
            <w:tcW w:w="3920" w:type="dxa"/>
            <w:vAlign w:val="bottom"/>
            <w:gridSpan w:val="2"/>
          </w:tcPr>
          <w:p>
            <w:pPr>
              <w:ind w:left="160"/>
              <w:spacing w:after="0"/>
              <w:rPr>
                <w:sz w:val="20"/>
                <w:szCs w:val="20"/>
                <w:color w:val="auto"/>
              </w:rPr>
            </w:pPr>
            <w:r>
              <w:rPr>
                <w:rFonts w:ascii="Arial" w:cs="Arial" w:eastAsia="Arial" w:hAnsi="Arial"/>
                <w:sz w:val="12"/>
                <w:szCs w:val="12"/>
                <w:color w:val="auto"/>
              </w:rPr>
              <w:t>Construction</w:t>
            </w:r>
          </w:p>
        </w:tc>
        <w:tc>
          <w:tcPr>
            <w:tcW w:w="440" w:type="dxa"/>
            <w:vAlign w:val="bottom"/>
          </w:tcPr>
          <w:p>
            <w:pPr>
              <w:ind w:left="40"/>
              <w:spacing w:after="0"/>
              <w:rPr>
                <w:sz w:val="20"/>
                <w:szCs w:val="20"/>
                <w:color w:val="auto"/>
              </w:rPr>
            </w:pPr>
            <w:r>
              <w:rPr>
                <w:rFonts w:ascii="Arial" w:cs="Arial" w:eastAsia="Arial" w:hAnsi="Arial"/>
                <w:sz w:val="12"/>
                <w:szCs w:val="12"/>
                <w:color w:val="auto"/>
              </w:rPr>
              <w:t>1.84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ind w:left="400"/>
              <w:spacing w:after="0"/>
              <w:rPr>
                <w:sz w:val="20"/>
                <w:szCs w:val="20"/>
                <w:color w:val="auto"/>
              </w:rPr>
            </w:pPr>
            <w:r>
              <w:rPr>
                <w:rFonts w:ascii="Arial" w:cs="Arial" w:eastAsia="Arial" w:hAnsi="Arial"/>
                <w:sz w:val="12"/>
                <w:szCs w:val="12"/>
                <w:color w:val="auto"/>
              </w:rPr>
              <w:t>2.04</w:t>
            </w:r>
          </w:p>
        </w:tc>
        <w:tc>
          <w:tcPr>
            <w:tcW w:w="22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3.06</w:t>
            </w:r>
          </w:p>
        </w:tc>
        <w:tc>
          <w:tcPr>
            <w:tcW w:w="10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0.84</w:t>
            </w:r>
          </w:p>
        </w:tc>
        <w:tc>
          <w:tcPr>
            <w:tcW w:w="220" w:type="dxa"/>
            <w:vAlign w:val="bottom"/>
          </w:tcPr>
          <w:p>
            <w:pPr>
              <w:spacing w:after="0"/>
              <w:rPr>
                <w:sz w:val="13"/>
                <w:szCs w:val="13"/>
                <w:color w:val="auto"/>
              </w:rPr>
            </w:pP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60</w:t>
            </w:r>
          </w:p>
        </w:tc>
        <w:tc>
          <w:tcPr>
            <w:tcW w:w="80" w:type="dxa"/>
            <w:vAlign w:val="bottom"/>
          </w:tcPr>
          <w:p>
            <w:pPr>
              <w:spacing w:after="0"/>
              <w:rPr>
                <w:sz w:val="13"/>
                <w:szCs w:val="13"/>
                <w:color w:val="auto"/>
              </w:rPr>
            </w:pP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244</w:t>
            </w:r>
          </w:p>
        </w:tc>
        <w:tc>
          <w:tcPr>
            <w:tcW w:w="0" w:type="dxa"/>
            <w:vAlign w:val="bottom"/>
          </w:tcPr>
          <w:p>
            <w:pPr>
              <w:spacing w:after="0"/>
              <w:rPr>
                <w:sz w:val="1"/>
                <w:szCs w:val="1"/>
                <w:color w:val="auto"/>
              </w:rPr>
            </w:pPr>
          </w:p>
        </w:tc>
      </w:tr>
      <w:tr>
        <w:trPr>
          <w:trHeight w:val="157"/>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Commercial</w:t>
            </w:r>
          </w:p>
        </w:tc>
        <w:tc>
          <w:tcPr>
            <w:tcW w:w="440" w:type="dxa"/>
            <w:vAlign w:val="bottom"/>
            <w:shd w:val="clear" w:color="auto" w:fill="CCEEFF"/>
          </w:tcPr>
          <w:p>
            <w:pPr>
              <w:ind w:left="40"/>
              <w:spacing w:after="0"/>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1.54</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0.38</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0.75</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390</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57"/>
        </w:trPr>
        <w:tc>
          <w:tcPr>
            <w:tcW w:w="3920" w:type="dxa"/>
            <w:vAlign w:val="bottom"/>
            <w:gridSpan w:val="2"/>
          </w:tcPr>
          <w:p>
            <w:pPr>
              <w:ind w:left="40"/>
              <w:spacing w:after="0"/>
              <w:rPr>
                <w:sz w:val="20"/>
                <w:szCs w:val="20"/>
                <w:color w:val="auto"/>
              </w:rPr>
            </w:pPr>
            <w:r>
              <w:rPr>
                <w:rFonts w:ascii="Arial" w:cs="Arial" w:eastAsia="Arial" w:hAnsi="Arial"/>
                <w:sz w:val="12"/>
                <w:szCs w:val="12"/>
                <w:color w:val="auto"/>
              </w:rPr>
              <w:t>Credit card</w:t>
            </w:r>
          </w:p>
        </w:tc>
        <w:tc>
          <w:tcPr>
            <w:tcW w:w="440" w:type="dxa"/>
            <w:vAlign w:val="bottom"/>
          </w:tcPr>
          <w:p>
            <w:pPr>
              <w:ind w:left="40"/>
              <w:spacing w:after="0"/>
              <w:rPr>
                <w:sz w:val="20"/>
                <w:szCs w:val="20"/>
                <w:color w:val="auto"/>
              </w:rPr>
            </w:pPr>
            <w:r>
              <w:rPr>
                <w:rFonts w:ascii="Arial" w:cs="Arial" w:eastAsia="Arial" w:hAnsi="Arial"/>
                <w:sz w:val="12"/>
                <w:szCs w:val="12"/>
                <w:color w:val="auto"/>
              </w:rPr>
              <w:t>2.59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ind w:left="400"/>
              <w:spacing w:after="0"/>
              <w:rPr>
                <w:sz w:val="20"/>
                <w:szCs w:val="20"/>
                <w:color w:val="auto"/>
              </w:rPr>
            </w:pPr>
            <w:r>
              <w:rPr>
                <w:rFonts w:ascii="Arial" w:cs="Arial" w:eastAsia="Arial" w:hAnsi="Arial"/>
                <w:sz w:val="12"/>
                <w:szCs w:val="12"/>
                <w:color w:val="auto"/>
              </w:rPr>
              <w:t>2.41</w:t>
            </w:r>
          </w:p>
        </w:tc>
        <w:tc>
          <w:tcPr>
            <w:tcW w:w="22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3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Other consumer</w:t>
            </w:r>
          </w:p>
        </w:tc>
        <w:tc>
          <w:tcPr>
            <w:tcW w:w="7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1.13</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1.28</w:t>
            </w:r>
          </w:p>
        </w:tc>
        <w:tc>
          <w:tcPr>
            <w:tcW w:w="22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3920" w:type="dxa"/>
            <w:vAlign w:val="bottom"/>
            <w:gridSpan w:val="2"/>
          </w:tcPr>
          <w:p>
            <w:pPr>
              <w:ind w:left="200"/>
              <w:spacing w:after="0"/>
              <w:rPr>
                <w:sz w:val="20"/>
                <w:szCs w:val="20"/>
                <w:color w:val="auto"/>
              </w:rPr>
            </w:pPr>
            <w:r>
              <w:rPr>
                <w:rFonts w:ascii="Arial" w:cs="Arial" w:eastAsia="Arial" w:hAnsi="Arial"/>
                <w:sz w:val="12"/>
                <w:szCs w:val="12"/>
                <w:color w:val="auto"/>
              </w:rPr>
              <w:t>Total</w:t>
            </w:r>
          </w:p>
        </w:tc>
        <w:tc>
          <w:tcPr>
            <w:tcW w:w="440" w:type="dxa"/>
            <w:vAlign w:val="bottom"/>
          </w:tcPr>
          <w:p>
            <w:pPr>
              <w:ind w:left="40"/>
              <w:spacing w:after="0"/>
              <w:rPr>
                <w:sz w:val="20"/>
                <w:szCs w:val="20"/>
                <w:color w:val="auto"/>
              </w:rPr>
            </w:pPr>
            <w:r>
              <w:rPr>
                <w:rFonts w:ascii="Arial" w:cs="Arial" w:eastAsia="Arial" w:hAnsi="Arial"/>
                <w:sz w:val="12"/>
                <w:szCs w:val="12"/>
                <w:color w:val="auto"/>
              </w:rPr>
              <w:t>1.65 %</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ind w:left="400"/>
              <w:spacing w:after="0"/>
              <w:rPr>
                <w:sz w:val="20"/>
                <w:szCs w:val="20"/>
                <w:color w:val="auto"/>
              </w:rPr>
            </w:pPr>
            <w:r>
              <w:rPr>
                <w:rFonts w:ascii="Arial" w:cs="Arial" w:eastAsia="Arial" w:hAnsi="Arial"/>
                <w:sz w:val="12"/>
                <w:szCs w:val="12"/>
                <w:color w:val="auto"/>
                <w:w w:val="96"/>
              </w:rPr>
              <w:t>1.78 %</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0.70 %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0.61 %</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220 %</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254 %</w:t>
            </w:r>
          </w:p>
        </w:tc>
        <w:tc>
          <w:tcPr>
            <w:tcW w:w="0" w:type="dxa"/>
            <w:vAlign w:val="bottom"/>
          </w:tcPr>
          <w:p>
            <w:pPr>
              <w:spacing w:after="0"/>
              <w:rPr>
                <w:sz w:val="1"/>
                <w:szCs w:val="1"/>
                <w:color w:val="auto"/>
              </w:rPr>
            </w:pPr>
          </w:p>
        </w:tc>
      </w:tr>
      <w:tr>
        <w:trPr>
          <w:trHeight w:val="159"/>
        </w:trPr>
        <w:tc>
          <w:tcPr>
            <w:tcW w:w="3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_____________</w:t>
      </w:r>
    </w:p>
    <w:p>
      <w:pPr>
        <w:ind w:left="280" w:hanging="270"/>
        <w:spacing w:after="0" w:line="202" w:lineRule="auto"/>
        <w:tabs>
          <w:tab w:leader="none" w:pos="28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Allowance calculation excludes SBA-PPP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44" w:name="page45"/>
    <w:bookmarkEnd w:id="44"/>
    <w:p>
      <w:pPr>
        <w:ind w:left="280"/>
        <w:spacing w:after="0"/>
        <w:rPr>
          <w:sz w:val="20"/>
          <w:szCs w:val="20"/>
          <w:color w:val="auto"/>
        </w:rPr>
      </w:pPr>
      <w:r>
        <w:rPr>
          <w:rFonts w:ascii="Arial" w:cs="Arial" w:eastAsia="Arial" w:hAnsi="Arial"/>
          <w:sz w:val="15"/>
          <w:szCs w:val="15"/>
          <w:color w:val="auto"/>
        </w:rPr>
        <w:t>The following table presents a summary of the net charge-off (recovery) of loans as a percentage of average loans for the periods indicated:</w:t>
      </w:r>
    </w:p>
    <w:p>
      <w:pPr>
        <w:spacing w:after="0" w:line="31"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Charge-offs</w:t>
            </w:r>
          </w:p>
        </w:tc>
        <w:tc>
          <w:tcPr>
            <w:tcW w:w="3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60"/>
              <w:spacing w:after="0"/>
              <w:rPr>
                <w:sz w:val="20"/>
                <w:szCs w:val="20"/>
                <w:color w:val="auto"/>
              </w:rPr>
            </w:pPr>
            <w:r>
              <w:rPr>
                <w:rFonts w:ascii="Arial" w:cs="Arial" w:eastAsia="Arial" w:hAnsi="Arial"/>
                <w:sz w:val="12"/>
                <w:szCs w:val="12"/>
                <w:color w:val="auto"/>
              </w:rPr>
              <w:t>Average Loans</w:t>
            </w:r>
          </w:p>
        </w:tc>
        <w:tc>
          <w:tcPr>
            <w:tcW w:w="172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Percent of average</w:t>
            </w:r>
          </w:p>
        </w:tc>
        <w:tc>
          <w:tcPr>
            <w:tcW w:w="3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Net Charge-offs</w:t>
            </w:r>
          </w:p>
        </w:tc>
        <w:tc>
          <w:tcPr>
            <w:tcW w:w="4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60"/>
              <w:spacing w:after="0"/>
              <w:rPr>
                <w:sz w:val="20"/>
                <w:szCs w:val="20"/>
                <w:color w:val="auto"/>
              </w:rPr>
            </w:pPr>
            <w:r>
              <w:rPr>
                <w:rFonts w:ascii="Arial" w:cs="Arial" w:eastAsia="Arial" w:hAnsi="Arial"/>
                <w:sz w:val="12"/>
                <w:szCs w:val="12"/>
                <w:color w:val="auto"/>
              </w:rPr>
              <w:t>Average Loans</w:t>
            </w:r>
          </w:p>
        </w:tc>
        <w:tc>
          <w:tcPr>
            <w:tcW w:w="15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Percent of average</w:t>
            </w: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ind w:left="300"/>
              <w:spacing w:after="0"/>
              <w:rPr>
                <w:sz w:val="20"/>
                <w:szCs w:val="20"/>
                <w:color w:val="auto"/>
              </w:rPr>
            </w:pPr>
            <w:r>
              <w:rPr>
                <w:rFonts w:ascii="Arial" w:cs="Arial" w:eastAsia="Arial" w:hAnsi="Arial"/>
                <w:sz w:val="9"/>
                <w:szCs w:val="9"/>
                <w:i w:val="1"/>
                <w:iCs w:val="1"/>
                <w:color w:val="auto"/>
              </w:rPr>
              <w:t>(in thousands)</w:t>
            </w:r>
          </w:p>
        </w:tc>
        <w:tc>
          <w:tcPr>
            <w:tcW w:w="1440" w:type="dxa"/>
            <w:vAlign w:val="bottom"/>
            <w:tcBorders>
              <w:bottom w:val="single" w:sz="8" w:color="auto"/>
            </w:tcBorders>
            <w:gridSpan w:val="3"/>
            <w:shd w:val="clear" w:color="auto" w:fill="CCEEFF"/>
          </w:tcPr>
          <w:p>
            <w:pPr>
              <w:ind w:left="340"/>
              <w:spacing w:after="0"/>
              <w:rPr>
                <w:sz w:val="20"/>
                <w:szCs w:val="20"/>
                <w:color w:val="auto"/>
              </w:rPr>
            </w:pPr>
            <w:r>
              <w:rPr>
                <w:rFonts w:ascii="Arial" w:cs="Arial" w:eastAsia="Arial" w:hAnsi="Arial"/>
                <w:sz w:val="12"/>
                <w:szCs w:val="12"/>
                <w:color w:val="auto"/>
              </w:rPr>
              <w:t>(Recoveries)</w:t>
            </w:r>
          </w:p>
        </w:tc>
        <w:tc>
          <w:tcPr>
            <w:tcW w:w="3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gridSpan w:val="2"/>
            <w:vMerge w:val="continue"/>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portfolio loans</w:t>
            </w:r>
          </w:p>
        </w:tc>
        <w:tc>
          <w:tcPr>
            <w:tcW w:w="2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2"/>
            <w:vMerge w:val="continue"/>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gridSpan w:val="2"/>
            <w:vMerge w:val="continue"/>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portfolio loans</w:t>
            </w:r>
          </w:p>
        </w:tc>
        <w:tc>
          <w:tcPr>
            <w:tcW w:w="2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Real estate:</w:t>
            </w:r>
          </w:p>
        </w:tc>
        <w:tc>
          <w:tcPr>
            <w:tcW w:w="3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440"/>
              <w:spacing w:after="0"/>
              <w:rPr>
                <w:sz w:val="20"/>
                <w:szCs w:val="20"/>
                <w:color w:val="auto"/>
              </w:rPr>
            </w:pPr>
            <w:r>
              <w:rPr>
                <w:rFonts w:ascii="Arial" w:cs="Arial" w:eastAsia="Arial" w:hAnsi="Arial"/>
                <w:sz w:val="12"/>
                <w:szCs w:val="12"/>
                <w:color w:val="auto"/>
              </w:rPr>
              <w:t>Residential</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421,856</w:t>
            </w:r>
          </w:p>
        </w:tc>
        <w:tc>
          <w:tcPr>
            <w:tcW w:w="80" w:type="dxa"/>
            <w:vAlign w:val="bottom"/>
          </w:tcPr>
          <w:p>
            <w:pPr>
              <w:spacing w:after="0"/>
              <w:rPr>
                <w:sz w:val="13"/>
                <w:szCs w:val="13"/>
                <w:color w:val="auto"/>
              </w:rPr>
            </w:pPr>
          </w:p>
        </w:tc>
        <w:tc>
          <w:tcPr>
            <w:tcW w:w="12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426,868</w:t>
            </w:r>
          </w:p>
        </w:tc>
        <w:tc>
          <w:tcPr>
            <w:tcW w:w="8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1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Commercial</w:t>
            </w: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456,972</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0.04</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366,490</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440"/>
              <w:spacing w:after="0"/>
              <w:rPr>
                <w:sz w:val="20"/>
                <w:szCs w:val="20"/>
                <w:color w:val="auto"/>
              </w:rPr>
            </w:pPr>
            <w:r>
              <w:rPr>
                <w:rFonts w:ascii="Arial" w:cs="Arial" w:eastAsia="Arial" w:hAnsi="Arial"/>
                <w:sz w:val="12"/>
                <w:szCs w:val="12"/>
                <w:color w:val="auto"/>
              </w:rPr>
              <w:t>Construction</w:t>
            </w:r>
          </w:p>
        </w:tc>
        <w:tc>
          <w:tcPr>
            <w:tcW w:w="3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233,964</w:t>
            </w:r>
          </w:p>
        </w:tc>
        <w:tc>
          <w:tcPr>
            <w:tcW w:w="80" w:type="dxa"/>
            <w:vAlign w:val="bottom"/>
          </w:tcPr>
          <w:p>
            <w:pPr>
              <w:spacing w:after="0"/>
              <w:rPr>
                <w:sz w:val="13"/>
                <w:szCs w:val="13"/>
                <w:color w:val="auto"/>
              </w:rPr>
            </w:pPr>
          </w:p>
        </w:tc>
        <w:tc>
          <w:tcPr>
            <w:tcW w:w="12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218,787</w:t>
            </w:r>
          </w:p>
        </w:tc>
        <w:tc>
          <w:tcPr>
            <w:tcW w:w="8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Arial" w:cs="Arial" w:eastAsia="Arial" w:hAnsi="Arial"/>
                <w:sz w:val="12"/>
                <w:szCs w:val="12"/>
                <w:color w:val="auto"/>
              </w:rPr>
              <w:t>0.13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Commercial</w:t>
            </w: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143,434</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0.02</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139,432</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0.17</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300"/>
              <w:spacing w:after="0"/>
              <w:rPr>
                <w:sz w:val="20"/>
                <w:szCs w:val="20"/>
                <w:color w:val="auto"/>
              </w:rPr>
            </w:pPr>
            <w:r>
              <w:rPr>
                <w:rFonts w:ascii="Arial" w:cs="Arial" w:eastAsia="Arial" w:hAnsi="Arial"/>
                <w:sz w:val="12"/>
                <w:szCs w:val="12"/>
                <w:color w:val="auto"/>
              </w:rPr>
              <w:t>Credit card</w:t>
            </w:r>
          </w:p>
        </w:tc>
        <w:tc>
          <w:tcPr>
            <w:tcW w:w="3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1,419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112,313</w:t>
            </w:r>
          </w:p>
        </w:tc>
        <w:tc>
          <w:tcPr>
            <w:tcW w:w="80" w:type="dxa"/>
            <w:vAlign w:val="bottom"/>
          </w:tcPr>
          <w:p>
            <w:pPr>
              <w:spacing w:after="0"/>
              <w:rPr>
                <w:sz w:val="13"/>
                <w:szCs w:val="13"/>
                <w:color w:val="auto"/>
              </w:rPr>
            </w:pPr>
          </w:p>
        </w:tc>
        <w:tc>
          <w:tcPr>
            <w:tcW w:w="1260" w:type="dxa"/>
            <w:vAlign w:val="bottom"/>
          </w:tcPr>
          <w:p>
            <w:pPr>
              <w:jc w:val="right"/>
              <w:ind w:right="120"/>
              <w:spacing w:after="0"/>
              <w:rPr>
                <w:sz w:val="20"/>
                <w:szCs w:val="20"/>
                <w:color w:val="auto"/>
              </w:rPr>
            </w:pPr>
            <w:r>
              <w:rPr>
                <w:rFonts w:ascii="Arial" w:cs="Arial" w:eastAsia="Arial" w:hAnsi="Arial"/>
                <w:sz w:val="12"/>
                <w:szCs w:val="12"/>
                <w:color w:val="auto"/>
              </w:rPr>
              <w:t>1.26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587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60,958</w:t>
            </w:r>
          </w:p>
        </w:tc>
        <w:tc>
          <w:tcPr>
            <w:tcW w:w="8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Arial" w:cs="Arial" w:eastAsia="Arial" w:hAnsi="Arial"/>
                <w:sz w:val="12"/>
                <w:szCs w:val="12"/>
                <w:color w:val="auto"/>
              </w:rPr>
              <w:t>0.96</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Other consumer</w:t>
            </w:r>
          </w:p>
        </w:tc>
        <w:tc>
          <w:tcPr>
            <w:tcW w:w="3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2,449</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2,512</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CCEEFF"/>
            </w:tcBorders>
          </w:tcPr>
          <w:p>
            <w:pPr>
              <w:ind w:left="480"/>
              <w:spacing w:after="0"/>
              <w:rPr>
                <w:sz w:val="20"/>
                <w:szCs w:val="20"/>
                <w:color w:val="auto"/>
              </w:rPr>
            </w:pPr>
            <w:r>
              <w:rPr>
                <w:rFonts w:ascii="Arial" w:cs="Arial" w:eastAsia="Arial" w:hAnsi="Arial"/>
                <w:sz w:val="12"/>
                <w:szCs w:val="12"/>
                <w:color w:val="auto"/>
              </w:rPr>
              <w:t>Total</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1,612</w:t>
            </w:r>
          </w:p>
        </w:tc>
        <w:tc>
          <w:tcPr>
            <w:tcW w:w="1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1,370,988</w:t>
            </w:r>
          </w:p>
        </w:tc>
        <w:tc>
          <w:tcPr>
            <w:tcW w:w="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rPr>
              <w:t>0.12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1,109</w:t>
            </w:r>
          </w:p>
        </w:tc>
        <w:tc>
          <w:tcPr>
            <w:tcW w:w="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1,215,047</w:t>
            </w:r>
          </w:p>
        </w:tc>
        <w:tc>
          <w:tcPr>
            <w:tcW w:w="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rPr>
              <w:t>0.09</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 allowance for loan losses at December 31, 2021 included specific reserves of $218 thousand set aside for impaired loans. The allowance for loan losses at December 31, 2020 included specific reserves of $253 thousand set aside for impaired loans. Total charge-offs for the years ended December 31, 2021 and 2020 were primarily due to credit card charge-offs resulting from growth in our credit card portfolio and certain charges in excess of credit limits.</w:t>
      </w:r>
    </w:p>
    <w:p>
      <w:pPr>
        <w:spacing w:after="0" w:line="17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As the loan portfolio and allowance for loan losses review processes continue to evolve, there may be changes to elements of the allowance and this may have an effect on the overall level of the allowance maintained. Historically, the Bank has enjoyed a high quality loan portfolio with relatively low levels of net charge-offs and low delinquency rates. The maintenance of a high quality portfolio will continue to be a high priority.</w:t>
      </w:r>
    </w:p>
    <w:p>
      <w:pPr>
        <w:spacing w:after="0" w:line="171"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spacing w:after="0" w:line="171" w:lineRule="exact"/>
        <w:rPr>
          <w:sz w:val="20"/>
          <w:szCs w:val="20"/>
          <w:color w:val="auto"/>
        </w:rPr>
      </w:pPr>
    </w:p>
    <w:p>
      <w:pPr>
        <w:jc w:val="both"/>
        <w:ind w:right="20" w:firstLine="268"/>
        <w:spacing w:after="0" w:line="293" w:lineRule="auto"/>
        <w:rPr>
          <w:sz w:val="20"/>
          <w:szCs w:val="20"/>
          <w:color w:val="auto"/>
        </w:rPr>
      </w:pPr>
      <w:r>
        <w:rPr>
          <w:rFonts w:ascii="Arial" w:cs="Arial" w:eastAsia="Arial" w:hAnsi="Arial"/>
          <w:sz w:val="14"/>
          <w:szCs w:val="14"/>
          <w:color w:val="auto"/>
        </w:rPr>
        <w:t>Although we believe we have established our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144" w:lineRule="exact"/>
        <w:rPr>
          <w:sz w:val="20"/>
          <w:szCs w:val="20"/>
          <w:color w:val="auto"/>
        </w:rPr>
      </w:pPr>
    </w:p>
    <w:p>
      <w:pPr>
        <w:jc w:val="both"/>
        <w:ind w:right="20" w:firstLine="268"/>
        <w:spacing w:after="0" w:line="258" w:lineRule="auto"/>
        <w:rPr>
          <w:sz w:val="20"/>
          <w:szCs w:val="20"/>
          <w:color w:val="auto"/>
        </w:rPr>
      </w:pPr>
      <w:r>
        <w:rPr>
          <w:rFonts w:ascii="Arial" w:cs="Arial" w:eastAsia="Arial" w:hAnsi="Arial"/>
          <w:sz w:val="15"/>
          <w:szCs w:val="15"/>
          <w:color w:val="auto"/>
        </w:rPr>
        <w:t>The following table sets forth activity in the allowance for loan losses for the past two years for the categories shown below as of the dates indicated. The total allowance is available to absorb losses from any loan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56"/>
        </w:trPr>
        <w:tc>
          <w:tcPr>
            <w:tcW w:w="38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December 31,</w:t>
            </w:r>
          </w:p>
        </w:tc>
        <w:tc>
          <w:tcPr>
            <w:tcW w:w="1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48"/>
        </w:trPr>
        <w:tc>
          <w:tcPr>
            <w:tcW w:w="38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2021</w:t>
            </w:r>
          </w:p>
        </w:tc>
        <w:tc>
          <w:tcPr>
            <w:tcW w:w="1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1640"/>
              <w:spacing w:after="0"/>
              <w:rPr>
                <w:sz w:val="20"/>
                <w:szCs w:val="20"/>
                <w:color w:val="auto"/>
              </w:rPr>
            </w:pPr>
            <w:r>
              <w:rPr>
                <w:rFonts w:ascii="Arial" w:cs="Arial" w:eastAsia="Arial" w:hAnsi="Arial"/>
                <w:sz w:val="12"/>
                <w:szCs w:val="12"/>
                <w:b w:val="1"/>
                <w:bCs w:val="1"/>
                <w:color w:val="auto"/>
              </w:rPr>
              <w:t>2020</w:t>
            </w:r>
          </w:p>
        </w:tc>
      </w:tr>
      <w:tr>
        <w:trPr>
          <w:trHeight w:val="148"/>
        </w:trPr>
        <w:tc>
          <w:tcPr>
            <w:tcW w:w="384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360" w:type="dxa"/>
            <w:vAlign w:val="bottom"/>
          </w:tcPr>
          <w:p>
            <w:pPr>
              <w:spacing w:after="0"/>
              <w:rPr>
                <w:sz w:val="12"/>
                <w:szCs w:val="12"/>
                <w:color w:val="auto"/>
              </w:rPr>
            </w:pPr>
          </w:p>
        </w:tc>
        <w:tc>
          <w:tcPr>
            <w:tcW w:w="1860" w:type="dxa"/>
            <w:vAlign w:val="bottom"/>
            <w:gridSpan w:val="3"/>
          </w:tcPr>
          <w:p>
            <w:pPr>
              <w:jc w:val="right"/>
              <w:ind w:right="1140"/>
              <w:spacing w:after="0"/>
              <w:rPr>
                <w:sz w:val="20"/>
                <w:szCs w:val="20"/>
                <w:color w:val="auto"/>
              </w:rPr>
            </w:pPr>
            <w:r>
              <w:rPr>
                <w:rFonts w:ascii="Arial" w:cs="Arial" w:eastAsia="Arial" w:hAnsi="Arial"/>
                <w:sz w:val="12"/>
                <w:szCs w:val="12"/>
                <w:b w:val="1"/>
                <w:bCs w:val="1"/>
                <w:color w:val="auto"/>
              </w:rPr>
              <w:t>Amount</w:t>
            </w:r>
          </w:p>
        </w:tc>
        <w:tc>
          <w:tcPr>
            <w:tcW w:w="1540" w:type="dxa"/>
            <w:vAlign w:val="bottom"/>
            <w:gridSpan w:val="2"/>
          </w:tcPr>
          <w:p>
            <w:pPr>
              <w:ind w:left="240"/>
              <w:spacing w:after="0" w:line="148"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15"/>
                <w:szCs w:val="15"/>
                <w:b w:val="1"/>
                <w:bCs w:val="1"/>
                <w:color w:val="auto"/>
                <w:vertAlign w:val="superscript"/>
              </w:rPr>
              <w:t>(1)</w:t>
            </w:r>
          </w:p>
        </w:tc>
        <w:tc>
          <w:tcPr>
            <w:tcW w:w="480" w:type="dxa"/>
            <w:vAlign w:val="bottom"/>
          </w:tcPr>
          <w:p>
            <w:pPr>
              <w:spacing w:after="0"/>
              <w:rPr>
                <w:sz w:val="12"/>
                <w:szCs w:val="12"/>
                <w:color w:val="auto"/>
              </w:rPr>
            </w:pPr>
          </w:p>
        </w:tc>
        <w:tc>
          <w:tcPr>
            <w:tcW w:w="1200" w:type="dxa"/>
            <w:vAlign w:val="bottom"/>
          </w:tcPr>
          <w:p>
            <w:pPr>
              <w:jc w:val="right"/>
              <w:ind w:right="5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right"/>
              <w:ind w:right="580"/>
              <w:spacing w:after="0" w:line="148"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15"/>
                <w:szCs w:val="15"/>
                <w:b w:val="1"/>
                <w:bCs w:val="1"/>
                <w:color w:val="auto"/>
                <w:vertAlign w:val="superscript"/>
              </w:rPr>
              <w:t>(1)</w:t>
            </w:r>
          </w:p>
        </w:tc>
      </w:tr>
      <w:tr>
        <w:trPr>
          <w:trHeight w:val="137"/>
        </w:trPr>
        <w:tc>
          <w:tcPr>
            <w:tcW w:w="384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color w:val="auto"/>
              </w:rPr>
              <w:t>Real estate:</w:t>
            </w:r>
          </w:p>
        </w:tc>
        <w:tc>
          <w:tcPr>
            <w:tcW w:w="36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r>
      <w:tr>
        <w:trPr>
          <w:trHeight w:val="157"/>
        </w:trPr>
        <w:tc>
          <w:tcPr>
            <w:tcW w:w="3840" w:type="dxa"/>
            <w:vAlign w:val="bottom"/>
          </w:tcPr>
          <w:p>
            <w:pPr>
              <w:ind w:left="160"/>
              <w:spacing w:after="0"/>
              <w:rPr>
                <w:sz w:val="20"/>
                <w:szCs w:val="20"/>
                <w:color w:val="auto"/>
              </w:rPr>
            </w:pPr>
            <w:r>
              <w:rPr>
                <w:rFonts w:ascii="Arial" w:cs="Arial" w:eastAsia="Arial" w:hAnsi="Arial"/>
                <w:sz w:val="12"/>
                <w:szCs w:val="12"/>
                <w:color w:val="auto"/>
              </w:rPr>
              <w:t>Residential</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5,612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22 %</w:t>
            </w:r>
          </w:p>
        </w:tc>
        <w:tc>
          <w:tcPr>
            <w:tcW w:w="12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7,153</w:t>
            </w:r>
          </w:p>
        </w:tc>
        <w:tc>
          <w:tcPr>
            <w:tcW w:w="2000" w:type="dxa"/>
            <w:vAlign w:val="bottom"/>
            <w:gridSpan w:val="3"/>
          </w:tcPr>
          <w:p>
            <w:pPr>
              <w:jc w:val="right"/>
              <w:spacing w:after="0"/>
              <w:rPr>
                <w:sz w:val="20"/>
                <w:szCs w:val="20"/>
                <w:color w:val="auto"/>
              </w:rPr>
            </w:pPr>
            <w:r>
              <w:rPr>
                <w:rFonts w:ascii="Arial" w:cs="Arial" w:eastAsia="Arial" w:hAnsi="Arial"/>
                <w:sz w:val="12"/>
                <w:szCs w:val="12"/>
                <w:color w:val="auto"/>
              </w:rPr>
              <w:t>31 %</w:t>
            </w:r>
          </w:p>
        </w:tc>
      </w:tr>
      <w:tr>
        <w:trPr>
          <w:trHeight w:val="157"/>
        </w:trPr>
        <w:tc>
          <w:tcPr>
            <w:tcW w:w="38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Commercial</w:t>
            </w:r>
          </w:p>
        </w:tc>
        <w:tc>
          <w:tcPr>
            <w:tcW w:w="3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8,566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6,786</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29</w:t>
            </w:r>
          </w:p>
        </w:tc>
      </w:tr>
      <w:tr>
        <w:trPr>
          <w:trHeight w:val="157"/>
        </w:trPr>
        <w:tc>
          <w:tcPr>
            <w:tcW w:w="3840" w:type="dxa"/>
            <w:vAlign w:val="bottom"/>
          </w:tcPr>
          <w:p>
            <w:pPr>
              <w:ind w:left="160"/>
              <w:spacing w:after="0"/>
              <w:rPr>
                <w:sz w:val="20"/>
                <w:szCs w:val="20"/>
                <w:color w:val="auto"/>
              </w:rPr>
            </w:pPr>
            <w:r>
              <w:rPr>
                <w:rFonts w:ascii="Arial" w:cs="Arial" w:eastAsia="Arial" w:hAnsi="Arial"/>
                <w:sz w:val="12"/>
                <w:szCs w:val="12"/>
                <w:color w:val="auto"/>
              </w:rPr>
              <w:t>Construction</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4,699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4,595</w:t>
            </w:r>
          </w:p>
        </w:tc>
        <w:tc>
          <w:tcPr>
            <w:tcW w:w="2000" w:type="dxa"/>
            <w:vAlign w:val="bottom"/>
            <w:gridSpan w:val="3"/>
          </w:tcPr>
          <w:p>
            <w:pPr>
              <w:jc w:val="right"/>
              <w:ind w:right="100"/>
              <w:spacing w:after="0"/>
              <w:rPr>
                <w:sz w:val="20"/>
                <w:szCs w:val="20"/>
                <w:color w:val="auto"/>
              </w:rPr>
            </w:pPr>
            <w:r>
              <w:rPr>
                <w:rFonts w:ascii="Arial" w:cs="Arial" w:eastAsia="Arial" w:hAnsi="Arial"/>
                <w:sz w:val="12"/>
                <w:szCs w:val="12"/>
                <w:color w:val="auto"/>
              </w:rPr>
              <w:t>20</w:t>
            </w:r>
          </w:p>
        </w:tc>
      </w:tr>
      <w:tr>
        <w:trPr>
          <w:trHeight w:val="157"/>
        </w:trPr>
        <w:tc>
          <w:tcPr>
            <w:tcW w:w="3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w:t>
            </w:r>
          </w:p>
        </w:tc>
        <w:tc>
          <w:tcPr>
            <w:tcW w:w="3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2,637</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2,417</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r>
      <w:tr>
        <w:trPr>
          <w:trHeight w:val="157"/>
        </w:trPr>
        <w:tc>
          <w:tcPr>
            <w:tcW w:w="3840" w:type="dxa"/>
            <w:vAlign w:val="bottom"/>
          </w:tcPr>
          <w:p>
            <w:pPr>
              <w:ind w:left="20"/>
              <w:spacing w:after="0"/>
              <w:rPr>
                <w:sz w:val="20"/>
                <w:szCs w:val="20"/>
                <w:color w:val="auto"/>
              </w:rPr>
            </w:pPr>
            <w:r>
              <w:rPr>
                <w:rFonts w:ascii="Arial" w:cs="Arial" w:eastAsia="Arial" w:hAnsi="Arial"/>
                <w:sz w:val="12"/>
                <w:szCs w:val="12"/>
                <w:color w:val="auto"/>
              </w:rPr>
              <w:t>Credit card</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3,655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2,462</w:t>
            </w:r>
          </w:p>
        </w:tc>
        <w:tc>
          <w:tcPr>
            <w:tcW w:w="2000" w:type="dxa"/>
            <w:vAlign w:val="bottom"/>
            <w:gridSpan w:val="3"/>
          </w:tcPr>
          <w:p>
            <w:pPr>
              <w:jc w:val="right"/>
              <w:ind w:right="100"/>
              <w:spacing w:after="0"/>
              <w:rPr>
                <w:sz w:val="20"/>
                <w:szCs w:val="20"/>
                <w:color w:val="auto"/>
              </w:rPr>
            </w:pPr>
            <w:r>
              <w:rPr>
                <w:rFonts w:ascii="Arial" w:cs="Arial" w:eastAsia="Arial" w:hAnsi="Arial"/>
                <w:sz w:val="12"/>
                <w:szCs w:val="12"/>
                <w:color w:val="auto"/>
              </w:rPr>
              <w:t>10</w:t>
            </w:r>
          </w:p>
        </w:tc>
      </w:tr>
      <w:tr>
        <w:trPr>
          <w:trHeight w:val="157"/>
        </w:trPr>
        <w:tc>
          <w:tcPr>
            <w:tcW w:w="3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consumer</w:t>
            </w:r>
          </w:p>
        </w:tc>
        <w:tc>
          <w:tcPr>
            <w:tcW w:w="3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8"/>
        </w:trPr>
        <w:tc>
          <w:tcPr>
            <w:tcW w:w="3840" w:type="dxa"/>
            <w:vAlign w:val="bottom"/>
          </w:tcPr>
          <w:p>
            <w:pPr>
              <w:ind w:left="160"/>
              <w:spacing w:after="0"/>
              <w:rPr>
                <w:sz w:val="20"/>
                <w:szCs w:val="20"/>
                <w:color w:val="auto"/>
              </w:rPr>
            </w:pPr>
            <w:r>
              <w:rPr>
                <w:rFonts w:ascii="Arial" w:cs="Arial" w:eastAsia="Arial" w:hAnsi="Arial"/>
                <w:sz w:val="12"/>
                <w:szCs w:val="12"/>
                <w:color w:val="auto"/>
              </w:rPr>
              <w:t>Total allowance for loan losses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25,181</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Pr>
          <w:p>
            <w:pPr>
              <w:spacing w:after="0"/>
              <w:rPr>
                <w:sz w:val="12"/>
                <w:szCs w:val="12"/>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23,434</w:t>
            </w:r>
          </w:p>
        </w:tc>
        <w:tc>
          <w:tcPr>
            <w:tcW w:w="2000" w:type="dxa"/>
            <w:vAlign w:val="bottom"/>
            <w:gridSpan w:val="3"/>
          </w:tcPr>
          <w:p>
            <w:pPr>
              <w:jc w:val="right"/>
              <w:spacing w:after="0"/>
              <w:rPr>
                <w:sz w:val="20"/>
                <w:szCs w:val="20"/>
                <w:color w:val="auto"/>
              </w:rPr>
            </w:pPr>
            <w:r>
              <w:rPr>
                <w:rFonts w:ascii="Arial" w:cs="Arial" w:eastAsia="Arial" w:hAnsi="Arial"/>
                <w:sz w:val="12"/>
                <w:szCs w:val="12"/>
                <w:color w:val="auto"/>
              </w:rPr>
              <w:t>100 %</w:t>
            </w:r>
          </w:p>
        </w:tc>
      </w:tr>
      <w:tr>
        <w:trPr>
          <w:trHeight w:val="20"/>
        </w:trPr>
        <w:tc>
          <w:tcPr>
            <w:tcW w:w="3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ind w:left="180" w:hanging="170"/>
        <w:spacing w:after="0" w:line="202" w:lineRule="auto"/>
        <w:tabs>
          <w:tab w:leader="none" w:pos="18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Loan category as a percentage of total portfolio loans which excludes SBA-PPP loans.</w:t>
      </w: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Total Liabilities</w:t>
      </w:r>
    </w:p>
    <w:p>
      <w:pPr>
        <w:spacing w:after="0" w:line="202" w:lineRule="exact"/>
        <w:rPr>
          <w:sz w:val="20"/>
          <w:szCs w:val="20"/>
          <w:color w:val="auto"/>
        </w:rPr>
      </w:pPr>
    </w:p>
    <w:p>
      <w:pPr>
        <w:jc w:val="both"/>
        <w:ind w:right="120" w:firstLine="268"/>
        <w:spacing w:after="0" w:line="258" w:lineRule="auto"/>
        <w:rPr>
          <w:sz w:val="20"/>
          <w:szCs w:val="20"/>
          <w:color w:val="auto"/>
        </w:rPr>
      </w:pPr>
      <w:r>
        <w:rPr>
          <w:rFonts w:ascii="Arial" w:cs="Arial" w:eastAsia="Arial" w:hAnsi="Arial"/>
          <w:sz w:val="15"/>
          <w:szCs w:val="15"/>
          <w:color w:val="auto"/>
        </w:rPr>
        <w:t>Total liabilities at December 31, 2021 saw an increase from its December 31, 2020 balance due to growth in the deposit portfolio. Offsetting this increase were decreases in borrowed funds as well as other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Deposits</w:t>
      </w:r>
    </w:p>
    <w:p>
      <w:pPr>
        <w:spacing w:after="0" w:line="202" w:lineRule="exact"/>
        <w:rPr>
          <w:sz w:val="20"/>
          <w:szCs w:val="20"/>
          <w:color w:val="auto"/>
        </w:rPr>
      </w:pPr>
    </w:p>
    <w:p>
      <w:pPr>
        <w:jc w:val="both"/>
        <w:ind w:right="120" w:firstLine="268"/>
        <w:spacing w:after="0" w:line="250" w:lineRule="auto"/>
        <w:rPr>
          <w:sz w:val="20"/>
          <w:szCs w:val="20"/>
          <w:color w:val="auto"/>
        </w:rPr>
      </w:pPr>
      <w:r>
        <w:rPr>
          <w:rFonts w:ascii="Arial" w:cs="Arial" w:eastAsia="Arial" w:hAnsi="Arial"/>
          <w:sz w:val="15"/>
          <w:szCs w:val="15"/>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The Company continues to execute on its strategic initiative to improve the deposit portfolio mix by reducing reliance on wholesale time deposits. At December 31, 2021, the Company had no balances pertaining to wholesale time deposits compared to $107.7 million at December 31, 2020. Our credit card customers are also a significant source of low cost deposits. As of December 31, 2021 and 2020, our credit card customers accounted for $229.5 million and $192.5 million, or 29.1% and 31.6%, respectively, of our total noninterest bearing deposit balances.</w:t>
      </w:r>
    </w:p>
    <w:p>
      <w:pPr>
        <w:spacing w:after="0" w:line="200" w:lineRule="exact"/>
        <w:rPr>
          <w:sz w:val="20"/>
          <w:szCs w:val="20"/>
          <w:color w:val="auto"/>
        </w:rPr>
      </w:pPr>
    </w:p>
    <w:p>
      <w:pPr>
        <w:spacing w:after="0" w:line="3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average balances and average rates paid on deposits for the periods indicated:</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42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48"/>
        </w:trPr>
        <w:tc>
          <w:tcPr>
            <w:tcW w:w="4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right"/>
              <w:ind w:right="1080"/>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ind w:right="1200"/>
              <w:spacing w:after="0"/>
              <w:rPr>
                <w:sz w:val="20"/>
                <w:szCs w:val="20"/>
                <w:color w:val="auto"/>
              </w:rPr>
            </w:pPr>
            <w:r>
              <w:rPr>
                <w:rFonts w:ascii="Arial" w:cs="Arial" w:eastAsia="Arial" w:hAnsi="Arial"/>
                <w:sz w:val="12"/>
                <w:szCs w:val="12"/>
                <w:b w:val="1"/>
                <w:bCs w:val="1"/>
                <w:color w:val="auto"/>
              </w:rPr>
              <w:t>2020</w:t>
            </w:r>
          </w:p>
        </w:tc>
      </w:tr>
      <w:tr>
        <w:trPr>
          <w:trHeight w:val="114"/>
        </w:trPr>
        <w:tc>
          <w:tcPr>
            <w:tcW w:w="4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jc w:val="right"/>
              <w:ind w:right="400"/>
              <w:spacing w:after="0" w:line="114"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9"/>
                <w:szCs w:val="9"/>
                <w:color w:val="auto"/>
              </w:rPr>
            </w:pPr>
          </w:p>
        </w:tc>
        <w:tc>
          <w:tcPr>
            <w:tcW w:w="1360" w:type="dxa"/>
            <w:vAlign w:val="bottom"/>
          </w:tcPr>
          <w:p>
            <w:pPr>
              <w:jc w:val="right"/>
              <w:ind w:right="100"/>
              <w:spacing w:after="0" w:line="114" w:lineRule="exact"/>
              <w:rPr>
                <w:sz w:val="20"/>
                <w:szCs w:val="20"/>
                <w:color w:val="auto"/>
              </w:rPr>
            </w:pPr>
            <w:r>
              <w:rPr>
                <w:rFonts w:ascii="Arial" w:cs="Arial" w:eastAsia="Arial" w:hAnsi="Arial"/>
                <w:sz w:val="12"/>
                <w:szCs w:val="12"/>
                <w:b w:val="1"/>
                <w:bCs w:val="1"/>
                <w:color w:val="auto"/>
              </w:rPr>
              <w:t>Average</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jc w:val="right"/>
              <w:ind w:right="400"/>
              <w:spacing w:after="0" w:line="114" w:lineRule="exact"/>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9"/>
                <w:szCs w:val="9"/>
                <w:color w:val="auto"/>
              </w:rPr>
            </w:pPr>
          </w:p>
        </w:tc>
        <w:tc>
          <w:tcPr>
            <w:tcW w:w="1500" w:type="dxa"/>
            <w:vAlign w:val="bottom"/>
          </w:tcPr>
          <w:p>
            <w:pPr>
              <w:jc w:val="right"/>
              <w:ind w:right="240"/>
              <w:spacing w:after="0" w:line="114" w:lineRule="exact"/>
              <w:rPr>
                <w:sz w:val="20"/>
                <w:szCs w:val="20"/>
                <w:color w:val="auto"/>
              </w:rPr>
            </w:pPr>
            <w:r>
              <w:rPr>
                <w:rFonts w:ascii="Arial" w:cs="Arial" w:eastAsia="Arial" w:hAnsi="Arial"/>
                <w:sz w:val="12"/>
                <w:szCs w:val="12"/>
                <w:b w:val="1"/>
                <w:bCs w:val="1"/>
                <w:color w:val="auto"/>
              </w:rPr>
              <w:t>Average</w:t>
            </w:r>
          </w:p>
        </w:tc>
      </w:tr>
      <w:tr>
        <w:trPr>
          <w:trHeight w:val="145"/>
        </w:trPr>
        <w:tc>
          <w:tcPr>
            <w:tcW w:w="4280" w:type="dxa"/>
            <w:vAlign w:val="bottom"/>
          </w:tcPr>
          <w:p>
            <w:pPr>
              <w:ind w:left="280"/>
              <w:spacing w:after="0"/>
              <w:rPr>
                <w:sz w:val="20"/>
                <w:szCs w:val="20"/>
                <w:color w:val="auto"/>
              </w:rPr>
            </w:pPr>
            <w:r>
              <w:rPr>
                <w:rFonts w:ascii="Arial" w:cs="Arial" w:eastAsia="Arial" w:hAnsi="Arial"/>
                <w:sz w:val="9"/>
                <w:szCs w:val="9"/>
                <w:i w:val="1"/>
                <w:iCs w:val="1"/>
                <w:color w:val="auto"/>
              </w:rPr>
              <w:t>(in thousands)</w:t>
            </w: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Balance</w:t>
            </w:r>
          </w:p>
        </w:tc>
        <w:tc>
          <w:tcPr>
            <w:tcW w:w="140" w:type="dxa"/>
            <w:vAlign w:val="bottom"/>
          </w:tcPr>
          <w:p>
            <w:pPr>
              <w:spacing w:after="0"/>
              <w:rPr>
                <w:sz w:val="12"/>
                <w:szCs w:val="12"/>
                <w:color w:val="auto"/>
              </w:rPr>
            </w:pPr>
          </w:p>
        </w:tc>
        <w:tc>
          <w:tcPr>
            <w:tcW w:w="13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Rate</w:t>
            </w: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Balance</w:t>
            </w:r>
          </w:p>
        </w:tc>
        <w:tc>
          <w:tcPr>
            <w:tcW w:w="100" w:type="dxa"/>
            <w:vAlign w:val="bottom"/>
          </w:tcPr>
          <w:p>
            <w:pPr>
              <w:spacing w:after="0"/>
              <w:rPr>
                <w:sz w:val="12"/>
                <w:szCs w:val="12"/>
                <w:color w:val="auto"/>
              </w:rPr>
            </w:pPr>
          </w:p>
        </w:tc>
        <w:tc>
          <w:tcPr>
            <w:tcW w:w="15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Rate</w:t>
            </w:r>
          </w:p>
        </w:tc>
      </w:tr>
      <w:tr>
        <w:trPr>
          <w:trHeight w:val="103"/>
        </w:trPr>
        <w:tc>
          <w:tcPr>
            <w:tcW w:w="4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57"/>
        </w:trPr>
        <w:tc>
          <w:tcPr>
            <w:tcW w:w="42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Interest bearing demand accounts</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289,285</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195,794</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0.34</w:t>
            </w:r>
          </w:p>
        </w:tc>
      </w:tr>
      <w:tr>
        <w:trPr>
          <w:trHeight w:val="157"/>
        </w:trPr>
        <w:tc>
          <w:tcPr>
            <w:tcW w:w="4280" w:type="dxa"/>
            <w:vAlign w:val="bottom"/>
          </w:tcPr>
          <w:p>
            <w:pPr>
              <w:ind w:left="20"/>
              <w:spacing w:after="0"/>
              <w:rPr>
                <w:sz w:val="20"/>
                <w:szCs w:val="20"/>
                <w:color w:val="auto"/>
              </w:rPr>
            </w:pPr>
            <w:r>
              <w:rPr>
                <w:rFonts w:ascii="Arial" w:cs="Arial" w:eastAsia="Arial" w:hAnsi="Arial"/>
                <w:sz w:val="12"/>
                <w:szCs w:val="12"/>
                <w:color w:val="auto"/>
              </w:rPr>
              <w:t>Money market accounts</w:t>
            </w:r>
          </w:p>
        </w:tc>
        <w:tc>
          <w:tcPr>
            <w:tcW w:w="4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482,225</w:t>
            </w:r>
          </w:p>
        </w:tc>
        <w:tc>
          <w:tcPr>
            <w:tcW w:w="1500" w:type="dxa"/>
            <w:vAlign w:val="bottom"/>
            <w:gridSpan w:val="2"/>
          </w:tcPr>
          <w:p>
            <w:pPr>
              <w:jc w:val="right"/>
              <w:ind w:right="40"/>
              <w:spacing w:after="0"/>
              <w:rPr>
                <w:sz w:val="20"/>
                <w:szCs w:val="20"/>
                <w:color w:val="auto"/>
              </w:rPr>
            </w:pPr>
            <w:r>
              <w:rPr>
                <w:rFonts w:ascii="Arial" w:cs="Arial" w:eastAsia="Arial" w:hAnsi="Arial"/>
                <w:sz w:val="12"/>
                <w:szCs w:val="12"/>
                <w:color w:val="auto"/>
              </w:rPr>
              <w:t>0.31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480,218</w:t>
            </w:r>
          </w:p>
        </w:tc>
        <w:tc>
          <w:tcPr>
            <w:tcW w:w="1600" w:type="dxa"/>
            <w:vAlign w:val="bottom"/>
            <w:gridSpan w:val="2"/>
          </w:tcPr>
          <w:p>
            <w:pPr>
              <w:jc w:val="right"/>
              <w:ind w:right="180"/>
              <w:spacing w:after="0"/>
              <w:rPr>
                <w:sz w:val="20"/>
                <w:szCs w:val="20"/>
                <w:color w:val="auto"/>
              </w:rPr>
            </w:pPr>
            <w:r>
              <w:rPr>
                <w:rFonts w:ascii="Arial" w:cs="Arial" w:eastAsia="Arial" w:hAnsi="Arial"/>
                <w:sz w:val="12"/>
                <w:szCs w:val="12"/>
                <w:color w:val="auto"/>
              </w:rPr>
              <w:t>1.00</w:t>
            </w:r>
          </w:p>
        </w:tc>
      </w:tr>
      <w:tr>
        <w:trPr>
          <w:trHeight w:val="157"/>
        </w:trPr>
        <w:tc>
          <w:tcPr>
            <w:tcW w:w="4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Savings accounts</w:t>
            </w:r>
          </w:p>
        </w:tc>
        <w:tc>
          <w:tcPr>
            <w:tcW w:w="4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6,470</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0.05</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4,722</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0.11</w:t>
            </w:r>
          </w:p>
        </w:tc>
      </w:tr>
      <w:tr>
        <w:trPr>
          <w:trHeight w:val="15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Certificates of deposit</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269,262</w:t>
            </w:r>
          </w:p>
        </w:tc>
        <w:tc>
          <w:tcPr>
            <w:tcW w:w="1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1.53</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297,997</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2.04</w:t>
            </w:r>
          </w:p>
        </w:tc>
      </w:tr>
      <w:tr>
        <w:trPr>
          <w:trHeight w:val="148"/>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interest bearing deposits</w:t>
            </w: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1,047,242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0.55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978,731</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1.18</w:t>
            </w:r>
          </w:p>
        </w:tc>
      </w:tr>
      <w:tr>
        <w:trPr>
          <w:trHeight w:val="15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Noninterest bearing demand accounts</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750,760</w:t>
            </w:r>
          </w:p>
        </w:tc>
        <w:tc>
          <w:tcPr>
            <w:tcW w:w="1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473,301</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68"/>
        </w:trPr>
        <w:tc>
          <w:tcPr>
            <w:tcW w:w="42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deposits</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1,798,002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1,452,032</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0.79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right="100" w:firstLine="268"/>
        <w:spacing w:after="0" w:line="258" w:lineRule="auto"/>
        <w:rPr>
          <w:sz w:val="20"/>
          <w:szCs w:val="20"/>
          <w:color w:val="auto"/>
        </w:rPr>
      </w:pPr>
      <w:r>
        <w:rPr>
          <w:rFonts w:ascii="Arial" w:cs="Arial" w:eastAsia="Arial" w:hAnsi="Arial"/>
          <w:sz w:val="15"/>
          <w:szCs w:val="15"/>
          <w:color w:val="auto"/>
        </w:rPr>
        <w:t>Management was actively focused on reducing its cost of funds on its deposits during 2021 as evidenced by the overall reduction in average rates from 0.79% during 2020 to 0.32%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416" w:right="239" w:bottom="1440" w:gutter="0" w:footer="0" w:header="0"/>
        </w:sectPr>
      </w:pPr>
    </w:p>
    <w:bookmarkStart w:id="46" w:name="page47"/>
    <w:bookmarkEnd w:id="46"/>
    <w:p>
      <w:pPr>
        <w:ind w:left="280"/>
        <w:spacing w:after="0"/>
        <w:rPr>
          <w:sz w:val="20"/>
          <w:szCs w:val="20"/>
          <w:color w:val="auto"/>
        </w:rPr>
      </w:pPr>
      <w:r>
        <w:rPr>
          <w:rFonts w:ascii="Arial" w:cs="Arial" w:eastAsia="Arial" w:hAnsi="Arial"/>
          <w:sz w:val="15"/>
          <w:szCs w:val="15"/>
          <w:color w:val="auto"/>
        </w:rPr>
        <w:t>The following table presents the maturities of our certificates of deposit as of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Over</w:t>
            </w:r>
          </w:p>
        </w:tc>
        <w:tc>
          <w:tcPr>
            <w:tcW w:w="2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98"/>
              </w:rPr>
              <w:t>Over Six</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20" w:type="dxa"/>
            <w:vAlign w:val="bottom"/>
          </w:tcPr>
          <w:p>
            <w:pPr>
              <w:spacing w:after="0"/>
              <w:rPr>
                <w:sz w:val="9"/>
                <w:szCs w:val="9"/>
                <w:color w:val="auto"/>
              </w:rPr>
            </w:pPr>
          </w:p>
        </w:tc>
        <w:tc>
          <w:tcPr>
            <w:tcW w:w="1000" w:type="dxa"/>
            <w:vAlign w:val="bottom"/>
            <w:vMerge w:val="restart"/>
          </w:tcPr>
          <w:p>
            <w:pPr>
              <w:jc w:val="center"/>
              <w:ind w:left="340"/>
              <w:spacing w:after="0"/>
              <w:rPr>
                <w:sz w:val="20"/>
                <w:szCs w:val="20"/>
                <w:color w:val="auto"/>
              </w:rPr>
            </w:pPr>
            <w:r>
              <w:rPr>
                <w:rFonts w:ascii="Arial" w:cs="Arial" w:eastAsia="Arial" w:hAnsi="Arial"/>
                <w:sz w:val="12"/>
                <w:szCs w:val="12"/>
                <w:b w:val="1"/>
                <w:bCs w:val="1"/>
                <w:color w:val="auto"/>
                <w:w w:val="97"/>
              </w:rPr>
              <w:t>Three</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tcPr>
          <w:p>
            <w:pPr>
              <w:jc w:val="center"/>
              <w:ind w:right="400"/>
              <w:spacing w:after="0" w:line="112" w:lineRule="exact"/>
              <w:rPr>
                <w:sz w:val="20"/>
                <w:szCs w:val="20"/>
                <w:color w:val="auto"/>
              </w:rPr>
            </w:pPr>
            <w:r>
              <w:rPr>
                <w:rFonts w:ascii="Arial" w:cs="Arial" w:eastAsia="Arial" w:hAnsi="Arial"/>
                <w:sz w:val="12"/>
                <w:szCs w:val="12"/>
                <w:b w:val="1"/>
                <w:bCs w:val="1"/>
                <w:color w:val="auto"/>
              </w:rPr>
              <w:t>Three</w:t>
            </w:r>
          </w:p>
        </w:tc>
        <w:tc>
          <w:tcPr>
            <w:tcW w:w="2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rPr>
              <w:t>Over</w:t>
            </w: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7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tcPr>
          <w:p>
            <w:pPr>
              <w:jc w:val="center"/>
              <w:ind w:right="400"/>
              <w:spacing w:after="0" w:line="112" w:lineRule="exact"/>
              <w:rPr>
                <w:sz w:val="20"/>
                <w:szCs w:val="20"/>
                <w:color w:val="auto"/>
              </w:rPr>
            </w:pPr>
            <w:r>
              <w:rPr>
                <w:rFonts w:ascii="Arial" w:cs="Arial" w:eastAsia="Arial" w:hAnsi="Arial"/>
                <w:sz w:val="12"/>
                <w:szCs w:val="12"/>
                <w:b w:val="1"/>
                <w:bCs w:val="1"/>
                <w:color w:val="auto"/>
              </w:rPr>
              <w:t>Through</w:t>
            </w:r>
          </w:p>
        </w:tc>
        <w:tc>
          <w:tcPr>
            <w:tcW w:w="260" w:type="dxa"/>
            <w:vAlign w:val="bottom"/>
          </w:tcPr>
          <w:p>
            <w:pPr>
              <w:spacing w:after="0"/>
              <w:rPr>
                <w:sz w:val="9"/>
                <w:szCs w:val="9"/>
                <w:color w:val="auto"/>
              </w:rPr>
            </w:pPr>
          </w:p>
        </w:tc>
        <w:tc>
          <w:tcPr>
            <w:tcW w:w="1260" w:type="dxa"/>
            <w:vAlign w:val="bottom"/>
            <w:gridSpan w:val="2"/>
          </w:tcPr>
          <w:p>
            <w:pPr>
              <w:jc w:val="center"/>
              <w:ind w:right="380"/>
              <w:spacing w:after="0" w:line="112" w:lineRule="exact"/>
              <w:rPr>
                <w:sz w:val="20"/>
                <w:szCs w:val="20"/>
                <w:color w:val="auto"/>
              </w:rPr>
            </w:pPr>
            <w:r>
              <w:rPr>
                <w:rFonts w:ascii="Arial" w:cs="Arial" w:eastAsia="Arial" w:hAnsi="Arial"/>
                <w:sz w:val="12"/>
                <w:szCs w:val="12"/>
                <w:b w:val="1"/>
                <w:bCs w:val="1"/>
                <w:color w:val="auto"/>
                <w:w w:val="98"/>
              </w:rPr>
              <w:t>Through</w:t>
            </w: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720" w:type="dxa"/>
            <w:vAlign w:val="bottom"/>
          </w:tcPr>
          <w:p>
            <w:pPr>
              <w:spacing w:after="0"/>
              <w:rPr>
                <w:sz w:val="9"/>
                <w:szCs w:val="9"/>
                <w:color w:val="auto"/>
              </w:rPr>
            </w:pPr>
          </w:p>
        </w:tc>
        <w:tc>
          <w:tcPr>
            <w:tcW w:w="1000" w:type="dxa"/>
            <w:vAlign w:val="bottom"/>
          </w:tcPr>
          <w:p>
            <w:pPr>
              <w:jc w:val="center"/>
              <w:ind w:left="340"/>
              <w:spacing w:after="0" w:line="112" w:lineRule="exact"/>
              <w:rPr>
                <w:sz w:val="20"/>
                <w:szCs w:val="20"/>
                <w:color w:val="auto"/>
              </w:rPr>
            </w:pPr>
            <w:r>
              <w:rPr>
                <w:rFonts w:ascii="Arial" w:cs="Arial" w:eastAsia="Arial" w:hAnsi="Arial"/>
                <w:sz w:val="12"/>
                <w:szCs w:val="12"/>
                <w:b w:val="1"/>
                <w:bCs w:val="1"/>
                <w:color w:val="auto"/>
                <w:w w:val="96"/>
              </w:rPr>
              <w:t>Months or</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tcPr>
          <w:p>
            <w:pPr>
              <w:jc w:val="center"/>
              <w:ind w:right="400"/>
              <w:spacing w:after="0" w:line="112" w:lineRule="exact"/>
              <w:rPr>
                <w:sz w:val="20"/>
                <w:szCs w:val="20"/>
                <w:color w:val="auto"/>
              </w:rPr>
            </w:pPr>
            <w:r>
              <w:rPr>
                <w:rFonts w:ascii="Arial" w:cs="Arial" w:eastAsia="Arial" w:hAnsi="Arial"/>
                <w:sz w:val="12"/>
                <w:szCs w:val="12"/>
                <w:b w:val="1"/>
                <w:bCs w:val="1"/>
                <w:color w:val="auto"/>
                <w:w w:val="99"/>
              </w:rPr>
              <w:t>Six</w:t>
            </w:r>
          </w:p>
        </w:tc>
        <w:tc>
          <w:tcPr>
            <w:tcW w:w="260" w:type="dxa"/>
            <w:vAlign w:val="bottom"/>
          </w:tcPr>
          <w:p>
            <w:pPr>
              <w:spacing w:after="0"/>
              <w:rPr>
                <w:sz w:val="9"/>
                <w:szCs w:val="9"/>
                <w:color w:val="auto"/>
              </w:rPr>
            </w:pPr>
          </w:p>
        </w:tc>
        <w:tc>
          <w:tcPr>
            <w:tcW w:w="1260" w:type="dxa"/>
            <w:vAlign w:val="bottom"/>
            <w:gridSpan w:val="2"/>
          </w:tcPr>
          <w:p>
            <w:pPr>
              <w:jc w:val="center"/>
              <w:ind w:right="380"/>
              <w:spacing w:after="0" w:line="112" w:lineRule="exact"/>
              <w:rPr>
                <w:sz w:val="20"/>
                <w:szCs w:val="20"/>
                <w:color w:val="auto"/>
              </w:rPr>
            </w:pPr>
            <w:r>
              <w:rPr>
                <w:rFonts w:ascii="Arial" w:cs="Arial" w:eastAsia="Arial" w:hAnsi="Arial"/>
                <w:sz w:val="12"/>
                <w:szCs w:val="12"/>
                <w:b w:val="1"/>
                <w:bCs w:val="1"/>
                <w:color w:val="auto"/>
                <w:w w:val="99"/>
              </w:rPr>
              <w:t>Twelve</w:t>
            </w:r>
          </w:p>
        </w:tc>
        <w:tc>
          <w:tcPr>
            <w:tcW w:w="300" w:type="dxa"/>
            <w:vAlign w:val="bottom"/>
          </w:tcPr>
          <w:p>
            <w:pPr>
              <w:spacing w:after="0"/>
              <w:rPr>
                <w:sz w:val="9"/>
                <w:szCs w:val="9"/>
                <w:color w:val="auto"/>
              </w:rPr>
            </w:pPr>
          </w:p>
        </w:tc>
        <w:tc>
          <w:tcPr>
            <w:tcW w:w="1240" w:type="dxa"/>
            <w:vAlign w:val="bottom"/>
            <w:gridSpan w:val="2"/>
          </w:tcPr>
          <w:p>
            <w:pPr>
              <w:jc w:val="center"/>
              <w:ind w:right="420"/>
              <w:spacing w:after="0" w:line="112" w:lineRule="exact"/>
              <w:rPr>
                <w:sz w:val="20"/>
                <w:szCs w:val="20"/>
                <w:color w:val="auto"/>
              </w:rPr>
            </w:pPr>
            <w:r>
              <w:rPr>
                <w:rFonts w:ascii="Arial" w:cs="Arial" w:eastAsia="Arial" w:hAnsi="Arial"/>
                <w:sz w:val="12"/>
                <w:szCs w:val="12"/>
                <w:b w:val="1"/>
                <w:bCs w:val="1"/>
                <w:color w:val="auto"/>
                <w:w w:val="94"/>
              </w:rPr>
              <w:t>Twelve</w:t>
            </w:r>
          </w:p>
        </w:tc>
        <w:tc>
          <w:tcPr>
            <w:tcW w:w="320" w:type="dxa"/>
            <w:vAlign w:val="bottom"/>
          </w:tcPr>
          <w:p>
            <w:pPr>
              <w:spacing w:after="0"/>
              <w:rPr>
                <w:sz w:val="9"/>
                <w:szCs w:val="9"/>
                <w:color w:val="auto"/>
              </w:rPr>
            </w:pPr>
          </w:p>
        </w:tc>
        <w:tc>
          <w:tcPr>
            <w:tcW w:w="1100" w:type="dxa"/>
            <w:vAlign w:val="bottom"/>
            <w:vMerge w:val="restart"/>
          </w:tcPr>
          <w:p>
            <w:pPr>
              <w:jc w:val="right"/>
              <w:ind w:right="5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3720" w:type="dxa"/>
            <w:vAlign w:val="bottom"/>
          </w:tcPr>
          <w:p>
            <w:pPr>
              <w:ind w:left="20"/>
              <w:spacing w:after="0"/>
              <w:rPr>
                <w:sz w:val="20"/>
                <w:szCs w:val="20"/>
                <w:color w:val="auto"/>
              </w:rPr>
            </w:pPr>
            <w:r>
              <w:rPr>
                <w:rFonts w:ascii="Arial" w:cs="Arial" w:eastAsia="Arial" w:hAnsi="Arial"/>
                <w:sz w:val="9"/>
                <w:szCs w:val="9"/>
                <w:i w:val="1"/>
                <w:iCs w:val="1"/>
                <w:color w:val="auto"/>
              </w:rPr>
              <w:t>(in thousands)</w:t>
            </w:r>
          </w:p>
        </w:tc>
        <w:tc>
          <w:tcPr>
            <w:tcW w:w="1000" w:type="dxa"/>
            <w:vAlign w:val="bottom"/>
          </w:tcPr>
          <w:p>
            <w:pPr>
              <w:jc w:val="center"/>
              <w:ind w:left="380"/>
              <w:spacing w:after="0"/>
              <w:rPr>
                <w:sz w:val="20"/>
                <w:szCs w:val="20"/>
                <w:color w:val="auto"/>
              </w:rPr>
            </w:pPr>
            <w:r>
              <w:rPr>
                <w:rFonts w:ascii="Arial" w:cs="Arial" w:eastAsia="Arial" w:hAnsi="Arial"/>
                <w:sz w:val="12"/>
                <w:szCs w:val="12"/>
                <w:b w:val="1"/>
                <w:bCs w:val="1"/>
                <w:color w:val="auto"/>
              </w:rPr>
              <w:t>Less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8"/>
              </w:rPr>
              <w:t>Months</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Months</w:t>
            </w:r>
          </w:p>
        </w:tc>
        <w:tc>
          <w:tcPr>
            <w:tcW w:w="300" w:type="dxa"/>
            <w:vAlign w:val="bottom"/>
          </w:tcPr>
          <w:p>
            <w:pPr>
              <w:spacing w:after="0"/>
              <w:rPr>
                <w:sz w:val="12"/>
                <w:szCs w:val="12"/>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8"/>
              </w:rPr>
              <w:t>Months</w:t>
            </w: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7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$250,000 or more</w:t>
            </w: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9,353</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6,057</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90,355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108,827</w:t>
            </w:r>
          </w:p>
        </w:tc>
        <w:tc>
          <w:tcPr>
            <w:tcW w:w="0" w:type="dxa"/>
            <w:vAlign w:val="bottom"/>
          </w:tcPr>
          <w:p>
            <w:pPr>
              <w:spacing w:after="0"/>
              <w:rPr>
                <w:sz w:val="1"/>
                <w:szCs w:val="1"/>
                <w:color w:val="auto"/>
              </w:rPr>
            </w:pPr>
          </w:p>
        </w:tc>
      </w:tr>
      <w:tr>
        <w:trPr>
          <w:trHeight w:val="157"/>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than $250,000</w:t>
            </w: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23,043</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14,432</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24,082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7,266</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68,823</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32,396</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20,489</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114,437</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10,328</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177,650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As of December 31, 2021 and 2020, approximately $972.4 million and $934.6 million, respectively, of our deposit portfolio was uninsured. The uninsured amounts are estimates based on the methodologies and assumptions used for the Bank’s regulatory reporting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Borrowings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utilize short-term and long-term borrowings to supplement deposits to fund our lending and investment activities, each of which is discussed below.</w:t>
      </w:r>
    </w:p>
    <w:p>
      <w:pPr>
        <w:spacing w:after="0" w:line="170"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5"/>
          <w:szCs w:val="15"/>
          <w:i w:val="1"/>
          <w:iCs w:val="1"/>
          <w:color w:val="auto"/>
        </w:rPr>
        <w:t>FHLB Advances</w:t>
      </w:r>
      <w:r>
        <w:rPr>
          <w:rFonts w:ascii="Arial" w:cs="Arial" w:eastAsia="Arial" w:hAnsi="Arial"/>
          <w:sz w:val="15"/>
          <w:szCs w:val="15"/>
          <w:color w:val="auto"/>
        </w:rPr>
        <w:t>. The FHLB allows us to borrow up to 25% of our assets on a blanket floating lien status collateralized by certain securities and loans. As of December</w:t>
      </w:r>
      <w:r>
        <w:rPr>
          <w:rFonts w:ascii="Arial" w:cs="Arial" w:eastAsia="Arial" w:hAnsi="Arial"/>
          <w:sz w:val="15"/>
          <w:szCs w:val="15"/>
          <w:i w:val="1"/>
          <w:iCs w:val="1"/>
          <w:color w:val="auto"/>
        </w:rPr>
        <w:t xml:space="preserve"> </w:t>
      </w:r>
      <w:r>
        <w:rPr>
          <w:rFonts w:ascii="Arial" w:cs="Arial" w:eastAsia="Arial" w:hAnsi="Arial"/>
          <w:sz w:val="15"/>
          <w:szCs w:val="15"/>
          <w:color w:val="auto"/>
        </w:rPr>
        <w:t>31, 2021, approximately $296.1 million in real estate loans were pledged as collateral for our FHLB borrowings. Of the $296.1 million in loans pledged to the FHLB, our total borrowing capacity at December 31, 2021 was $205.3 million. None of our investment securities were pledged with the FHLB as of December 31, 2021. We utilize these borrowings to meet liquidity needs and to fund certain fixed rate loans in our portfolio. As of December 31, 2021, we had $22.0 million in outstanding advances and $183.3 million in available borrowing capacity from the FHLB.</w:t>
      </w:r>
    </w:p>
    <w:p>
      <w:pPr>
        <w:spacing w:after="0" w:line="154" w:lineRule="exact"/>
        <w:rPr>
          <w:sz w:val="20"/>
          <w:szCs w:val="20"/>
          <w:color w:val="auto"/>
        </w:rPr>
      </w:pPr>
    </w:p>
    <w:p>
      <w:pPr>
        <w:jc w:val="both"/>
        <w:ind w:firstLine="268"/>
        <w:spacing w:after="0" w:line="280" w:lineRule="auto"/>
        <w:rPr>
          <w:sz w:val="20"/>
          <w:szCs w:val="20"/>
          <w:color w:val="auto"/>
        </w:rPr>
      </w:pPr>
      <w:r>
        <w:rPr>
          <w:rFonts w:ascii="Arial" w:cs="Arial" w:eastAsia="Arial" w:hAnsi="Arial"/>
          <w:sz w:val="15"/>
          <w:szCs w:val="15"/>
          <w:i w:val="1"/>
          <w:iCs w:val="1"/>
          <w:color w:val="auto"/>
        </w:rPr>
        <w:t>Other borrowed funds</w:t>
      </w:r>
      <w:r>
        <w:rPr>
          <w:rFonts w:ascii="Arial" w:cs="Arial" w:eastAsia="Arial" w:hAnsi="Arial"/>
          <w:sz w:val="15"/>
          <w:szCs w:val="15"/>
          <w:color w:val="auto"/>
        </w:rPr>
        <w:t>. The Company has also issued junior subordinated debentures and other subordinated notes. At December 31, 2021, these other borrowings</w:t>
      </w:r>
      <w:r>
        <w:rPr>
          <w:rFonts w:ascii="Arial" w:cs="Arial" w:eastAsia="Arial" w:hAnsi="Arial"/>
          <w:sz w:val="15"/>
          <w:szCs w:val="15"/>
          <w:i w:val="1"/>
          <w:iCs w:val="1"/>
          <w:color w:val="auto"/>
        </w:rPr>
        <w:t xml:space="preserve"> </w:t>
      </w:r>
      <w:r>
        <w:rPr>
          <w:rFonts w:ascii="Arial" w:cs="Arial" w:eastAsia="Arial" w:hAnsi="Arial"/>
          <w:sz w:val="15"/>
          <w:szCs w:val="15"/>
          <w:color w:val="auto"/>
        </w:rPr>
        <w:t>amounted to $12.1 million.</w:t>
      </w:r>
    </w:p>
    <w:p>
      <w:pPr>
        <w:spacing w:after="0" w:line="15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At December 31, 2021,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17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On November 30, 2020, the Company issued $10.0 million in subordinated notes due in 2030 to replace the outstanding higher yielding $13.5 million, reducing interest expense. The notes have a ten year term and have a fixed rated of 5.00% for the first five years; thereafter, the rate resets quarterly to a benchmark rate, being the three-month term SOFR, plus 490 basis points. The notes may be redeemed, in part or whole, upon the occurrence of certain events.</w:t>
      </w:r>
    </w:p>
    <w:p>
      <w:pPr>
        <w:spacing w:after="0" w:line="155" w:lineRule="exact"/>
        <w:rPr>
          <w:sz w:val="20"/>
          <w:szCs w:val="20"/>
          <w:color w:val="auto"/>
        </w:rPr>
      </w:pPr>
    </w:p>
    <w:p>
      <w:pPr>
        <w:jc w:val="both"/>
        <w:ind w:firstLine="268"/>
        <w:spacing w:after="0" w:line="259" w:lineRule="auto"/>
        <w:rPr>
          <w:sz w:val="20"/>
          <w:szCs w:val="20"/>
          <w:color w:val="auto"/>
        </w:rPr>
      </w:pPr>
      <w:r>
        <w:rPr>
          <w:rFonts w:ascii="Arial" w:cs="Arial" w:eastAsia="Arial" w:hAnsi="Arial"/>
          <w:sz w:val="15"/>
          <w:szCs w:val="15"/>
          <w:i w:val="1"/>
          <w:iCs w:val="1"/>
          <w:color w:val="auto"/>
        </w:rPr>
        <w:t>Federal Reserve Bank of Richmond</w:t>
      </w:r>
      <w:r>
        <w:rPr>
          <w:rFonts w:ascii="Arial" w:cs="Arial" w:eastAsia="Arial" w:hAnsi="Arial"/>
          <w:sz w:val="15"/>
          <w:szCs w:val="15"/>
          <w:color w:val="auto"/>
        </w:rPr>
        <w:t>. The Federal Reserve Bank of Richmond has an available borrower in custody arrangement which allows us to borrow on a</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collateralized basis. The Company’s borrowing capacity under the Federal Reserve’s discount window program was $15.9 million as of December 31, 2021. Certain commercial loans are pledged under this arrangement. We maintain this borrowing arrangement to meet liquidity needs pursuant to our contingency funding plan. No advances were outstanding under this facility as of December 31, 2021.</w:t>
      </w:r>
    </w:p>
    <w:p>
      <w:pPr>
        <w:spacing w:after="0" w:line="167"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 Company also has lines of credit of $76.0 million available with other correspondent banks at December 31, 2021, as well as access to certificate of deposit funding through a financial network which the Bank strives to limit to 15% of the Bank’s assets. There were no outstanding balances on the lines of credit from correspondent banks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47" w:name="page48"/>
    <w:bookmarkEnd w:id="47"/>
    <w:p>
      <w:pPr>
        <w:spacing w:after="0"/>
        <w:rPr>
          <w:sz w:val="20"/>
          <w:szCs w:val="20"/>
          <w:color w:val="auto"/>
        </w:rPr>
      </w:pPr>
      <w:r>
        <w:rPr>
          <w:rFonts w:ascii="Arial" w:cs="Arial" w:eastAsia="Arial" w:hAnsi="Arial"/>
          <w:sz w:val="15"/>
          <w:szCs w:val="15"/>
          <w:i w:val="1"/>
          <w:iCs w:val="1"/>
          <w:color w:val="auto"/>
        </w:rPr>
        <w:t>Liquidity</w:t>
      </w:r>
    </w:p>
    <w:p>
      <w:pPr>
        <w:spacing w:after="0" w:line="202"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operating, legal and reputational risks also could affect the Bank’s liquidity risk profile and are considered in the assessment of liquidity and asset/liability management.</w:t>
      </w:r>
    </w:p>
    <w:p>
      <w:pPr>
        <w:spacing w:after="0" w:line="17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Management has established a comprehensive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the application of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highly liquid marketable securities free of legal, regulatory or operational impediments that can be used to meet liquidity needs in stressful situations; comprehensive contingency funding plans that are believed to be adequate to address potential adverse liquidity events and emergency cash flow requirements; and internal controls and internal audit processes that are believed to be appropriate to assure the adequacy of the institution’s liquidity risk management process.</w:t>
      </w:r>
    </w:p>
    <w:p>
      <w:pPr>
        <w:spacing w:after="0" w:line="173"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171" w:lineRule="exact"/>
        <w:rPr>
          <w:sz w:val="20"/>
          <w:szCs w:val="20"/>
          <w:color w:val="auto"/>
        </w:rPr>
      </w:pPr>
    </w:p>
    <w:p>
      <w:pPr>
        <w:jc w:val="both"/>
        <w:ind w:firstLine="268"/>
        <w:spacing w:after="0" w:line="272" w:lineRule="auto"/>
        <w:rPr>
          <w:sz w:val="20"/>
          <w:szCs w:val="20"/>
          <w:color w:val="auto"/>
        </w:rPr>
      </w:pPr>
      <w:r>
        <w:rPr>
          <w:rFonts w:ascii="Arial" w:cs="Arial" w:eastAsia="Arial" w:hAnsi="Arial"/>
          <w:sz w:val="14"/>
          <w:szCs w:val="14"/>
          <w:color w:val="auto"/>
        </w:rPr>
        <w:t>We participated in the Federal Reserve Bank of Richmond’s Paycheck Protection Program Liquidity Facility (“PPPLF”). The PPPLF extended credit to eligible financial institutions that originated SBA-PPP loans, using the loans as collateral. No new extensions of credit were made under the PPPLF after July 30, 2021. In addition, we have an available borrower custody arrangement with the Federal Reserve Bank of Richmond which allows us to borrow on an eligible collateralized basis. As of December 31, 2021, we had $183.3 million of available borrowing capacity from the FHLB, $15.9 million of available borrowing capacity from the Federal Reserve Bank of Richmond and available lines of credit of $76.0 million with other correspondent banks. Cash and cash equivalents were $183.4 million at December 31, 2021 and $146.9 million at December 31, 2020. Accordingly, at December 31, 2021, our liquidity resources were at sufficient levels to fund loans and meet other cash needs as necessary.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Capital Resources</w:t>
      </w:r>
    </w:p>
    <w:p>
      <w:pPr>
        <w:spacing w:after="0" w:line="202"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Stockholders’ equity increased $38.6 million for the year ended December 31, 2021 largely due to net income of $40.0 million for the year. Stock options exercised, shares issued as compensation, shares sold and stock-based compensation increased common stock and additional paid-in capital aggregately by $2.8 million. These increases were offset by net unrealized losses on available for sale securities of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6" w:right="319" w:bottom="1440" w:gutter="0" w:footer="0" w:header="0"/>
        </w:sectPr>
      </w:pPr>
    </w:p>
    <w:bookmarkStart w:id="48" w:name="page49"/>
    <w:bookmarkEnd w:id="48"/>
    <w:p>
      <w:pPr>
        <w:jc w:val="both"/>
        <w:ind w:firstLine="268"/>
        <w:spacing w:after="0" w:line="258" w:lineRule="auto"/>
        <w:rPr>
          <w:sz w:val="20"/>
          <w:szCs w:val="20"/>
          <w:color w:val="auto"/>
        </w:rPr>
      </w:pPr>
      <w:r>
        <w:rPr>
          <w:rFonts w:ascii="Arial" w:cs="Arial" w:eastAsia="Arial" w:hAnsi="Arial"/>
          <w:sz w:val="15"/>
          <w:szCs w:val="15"/>
          <w:color w:val="auto"/>
        </w:rPr>
        <w:t>The Company uses several indicators of capital strength. The most commonly used measure is average common equity to average assets (computed as average equity divided by average total assets), which was 8.82% at December 31, 2021 and 8.64% at December 31, 2020.</w:t>
      </w:r>
    </w:p>
    <w:p>
      <w:pPr>
        <w:spacing w:after="0" w:line="166"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spacing w:after="0" w:line="172"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Quantitative measures established by regulation to ensure capital adequacy require the Bank to maintain minimum ratios of common equity Tier 1, Tier 1, and total capital as a percentage of assets and off-balance sheet exposures, adjusted for risk weights ranging from 0% to 1250%. The Bank is also required to maintain capital at a minimum level based on quarterly average assets, which is known as the leverage ratio.</w:t>
      </w:r>
    </w:p>
    <w:p>
      <w:pPr>
        <w:spacing w:after="0" w:line="171"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spacing w:after="0" w:line="175"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The ability of the Company to continue to grow is dependent on its earnings and those of the Bank,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the Regulation of Our Industry” in Part I, Item 1A - Risk Factors.</w:t>
      </w:r>
    </w:p>
    <w:p>
      <w:pPr>
        <w:spacing w:after="0" w:line="171"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As of December 31, 2021, the Bank was in compliance with all applicable regulatory capital requirements to which it was subject and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49" w:name="page50"/>
    <w:bookmarkEnd w:id="49"/>
    <w:p>
      <w:pPr>
        <w:spacing w:after="0"/>
        <w:rPr>
          <w:sz w:val="20"/>
          <w:szCs w:val="20"/>
          <w:color w:val="auto"/>
        </w:rPr>
      </w:pPr>
      <w:r>
        <w:rPr>
          <w:rFonts w:ascii="Arial" w:cs="Arial" w:eastAsia="Arial" w:hAnsi="Arial"/>
          <w:sz w:val="15"/>
          <w:szCs w:val="15"/>
          <w:color w:val="auto"/>
        </w:rPr>
        <w:t>The following table presents the regulatory capital ratios for the Company (as if such requirements applied to the Company) and the Bank as of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0" w:type="dxa"/>
            <w:vAlign w:val="bottom"/>
            <w:gridSpan w:val="2"/>
          </w:tcPr>
          <w:p>
            <w:pPr>
              <w:jc w:val="right"/>
              <w:ind w:right="348"/>
              <w:spacing w:after="0"/>
              <w:rPr>
                <w:sz w:val="20"/>
                <w:szCs w:val="20"/>
                <w:color w:val="auto"/>
              </w:rPr>
            </w:pPr>
            <w:r>
              <w:rPr>
                <w:rFonts w:ascii="Arial" w:cs="Arial" w:eastAsia="Arial" w:hAnsi="Arial"/>
                <w:sz w:val="10"/>
                <w:szCs w:val="10"/>
                <w:color w:val="auto"/>
              </w:rPr>
              <w:t>Minimum Capital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To Be Well</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jc w:val="right"/>
              <w:ind w:right="308"/>
              <w:spacing w:after="0"/>
              <w:rPr>
                <w:sz w:val="20"/>
                <w:szCs w:val="20"/>
                <w:color w:val="auto"/>
              </w:rPr>
            </w:pPr>
            <w:r>
              <w:rPr>
                <w:rFonts w:ascii="Arial" w:cs="Arial" w:eastAsia="Arial" w:hAnsi="Arial"/>
                <w:sz w:val="10"/>
                <w:szCs w:val="10"/>
                <w:color w:val="auto"/>
              </w:rPr>
              <w:t>Full Phase In</w:t>
            </w:r>
          </w:p>
        </w:tc>
      </w:tr>
      <w:tr>
        <w:trPr>
          <w:trHeight w:val="130"/>
        </w:trPr>
        <w:tc>
          <w:tcPr>
            <w:tcW w:w="2240" w:type="dxa"/>
            <w:vAlign w:val="bottom"/>
          </w:tcPr>
          <w:p>
            <w:pPr>
              <w:ind w:left="280"/>
              <w:spacing w:after="0"/>
              <w:rPr>
                <w:sz w:val="20"/>
                <w:szCs w:val="20"/>
                <w:color w:val="auto"/>
              </w:rPr>
            </w:pPr>
            <w:r>
              <w:rPr>
                <w:rFonts w:ascii="Arial" w:cs="Arial" w:eastAsia="Arial" w:hAnsi="Arial"/>
                <w:sz w:val="9"/>
                <w:szCs w:val="9"/>
                <w:i w:val="1"/>
                <w:iCs w:val="1"/>
                <w:color w:val="auto"/>
              </w:rPr>
              <w:t>(dollars in thousands)</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08"/>
              <w:spacing w:after="0"/>
              <w:rPr>
                <w:sz w:val="20"/>
                <w:szCs w:val="20"/>
                <w:color w:val="auto"/>
              </w:rPr>
            </w:pPr>
            <w:r>
              <w:rPr>
                <w:rFonts w:ascii="Arial" w:cs="Arial" w:eastAsia="Arial" w:hAnsi="Arial"/>
                <w:sz w:val="10"/>
                <w:szCs w:val="10"/>
                <w:color w:val="auto"/>
              </w:rPr>
              <w:t>Actual</w:t>
            </w: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Adequacy</w:t>
            </w: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rPr>
              <w:t>Capitalized</w:t>
            </w: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0"/>
                <w:szCs w:val="10"/>
                <w:color w:val="auto"/>
              </w:rPr>
              <w:t>of Basel III</w:t>
            </w:r>
          </w:p>
        </w:tc>
      </w:tr>
      <w:tr>
        <w:trPr>
          <w:trHeight w:val="138"/>
        </w:trPr>
        <w:tc>
          <w:tcPr>
            <w:tcW w:w="22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December 31, 2021</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rPr>
              <w:t>Amount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Ratio</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8"/>
              <w:spacing w:after="0"/>
              <w:rPr>
                <w:sz w:val="20"/>
                <w:szCs w:val="20"/>
                <w:color w:val="auto"/>
              </w:rPr>
            </w:pPr>
            <w:r>
              <w:rPr>
                <w:rFonts w:ascii="Arial" w:cs="Arial" w:eastAsia="Arial" w:hAnsi="Arial"/>
                <w:sz w:val="10"/>
                <w:szCs w:val="10"/>
                <w:color w:val="auto"/>
              </w:rPr>
              <w:t>Amount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Ratio</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48"/>
              <w:spacing w:after="0"/>
              <w:rPr>
                <w:sz w:val="20"/>
                <w:szCs w:val="20"/>
                <w:color w:val="auto"/>
              </w:rPr>
            </w:pPr>
            <w:r>
              <w:rPr>
                <w:rFonts w:ascii="Arial" w:cs="Arial" w:eastAsia="Arial" w:hAnsi="Arial"/>
                <w:sz w:val="10"/>
                <w:szCs w:val="10"/>
                <w:color w:val="auto"/>
              </w:rPr>
              <w:t>Amount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Ratio</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Amount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Ratio</w:t>
            </w:r>
          </w:p>
        </w:tc>
      </w:tr>
      <w:tr>
        <w:trPr>
          <w:trHeight w:val="144"/>
        </w:trPr>
        <w:tc>
          <w:tcPr>
            <w:tcW w:w="2240" w:type="dxa"/>
            <w:vAlign w:val="bottom"/>
            <w:shd w:val="clear" w:color="auto" w:fill="CCEEFF"/>
          </w:tcPr>
          <w:p>
            <w:pPr>
              <w:ind w:left="280"/>
              <w:spacing w:after="0"/>
              <w:rPr>
                <w:sz w:val="20"/>
                <w:szCs w:val="20"/>
                <w:color w:val="auto"/>
              </w:rPr>
            </w:pPr>
            <w:r>
              <w:rPr>
                <w:rFonts w:ascii="Arial" w:cs="Arial" w:eastAsia="Arial" w:hAnsi="Arial"/>
                <w:sz w:val="10"/>
                <w:szCs w:val="10"/>
                <w:b w:val="1"/>
                <w:bCs w:val="1"/>
                <w:color w:val="auto"/>
              </w:rPr>
              <w:t>The Company</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07"/>
        </w:trPr>
        <w:tc>
          <w:tcPr>
            <w:tcW w:w="2240" w:type="dxa"/>
            <w:vAlign w:val="bottom"/>
          </w:tcPr>
          <w:p>
            <w:pPr>
              <w:ind w:left="380"/>
              <w:spacing w:after="0" w:line="107" w:lineRule="exact"/>
              <w:rPr>
                <w:sz w:val="20"/>
                <w:szCs w:val="20"/>
                <w:color w:val="auto"/>
              </w:rPr>
            </w:pPr>
            <w:r>
              <w:rPr>
                <w:rFonts w:ascii="Arial" w:cs="Arial" w:eastAsia="Arial" w:hAnsi="Arial"/>
                <w:sz w:val="10"/>
                <w:szCs w:val="10"/>
                <w:color w:val="auto"/>
              </w:rPr>
              <w:t>Tier 1 leverage ratio (to average</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32"/>
        </w:trPr>
        <w:tc>
          <w:tcPr>
            <w:tcW w:w="2240" w:type="dxa"/>
            <w:vAlign w:val="bottom"/>
          </w:tcPr>
          <w:p>
            <w:pPr>
              <w:ind w:left="120"/>
              <w:spacing w:after="0"/>
              <w:rPr>
                <w:sz w:val="20"/>
                <w:szCs w:val="20"/>
                <w:color w:val="auto"/>
              </w:rPr>
            </w:pPr>
            <w:r>
              <w:rPr>
                <w:rFonts w:ascii="Arial" w:cs="Arial" w:eastAsia="Arial" w:hAnsi="Arial"/>
                <w:sz w:val="10"/>
                <w:szCs w:val="10"/>
                <w:color w:val="auto"/>
              </w:rPr>
              <w:t>assets)</w:t>
            </w:r>
          </w:p>
        </w:tc>
        <w:tc>
          <w:tcPr>
            <w:tcW w:w="5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201,040</w:t>
            </w:r>
          </w:p>
        </w:tc>
        <w:tc>
          <w:tcPr>
            <w:tcW w:w="980" w:type="dxa"/>
            <w:vAlign w:val="bottom"/>
          </w:tcPr>
          <w:p>
            <w:pPr>
              <w:jc w:val="right"/>
              <w:ind w:right="168"/>
              <w:spacing w:after="0"/>
              <w:rPr>
                <w:sz w:val="20"/>
                <w:szCs w:val="20"/>
                <w:color w:val="auto"/>
              </w:rPr>
            </w:pPr>
            <w:r>
              <w:rPr>
                <w:rFonts w:ascii="Arial" w:cs="Arial" w:eastAsia="Arial" w:hAnsi="Arial"/>
                <w:sz w:val="10"/>
                <w:szCs w:val="10"/>
                <w:color w:val="auto"/>
              </w:rPr>
              <w:t>9.73</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388"/>
              <w:spacing w:after="0"/>
              <w:rPr>
                <w:sz w:val="20"/>
                <w:szCs w:val="20"/>
                <w:color w:val="auto"/>
              </w:rPr>
            </w:pPr>
            <w:r>
              <w:rPr>
                <w:rFonts w:ascii="Arial" w:cs="Arial" w:eastAsia="Arial" w:hAnsi="Arial"/>
                <w:sz w:val="10"/>
                <w:szCs w:val="10"/>
                <w:color w:val="auto"/>
              </w:rPr>
              <w:t>82,683</w:t>
            </w:r>
          </w:p>
        </w:tc>
        <w:tc>
          <w:tcPr>
            <w:tcW w:w="560" w:type="dxa"/>
            <w:vAlign w:val="bottom"/>
          </w:tcPr>
          <w:p>
            <w:pPr>
              <w:jc w:val="right"/>
              <w:ind w:right="188"/>
              <w:spacing w:after="0"/>
              <w:rPr>
                <w:sz w:val="20"/>
                <w:szCs w:val="20"/>
                <w:color w:val="auto"/>
              </w:rPr>
            </w:pPr>
            <w:r>
              <w:rPr>
                <w:rFonts w:ascii="Arial" w:cs="Arial" w:eastAsia="Arial" w:hAnsi="Arial"/>
                <w:sz w:val="10"/>
                <w:szCs w:val="10"/>
                <w:color w:val="auto"/>
              </w:rPr>
              <w:t>4.00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jc w:val="right"/>
              <w:ind w:right="728"/>
              <w:spacing w:after="0"/>
              <w:rPr>
                <w:sz w:val="20"/>
                <w:szCs w:val="20"/>
                <w:color w:val="auto"/>
              </w:rPr>
            </w:pPr>
            <w:r>
              <w:rPr>
                <w:rFonts w:ascii="Arial" w:cs="Arial" w:eastAsia="Arial" w:hAnsi="Arial"/>
                <w:sz w:val="10"/>
                <w:szCs w:val="10"/>
                <w:color w:val="auto"/>
              </w:rPr>
              <w:t>N/A</w:t>
            </w:r>
          </w:p>
        </w:tc>
        <w:tc>
          <w:tcPr>
            <w:tcW w:w="500" w:type="dxa"/>
            <w:vAlign w:val="bottom"/>
          </w:tcPr>
          <w:p>
            <w:pPr>
              <w:jc w:val="right"/>
              <w:ind w:right="68"/>
              <w:spacing w:after="0"/>
              <w:rPr>
                <w:sz w:val="20"/>
                <w:szCs w:val="20"/>
                <w:color w:val="auto"/>
              </w:rPr>
            </w:pPr>
            <w:r>
              <w:rPr>
                <w:rFonts w:ascii="Arial" w:cs="Arial" w:eastAsia="Arial" w:hAnsi="Arial"/>
                <w:sz w:val="10"/>
                <w:szCs w:val="10"/>
                <w:color w:val="auto"/>
              </w:rPr>
              <w:t>N/A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08"/>
              <w:spacing w:after="0"/>
              <w:rPr>
                <w:sz w:val="20"/>
                <w:szCs w:val="20"/>
                <w:color w:val="auto"/>
              </w:rPr>
            </w:pPr>
            <w:r>
              <w:rPr>
                <w:rFonts w:ascii="Arial" w:cs="Arial" w:eastAsia="Arial" w:hAnsi="Arial"/>
                <w:sz w:val="10"/>
                <w:szCs w:val="10"/>
                <w:color w:val="auto"/>
              </w:rPr>
              <w:t>N/A</w:t>
            </w:r>
          </w:p>
        </w:tc>
        <w:tc>
          <w:tcPr>
            <w:tcW w:w="1000" w:type="dxa"/>
            <w:vAlign w:val="bottom"/>
          </w:tcPr>
          <w:p>
            <w:pPr>
              <w:jc w:val="right"/>
              <w:ind w:right="68"/>
              <w:spacing w:after="0"/>
              <w:rPr>
                <w:sz w:val="20"/>
                <w:szCs w:val="20"/>
                <w:color w:val="auto"/>
              </w:rPr>
            </w:pPr>
            <w:r>
              <w:rPr>
                <w:rFonts w:ascii="Arial" w:cs="Arial" w:eastAsia="Arial" w:hAnsi="Arial"/>
                <w:sz w:val="10"/>
                <w:szCs w:val="10"/>
                <w:color w:val="auto"/>
              </w:rPr>
              <w:t>N/A</w:t>
            </w:r>
          </w:p>
        </w:tc>
      </w:tr>
      <w:tr>
        <w:trPr>
          <w:trHeight w:val="153"/>
        </w:trPr>
        <w:tc>
          <w:tcPr>
            <w:tcW w:w="22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Tier 1 capital (to risk-weighted assets)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201,040</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14.43</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83,596</w:t>
            </w: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rPr>
              <w:t>N/A</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N/A</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118,428</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8.50</w:t>
            </w:r>
          </w:p>
        </w:tc>
      </w:tr>
      <w:tr>
        <w:trPr>
          <w:trHeight w:val="107"/>
        </w:trPr>
        <w:tc>
          <w:tcPr>
            <w:tcW w:w="2240" w:type="dxa"/>
            <w:vAlign w:val="bottom"/>
          </w:tcPr>
          <w:p>
            <w:pPr>
              <w:ind w:left="120"/>
              <w:spacing w:after="0" w:line="107" w:lineRule="exact"/>
              <w:rPr>
                <w:sz w:val="20"/>
                <w:szCs w:val="20"/>
                <w:color w:val="auto"/>
              </w:rPr>
            </w:pPr>
            <w:r>
              <w:rPr>
                <w:rFonts w:ascii="Arial" w:cs="Arial" w:eastAsia="Arial" w:hAnsi="Arial"/>
                <w:sz w:val="10"/>
                <w:szCs w:val="10"/>
                <w:color w:val="auto"/>
              </w:rPr>
              <w:t>Common equity tier 1 capital ratio (to risk-</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32"/>
        </w:trPr>
        <w:tc>
          <w:tcPr>
            <w:tcW w:w="2240" w:type="dxa"/>
            <w:vAlign w:val="bottom"/>
          </w:tcPr>
          <w:p>
            <w:pPr>
              <w:ind w:left="240"/>
              <w:spacing w:after="0"/>
              <w:rPr>
                <w:sz w:val="20"/>
                <w:szCs w:val="20"/>
                <w:color w:val="auto"/>
              </w:rPr>
            </w:pPr>
            <w:r>
              <w:rPr>
                <w:rFonts w:ascii="Arial" w:cs="Arial" w:eastAsia="Arial" w:hAnsi="Arial"/>
                <w:sz w:val="10"/>
                <w:szCs w:val="10"/>
                <w:color w:val="auto"/>
              </w:rPr>
              <w:t>weighted assets)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198,978</w:t>
            </w:r>
          </w:p>
        </w:tc>
        <w:tc>
          <w:tcPr>
            <w:tcW w:w="980" w:type="dxa"/>
            <w:vAlign w:val="bottom"/>
          </w:tcPr>
          <w:p>
            <w:pPr>
              <w:jc w:val="right"/>
              <w:ind w:right="168"/>
              <w:spacing w:after="0"/>
              <w:rPr>
                <w:sz w:val="20"/>
                <w:szCs w:val="20"/>
                <w:color w:val="auto"/>
              </w:rPr>
            </w:pPr>
            <w:r>
              <w:rPr>
                <w:rFonts w:ascii="Arial" w:cs="Arial" w:eastAsia="Arial" w:hAnsi="Arial"/>
                <w:sz w:val="10"/>
                <w:szCs w:val="10"/>
                <w:color w:val="auto"/>
              </w:rPr>
              <w:t>14.28</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ind w:right="388"/>
              <w:spacing w:after="0"/>
              <w:rPr>
                <w:sz w:val="20"/>
                <w:szCs w:val="20"/>
                <w:color w:val="auto"/>
              </w:rPr>
            </w:pPr>
            <w:r>
              <w:rPr>
                <w:rFonts w:ascii="Arial" w:cs="Arial" w:eastAsia="Arial" w:hAnsi="Arial"/>
                <w:sz w:val="10"/>
                <w:szCs w:val="10"/>
                <w:color w:val="auto"/>
              </w:rPr>
              <w:t>62,697</w:t>
            </w:r>
          </w:p>
        </w:tc>
        <w:tc>
          <w:tcPr>
            <w:tcW w:w="560" w:type="dxa"/>
            <w:vAlign w:val="bottom"/>
          </w:tcPr>
          <w:p>
            <w:pPr>
              <w:jc w:val="right"/>
              <w:ind w:right="188"/>
              <w:spacing w:after="0"/>
              <w:rPr>
                <w:sz w:val="20"/>
                <w:szCs w:val="20"/>
                <w:color w:val="auto"/>
              </w:rPr>
            </w:pPr>
            <w:r>
              <w:rPr>
                <w:rFonts w:ascii="Arial" w:cs="Arial" w:eastAsia="Arial" w:hAnsi="Arial"/>
                <w:sz w:val="10"/>
                <w:szCs w:val="10"/>
                <w:color w:val="auto"/>
              </w:rPr>
              <w:t>4.50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jc w:val="right"/>
              <w:ind w:right="728"/>
              <w:spacing w:after="0"/>
              <w:rPr>
                <w:sz w:val="20"/>
                <w:szCs w:val="20"/>
                <w:color w:val="auto"/>
              </w:rPr>
            </w:pPr>
            <w:r>
              <w:rPr>
                <w:rFonts w:ascii="Arial" w:cs="Arial" w:eastAsia="Arial" w:hAnsi="Arial"/>
                <w:sz w:val="10"/>
                <w:szCs w:val="10"/>
                <w:color w:val="auto"/>
              </w:rPr>
              <w:t>N/A</w:t>
            </w:r>
          </w:p>
        </w:tc>
        <w:tc>
          <w:tcPr>
            <w:tcW w:w="500" w:type="dxa"/>
            <w:vAlign w:val="bottom"/>
          </w:tcPr>
          <w:p>
            <w:pPr>
              <w:jc w:val="right"/>
              <w:ind w:right="68"/>
              <w:spacing w:after="0"/>
              <w:rPr>
                <w:sz w:val="20"/>
                <w:szCs w:val="20"/>
                <w:color w:val="auto"/>
              </w:rPr>
            </w:pPr>
            <w:r>
              <w:rPr>
                <w:rFonts w:ascii="Arial" w:cs="Arial" w:eastAsia="Arial" w:hAnsi="Arial"/>
                <w:sz w:val="10"/>
                <w:szCs w:val="10"/>
                <w:color w:val="auto"/>
              </w:rPr>
              <w:t>N/A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97,529</w:t>
            </w:r>
          </w:p>
        </w:tc>
        <w:tc>
          <w:tcPr>
            <w:tcW w:w="1000" w:type="dxa"/>
            <w:vAlign w:val="bottom"/>
          </w:tcPr>
          <w:p>
            <w:pPr>
              <w:jc w:val="right"/>
              <w:ind w:right="168"/>
              <w:spacing w:after="0"/>
              <w:rPr>
                <w:sz w:val="20"/>
                <w:szCs w:val="20"/>
                <w:color w:val="auto"/>
              </w:rPr>
            </w:pPr>
            <w:r>
              <w:rPr>
                <w:rFonts w:ascii="Arial" w:cs="Arial" w:eastAsia="Arial" w:hAnsi="Arial"/>
                <w:sz w:val="10"/>
                <w:szCs w:val="10"/>
                <w:color w:val="auto"/>
              </w:rPr>
              <w:t>7.00</w:t>
            </w:r>
          </w:p>
        </w:tc>
      </w:tr>
      <w:tr>
        <w:trPr>
          <w:trHeight w:val="114"/>
        </w:trPr>
        <w:tc>
          <w:tcPr>
            <w:tcW w:w="22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Total capital ratio (to risk-weighted</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39"/>
        </w:trPr>
        <w:tc>
          <w:tcPr>
            <w:tcW w:w="22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228,574</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16.41</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111,462</w:t>
            </w: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rPr>
              <w:t>N/A</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N/A</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146,294</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10.50</w:t>
            </w: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5"/>
        </w:trPr>
        <w:tc>
          <w:tcPr>
            <w:tcW w:w="2240" w:type="dxa"/>
            <w:vAlign w:val="bottom"/>
            <w:shd w:val="clear" w:color="auto" w:fill="CCEEFF"/>
          </w:tcPr>
          <w:p>
            <w:pPr>
              <w:ind w:left="280"/>
              <w:spacing w:after="0"/>
              <w:rPr>
                <w:sz w:val="20"/>
                <w:szCs w:val="20"/>
                <w:color w:val="auto"/>
              </w:rPr>
            </w:pPr>
            <w:r>
              <w:rPr>
                <w:rFonts w:ascii="Arial" w:cs="Arial" w:eastAsia="Arial" w:hAnsi="Arial"/>
                <w:sz w:val="10"/>
                <w:szCs w:val="10"/>
                <w:b w:val="1"/>
                <w:bCs w:val="1"/>
                <w:color w:val="auto"/>
              </w:rPr>
              <w:t>The Bank</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07"/>
        </w:trPr>
        <w:tc>
          <w:tcPr>
            <w:tcW w:w="2240" w:type="dxa"/>
            <w:vAlign w:val="bottom"/>
          </w:tcPr>
          <w:p>
            <w:pPr>
              <w:ind w:left="380"/>
              <w:spacing w:after="0" w:line="107" w:lineRule="exact"/>
              <w:rPr>
                <w:sz w:val="20"/>
                <w:szCs w:val="20"/>
                <w:color w:val="auto"/>
              </w:rPr>
            </w:pPr>
            <w:r>
              <w:rPr>
                <w:rFonts w:ascii="Arial" w:cs="Arial" w:eastAsia="Arial" w:hAnsi="Arial"/>
                <w:sz w:val="10"/>
                <w:szCs w:val="10"/>
                <w:color w:val="auto"/>
              </w:rPr>
              <w:t>Tier 1 leverage ratio (to average</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32"/>
        </w:trPr>
        <w:tc>
          <w:tcPr>
            <w:tcW w:w="2240" w:type="dxa"/>
            <w:vAlign w:val="bottom"/>
          </w:tcPr>
          <w:p>
            <w:pPr>
              <w:ind w:left="120"/>
              <w:spacing w:after="0"/>
              <w:rPr>
                <w:sz w:val="20"/>
                <w:szCs w:val="20"/>
                <w:color w:val="auto"/>
              </w:rPr>
            </w:pPr>
            <w:r>
              <w:rPr>
                <w:rFonts w:ascii="Arial" w:cs="Arial" w:eastAsia="Arial" w:hAnsi="Arial"/>
                <w:sz w:val="10"/>
                <w:szCs w:val="10"/>
                <w:color w:val="auto"/>
              </w:rPr>
              <w:t>assets)</w:t>
            </w:r>
          </w:p>
        </w:tc>
        <w:tc>
          <w:tcPr>
            <w:tcW w:w="5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169,384</w:t>
            </w:r>
          </w:p>
        </w:tc>
        <w:tc>
          <w:tcPr>
            <w:tcW w:w="980" w:type="dxa"/>
            <w:vAlign w:val="bottom"/>
          </w:tcPr>
          <w:p>
            <w:pPr>
              <w:jc w:val="right"/>
              <w:ind w:right="168"/>
              <w:spacing w:after="0"/>
              <w:rPr>
                <w:sz w:val="20"/>
                <w:szCs w:val="20"/>
                <w:color w:val="auto"/>
              </w:rPr>
            </w:pPr>
            <w:r>
              <w:rPr>
                <w:rFonts w:ascii="Arial" w:cs="Arial" w:eastAsia="Arial" w:hAnsi="Arial"/>
                <w:sz w:val="10"/>
                <w:szCs w:val="10"/>
                <w:color w:val="auto"/>
              </w:rPr>
              <w:t>8.36</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388"/>
              <w:spacing w:after="0"/>
              <w:rPr>
                <w:sz w:val="20"/>
                <w:szCs w:val="20"/>
                <w:color w:val="auto"/>
              </w:rPr>
            </w:pPr>
            <w:r>
              <w:rPr>
                <w:rFonts w:ascii="Arial" w:cs="Arial" w:eastAsia="Arial" w:hAnsi="Arial"/>
                <w:sz w:val="10"/>
                <w:szCs w:val="10"/>
                <w:color w:val="auto"/>
              </w:rPr>
              <w:t>81,070</w:t>
            </w:r>
          </w:p>
        </w:tc>
        <w:tc>
          <w:tcPr>
            <w:tcW w:w="560" w:type="dxa"/>
            <w:vAlign w:val="bottom"/>
          </w:tcPr>
          <w:p>
            <w:pPr>
              <w:jc w:val="right"/>
              <w:ind w:right="188"/>
              <w:spacing w:after="0"/>
              <w:rPr>
                <w:sz w:val="20"/>
                <w:szCs w:val="20"/>
                <w:color w:val="auto"/>
              </w:rPr>
            </w:pPr>
            <w:r>
              <w:rPr>
                <w:rFonts w:ascii="Arial" w:cs="Arial" w:eastAsia="Arial" w:hAnsi="Arial"/>
                <w:sz w:val="10"/>
                <w:szCs w:val="10"/>
                <w:color w:val="auto"/>
              </w:rPr>
              <w:t>4.00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68"/>
              <w:spacing w:after="0"/>
              <w:rPr>
                <w:sz w:val="20"/>
                <w:szCs w:val="20"/>
                <w:color w:val="auto"/>
              </w:rPr>
            </w:pPr>
            <w:r>
              <w:rPr>
                <w:rFonts w:ascii="Arial" w:cs="Arial" w:eastAsia="Arial" w:hAnsi="Arial"/>
                <w:sz w:val="10"/>
                <w:szCs w:val="10"/>
                <w:color w:val="auto"/>
              </w:rPr>
              <w:t>101,338</w:t>
            </w:r>
          </w:p>
        </w:tc>
        <w:tc>
          <w:tcPr>
            <w:tcW w:w="500" w:type="dxa"/>
            <w:vAlign w:val="bottom"/>
          </w:tcPr>
          <w:p>
            <w:pPr>
              <w:jc w:val="right"/>
              <w:ind w:right="168"/>
              <w:spacing w:after="0"/>
              <w:rPr>
                <w:sz w:val="20"/>
                <w:szCs w:val="20"/>
                <w:color w:val="auto"/>
              </w:rPr>
            </w:pPr>
            <w:r>
              <w:rPr>
                <w:rFonts w:ascii="Arial" w:cs="Arial" w:eastAsia="Arial" w:hAnsi="Arial"/>
                <w:sz w:val="10"/>
                <w:szCs w:val="10"/>
                <w:color w:val="auto"/>
              </w:rPr>
              <w:t>5.00</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0" w:type="dxa"/>
            <w:vAlign w:val="bottom"/>
          </w:tcPr>
          <w:p>
            <w:pPr>
              <w:jc w:val="right"/>
              <w:ind w:right="108"/>
              <w:spacing w:after="0"/>
              <w:rPr>
                <w:sz w:val="20"/>
                <w:szCs w:val="20"/>
                <w:color w:val="auto"/>
              </w:rPr>
            </w:pPr>
            <w:r>
              <w:rPr>
                <w:rFonts w:ascii="Arial" w:cs="Arial" w:eastAsia="Arial" w:hAnsi="Arial"/>
                <w:sz w:val="10"/>
                <w:szCs w:val="10"/>
                <w:color w:val="auto"/>
              </w:rPr>
              <w:t>N/A</w:t>
            </w:r>
          </w:p>
        </w:tc>
        <w:tc>
          <w:tcPr>
            <w:tcW w:w="1000" w:type="dxa"/>
            <w:vAlign w:val="bottom"/>
          </w:tcPr>
          <w:p>
            <w:pPr>
              <w:jc w:val="right"/>
              <w:ind w:right="68"/>
              <w:spacing w:after="0"/>
              <w:rPr>
                <w:sz w:val="20"/>
                <w:szCs w:val="20"/>
                <w:color w:val="auto"/>
              </w:rPr>
            </w:pPr>
            <w:r>
              <w:rPr>
                <w:rFonts w:ascii="Arial" w:cs="Arial" w:eastAsia="Arial" w:hAnsi="Arial"/>
                <w:sz w:val="10"/>
                <w:szCs w:val="10"/>
                <w:color w:val="auto"/>
              </w:rPr>
              <w:t>N/A</w:t>
            </w:r>
          </w:p>
        </w:tc>
      </w:tr>
      <w:tr>
        <w:trPr>
          <w:trHeight w:val="153"/>
        </w:trPr>
        <w:tc>
          <w:tcPr>
            <w:tcW w:w="22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Tier 1 capital (to risk-weighted assets)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169,384</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12.53</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81,097</w:t>
            </w: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68"/>
              <w:spacing w:after="0"/>
              <w:rPr>
                <w:sz w:val="20"/>
                <w:szCs w:val="20"/>
                <w:color w:val="auto"/>
              </w:rPr>
            </w:pPr>
            <w:r>
              <w:rPr>
                <w:rFonts w:ascii="Arial" w:cs="Arial" w:eastAsia="Arial" w:hAnsi="Arial"/>
                <w:sz w:val="10"/>
                <w:szCs w:val="10"/>
                <w:color w:val="auto"/>
              </w:rPr>
              <w:t>108,130</w:t>
            </w: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8.00</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114,888</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8.50</w:t>
            </w:r>
          </w:p>
        </w:tc>
      </w:tr>
      <w:tr>
        <w:trPr>
          <w:trHeight w:val="107"/>
        </w:trPr>
        <w:tc>
          <w:tcPr>
            <w:tcW w:w="2240" w:type="dxa"/>
            <w:vAlign w:val="bottom"/>
          </w:tcPr>
          <w:p>
            <w:pPr>
              <w:ind w:left="120"/>
              <w:spacing w:after="0" w:line="107" w:lineRule="exact"/>
              <w:rPr>
                <w:sz w:val="20"/>
                <w:szCs w:val="20"/>
                <w:color w:val="auto"/>
              </w:rPr>
            </w:pPr>
            <w:r>
              <w:rPr>
                <w:rFonts w:ascii="Arial" w:cs="Arial" w:eastAsia="Arial" w:hAnsi="Arial"/>
                <w:sz w:val="10"/>
                <w:szCs w:val="10"/>
                <w:color w:val="auto"/>
              </w:rPr>
              <w:t>Common equity tier 1 capital ratio (to risk-</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32"/>
        </w:trPr>
        <w:tc>
          <w:tcPr>
            <w:tcW w:w="2240" w:type="dxa"/>
            <w:vAlign w:val="bottom"/>
          </w:tcPr>
          <w:p>
            <w:pPr>
              <w:ind w:left="240"/>
              <w:spacing w:after="0"/>
              <w:rPr>
                <w:sz w:val="20"/>
                <w:szCs w:val="20"/>
                <w:color w:val="auto"/>
              </w:rPr>
            </w:pPr>
            <w:r>
              <w:rPr>
                <w:rFonts w:ascii="Arial" w:cs="Arial" w:eastAsia="Arial" w:hAnsi="Arial"/>
                <w:sz w:val="10"/>
                <w:szCs w:val="10"/>
                <w:color w:val="auto"/>
              </w:rPr>
              <w:t>weighted assets)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169,384</w:t>
            </w:r>
          </w:p>
        </w:tc>
        <w:tc>
          <w:tcPr>
            <w:tcW w:w="980" w:type="dxa"/>
            <w:vAlign w:val="bottom"/>
          </w:tcPr>
          <w:p>
            <w:pPr>
              <w:jc w:val="right"/>
              <w:ind w:right="168"/>
              <w:spacing w:after="0"/>
              <w:rPr>
                <w:sz w:val="20"/>
                <w:szCs w:val="20"/>
                <w:color w:val="auto"/>
              </w:rPr>
            </w:pPr>
            <w:r>
              <w:rPr>
                <w:rFonts w:ascii="Arial" w:cs="Arial" w:eastAsia="Arial" w:hAnsi="Arial"/>
                <w:sz w:val="10"/>
                <w:szCs w:val="10"/>
                <w:color w:val="auto"/>
              </w:rPr>
              <w:t>12.53</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ind w:right="388"/>
              <w:spacing w:after="0"/>
              <w:rPr>
                <w:sz w:val="20"/>
                <w:szCs w:val="20"/>
                <w:color w:val="auto"/>
              </w:rPr>
            </w:pPr>
            <w:r>
              <w:rPr>
                <w:rFonts w:ascii="Arial" w:cs="Arial" w:eastAsia="Arial" w:hAnsi="Arial"/>
                <w:sz w:val="10"/>
                <w:szCs w:val="10"/>
                <w:color w:val="auto"/>
              </w:rPr>
              <w:t>60,823</w:t>
            </w:r>
          </w:p>
        </w:tc>
        <w:tc>
          <w:tcPr>
            <w:tcW w:w="560" w:type="dxa"/>
            <w:vAlign w:val="bottom"/>
          </w:tcPr>
          <w:p>
            <w:pPr>
              <w:jc w:val="right"/>
              <w:ind w:right="188"/>
              <w:spacing w:after="0"/>
              <w:rPr>
                <w:sz w:val="20"/>
                <w:szCs w:val="20"/>
                <w:color w:val="auto"/>
              </w:rPr>
            </w:pPr>
            <w:r>
              <w:rPr>
                <w:rFonts w:ascii="Arial" w:cs="Arial" w:eastAsia="Arial" w:hAnsi="Arial"/>
                <w:sz w:val="10"/>
                <w:szCs w:val="10"/>
                <w:color w:val="auto"/>
              </w:rPr>
              <w:t>4.50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jc w:val="right"/>
              <w:ind w:right="468"/>
              <w:spacing w:after="0"/>
              <w:rPr>
                <w:sz w:val="20"/>
                <w:szCs w:val="20"/>
                <w:color w:val="auto"/>
              </w:rPr>
            </w:pPr>
            <w:r>
              <w:rPr>
                <w:rFonts w:ascii="Arial" w:cs="Arial" w:eastAsia="Arial" w:hAnsi="Arial"/>
                <w:sz w:val="10"/>
                <w:szCs w:val="10"/>
                <w:color w:val="auto"/>
              </w:rPr>
              <w:t>87,856</w:t>
            </w:r>
          </w:p>
        </w:tc>
        <w:tc>
          <w:tcPr>
            <w:tcW w:w="500" w:type="dxa"/>
            <w:vAlign w:val="bottom"/>
          </w:tcPr>
          <w:p>
            <w:pPr>
              <w:jc w:val="right"/>
              <w:ind w:right="168"/>
              <w:spacing w:after="0"/>
              <w:rPr>
                <w:sz w:val="20"/>
                <w:szCs w:val="20"/>
                <w:color w:val="auto"/>
              </w:rPr>
            </w:pPr>
            <w:r>
              <w:rPr>
                <w:rFonts w:ascii="Arial" w:cs="Arial" w:eastAsia="Arial" w:hAnsi="Arial"/>
                <w:sz w:val="10"/>
                <w:szCs w:val="10"/>
                <w:color w:val="auto"/>
              </w:rPr>
              <w:t>6.50</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94,614</w:t>
            </w:r>
          </w:p>
        </w:tc>
        <w:tc>
          <w:tcPr>
            <w:tcW w:w="1000" w:type="dxa"/>
            <w:vAlign w:val="bottom"/>
          </w:tcPr>
          <w:p>
            <w:pPr>
              <w:jc w:val="right"/>
              <w:ind w:right="168"/>
              <w:spacing w:after="0"/>
              <w:rPr>
                <w:sz w:val="20"/>
                <w:szCs w:val="20"/>
                <w:color w:val="auto"/>
              </w:rPr>
            </w:pPr>
            <w:r>
              <w:rPr>
                <w:rFonts w:ascii="Arial" w:cs="Arial" w:eastAsia="Arial" w:hAnsi="Arial"/>
                <w:sz w:val="10"/>
                <w:szCs w:val="10"/>
                <w:color w:val="auto"/>
              </w:rPr>
              <w:t>7.00</w:t>
            </w:r>
          </w:p>
        </w:tc>
      </w:tr>
      <w:tr>
        <w:trPr>
          <w:trHeight w:val="114"/>
        </w:trPr>
        <w:tc>
          <w:tcPr>
            <w:tcW w:w="22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Total capital ratio (to risk-weighted</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39"/>
        </w:trPr>
        <w:tc>
          <w:tcPr>
            <w:tcW w:w="22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186,397</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13.79</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108,130</w:t>
            </w: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68"/>
              <w:spacing w:after="0"/>
              <w:rPr>
                <w:sz w:val="20"/>
                <w:szCs w:val="20"/>
                <w:color w:val="auto"/>
              </w:rPr>
            </w:pPr>
            <w:r>
              <w:rPr>
                <w:rFonts w:ascii="Arial" w:cs="Arial" w:eastAsia="Arial" w:hAnsi="Arial"/>
                <w:sz w:val="10"/>
                <w:szCs w:val="10"/>
                <w:color w:val="auto"/>
              </w:rPr>
              <w:t>135,162</w:t>
            </w: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141,921</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10.50</w:t>
            </w: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1"/>
        </w:trPr>
        <w:tc>
          <w:tcPr>
            <w:tcW w:w="2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0"/>
                <w:szCs w:val="10"/>
                <w:b w:val="1"/>
                <w:bCs w:val="1"/>
                <w:color w:val="auto"/>
              </w:rPr>
              <w:t>December 31, 2020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37"/>
        </w:trPr>
        <w:tc>
          <w:tcPr>
            <w:tcW w:w="2240" w:type="dxa"/>
            <w:vAlign w:val="bottom"/>
          </w:tcPr>
          <w:p>
            <w:pPr>
              <w:ind w:left="280"/>
              <w:spacing w:after="0"/>
              <w:rPr>
                <w:sz w:val="20"/>
                <w:szCs w:val="20"/>
                <w:color w:val="auto"/>
              </w:rPr>
            </w:pPr>
            <w:r>
              <w:rPr>
                <w:rFonts w:ascii="Arial" w:cs="Arial" w:eastAsia="Arial" w:hAnsi="Arial"/>
                <w:sz w:val="10"/>
                <w:szCs w:val="10"/>
                <w:b w:val="1"/>
                <w:bCs w:val="1"/>
                <w:color w:val="auto"/>
              </w:rPr>
              <w:t>The Company</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11"/>
        </w:trPr>
        <w:tc>
          <w:tcPr>
            <w:tcW w:w="2240" w:type="dxa"/>
            <w:vAlign w:val="bottom"/>
            <w:shd w:val="clear" w:color="auto" w:fill="CCEEFF"/>
          </w:tcPr>
          <w:p>
            <w:pPr>
              <w:ind w:left="380"/>
              <w:spacing w:after="0" w:line="112" w:lineRule="exact"/>
              <w:rPr>
                <w:sz w:val="20"/>
                <w:szCs w:val="20"/>
                <w:color w:val="auto"/>
              </w:rPr>
            </w:pPr>
            <w:r>
              <w:rPr>
                <w:rFonts w:ascii="Arial" w:cs="Arial" w:eastAsia="Arial" w:hAnsi="Arial"/>
                <w:sz w:val="10"/>
                <w:szCs w:val="10"/>
                <w:color w:val="auto"/>
              </w:rPr>
              <w:t>Tier 1 leverage ratio (to average</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39"/>
        </w:trPr>
        <w:tc>
          <w:tcPr>
            <w:tcW w:w="22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assets)</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159,656</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8.78</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72,770</w:t>
            </w: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rPr>
              <w:t>N/A</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N/A</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rPr>
              <w:t>N/A</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N/A</w:t>
            </w:r>
          </w:p>
        </w:tc>
      </w:tr>
      <w:tr>
        <w:trPr>
          <w:trHeight w:val="138"/>
        </w:trPr>
        <w:tc>
          <w:tcPr>
            <w:tcW w:w="2240" w:type="dxa"/>
            <w:vAlign w:val="bottom"/>
          </w:tcPr>
          <w:p>
            <w:pPr>
              <w:ind w:left="380"/>
              <w:spacing w:after="0"/>
              <w:rPr>
                <w:sz w:val="20"/>
                <w:szCs w:val="20"/>
                <w:color w:val="auto"/>
              </w:rPr>
            </w:pPr>
            <w:r>
              <w:rPr>
                <w:rFonts w:ascii="Arial" w:cs="Arial" w:eastAsia="Arial" w:hAnsi="Arial"/>
                <w:sz w:val="10"/>
                <w:szCs w:val="10"/>
                <w:color w:val="auto"/>
              </w:rPr>
              <w:t>Tier 1 capital (to risk-weighted assets)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159,656</w:t>
            </w:r>
          </w:p>
        </w:tc>
        <w:tc>
          <w:tcPr>
            <w:tcW w:w="980" w:type="dxa"/>
            <w:vAlign w:val="bottom"/>
          </w:tcPr>
          <w:p>
            <w:pPr>
              <w:jc w:val="right"/>
              <w:ind w:right="168"/>
              <w:spacing w:after="0"/>
              <w:rPr>
                <w:sz w:val="20"/>
                <w:szCs w:val="20"/>
                <w:color w:val="auto"/>
              </w:rPr>
            </w:pPr>
            <w:r>
              <w:rPr>
                <w:rFonts w:ascii="Arial" w:cs="Arial" w:eastAsia="Arial" w:hAnsi="Arial"/>
                <w:sz w:val="10"/>
                <w:szCs w:val="10"/>
                <w:color w:val="auto"/>
              </w:rPr>
              <w:t>13.10</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ind w:right="388"/>
              <w:spacing w:after="0"/>
              <w:rPr>
                <w:sz w:val="20"/>
                <w:szCs w:val="20"/>
                <w:color w:val="auto"/>
              </w:rPr>
            </w:pPr>
            <w:r>
              <w:rPr>
                <w:rFonts w:ascii="Arial" w:cs="Arial" w:eastAsia="Arial" w:hAnsi="Arial"/>
                <w:sz w:val="10"/>
                <w:szCs w:val="10"/>
                <w:color w:val="auto"/>
              </w:rPr>
              <w:t>73,100</w:t>
            </w:r>
          </w:p>
        </w:tc>
        <w:tc>
          <w:tcPr>
            <w:tcW w:w="560" w:type="dxa"/>
            <w:vAlign w:val="bottom"/>
          </w:tcPr>
          <w:p>
            <w:pPr>
              <w:jc w:val="right"/>
              <w:ind w:right="188"/>
              <w:spacing w:after="0"/>
              <w:rPr>
                <w:sz w:val="20"/>
                <w:szCs w:val="20"/>
                <w:color w:val="auto"/>
              </w:rPr>
            </w:pPr>
            <w:r>
              <w:rPr>
                <w:rFonts w:ascii="Arial" w:cs="Arial" w:eastAsia="Arial" w:hAnsi="Arial"/>
                <w:sz w:val="10"/>
                <w:szCs w:val="10"/>
                <w:color w:val="auto"/>
              </w:rPr>
              <w:t>6.00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ind w:right="728"/>
              <w:spacing w:after="0"/>
              <w:rPr>
                <w:sz w:val="20"/>
                <w:szCs w:val="20"/>
                <w:color w:val="auto"/>
              </w:rPr>
            </w:pPr>
            <w:r>
              <w:rPr>
                <w:rFonts w:ascii="Arial" w:cs="Arial" w:eastAsia="Arial" w:hAnsi="Arial"/>
                <w:sz w:val="10"/>
                <w:szCs w:val="10"/>
                <w:color w:val="auto"/>
              </w:rPr>
              <w:t>N/A</w:t>
            </w:r>
          </w:p>
        </w:tc>
        <w:tc>
          <w:tcPr>
            <w:tcW w:w="500" w:type="dxa"/>
            <w:vAlign w:val="bottom"/>
          </w:tcPr>
          <w:p>
            <w:pPr>
              <w:jc w:val="right"/>
              <w:ind w:right="68"/>
              <w:spacing w:after="0"/>
              <w:rPr>
                <w:sz w:val="20"/>
                <w:szCs w:val="20"/>
                <w:color w:val="auto"/>
              </w:rPr>
            </w:pPr>
            <w:r>
              <w:rPr>
                <w:rFonts w:ascii="Arial" w:cs="Arial" w:eastAsia="Arial" w:hAnsi="Arial"/>
                <w:sz w:val="10"/>
                <w:szCs w:val="10"/>
                <w:color w:val="auto"/>
              </w:rPr>
              <w:t>N/A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103,559</w:t>
            </w:r>
          </w:p>
        </w:tc>
        <w:tc>
          <w:tcPr>
            <w:tcW w:w="1000" w:type="dxa"/>
            <w:vAlign w:val="bottom"/>
          </w:tcPr>
          <w:p>
            <w:pPr>
              <w:jc w:val="right"/>
              <w:ind w:right="168"/>
              <w:spacing w:after="0"/>
              <w:rPr>
                <w:sz w:val="20"/>
                <w:szCs w:val="20"/>
                <w:color w:val="auto"/>
              </w:rPr>
            </w:pPr>
            <w:r>
              <w:rPr>
                <w:rFonts w:ascii="Arial" w:cs="Arial" w:eastAsia="Arial" w:hAnsi="Arial"/>
                <w:sz w:val="10"/>
                <w:szCs w:val="10"/>
                <w:color w:val="auto"/>
              </w:rPr>
              <w:t>8.50</w:t>
            </w:r>
          </w:p>
        </w:tc>
      </w:tr>
      <w:tr>
        <w:trPr>
          <w:trHeight w:val="114"/>
        </w:trPr>
        <w:tc>
          <w:tcPr>
            <w:tcW w:w="22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Common equity tier 1 capital ratio (to risk-</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39"/>
        </w:trPr>
        <w:tc>
          <w:tcPr>
            <w:tcW w:w="22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weighted 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157,594</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12.94</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54,825</w:t>
            </w: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rPr>
              <w:t>N/A</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N/A</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85,284</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7.00</w:t>
            </w:r>
          </w:p>
        </w:tc>
      </w:tr>
      <w:tr>
        <w:trPr>
          <w:trHeight w:val="107"/>
        </w:trPr>
        <w:tc>
          <w:tcPr>
            <w:tcW w:w="2240" w:type="dxa"/>
            <w:vAlign w:val="bottom"/>
          </w:tcPr>
          <w:p>
            <w:pPr>
              <w:ind w:left="380"/>
              <w:spacing w:after="0" w:line="107" w:lineRule="exact"/>
              <w:rPr>
                <w:sz w:val="20"/>
                <w:szCs w:val="20"/>
                <w:color w:val="auto"/>
              </w:rPr>
            </w:pPr>
            <w:r>
              <w:rPr>
                <w:rFonts w:ascii="Arial" w:cs="Arial" w:eastAsia="Arial" w:hAnsi="Arial"/>
                <w:sz w:val="10"/>
                <w:szCs w:val="10"/>
                <w:color w:val="auto"/>
              </w:rPr>
              <w:t>Total capital ratio (to risk-weighted</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32"/>
        </w:trPr>
        <w:tc>
          <w:tcPr>
            <w:tcW w:w="2240" w:type="dxa"/>
            <w:vAlign w:val="bottom"/>
          </w:tcPr>
          <w:p>
            <w:pPr>
              <w:ind w:left="120"/>
              <w:spacing w:after="0"/>
              <w:rPr>
                <w:sz w:val="20"/>
                <w:szCs w:val="20"/>
                <w:color w:val="auto"/>
              </w:rPr>
            </w:pPr>
            <w:r>
              <w:rPr>
                <w:rFonts w:ascii="Arial" w:cs="Arial" w:eastAsia="Arial" w:hAnsi="Arial"/>
                <w:sz w:val="10"/>
                <w:szCs w:val="10"/>
                <w:color w:val="auto"/>
              </w:rPr>
              <w:t>assets)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185,008</w:t>
            </w:r>
          </w:p>
        </w:tc>
        <w:tc>
          <w:tcPr>
            <w:tcW w:w="980" w:type="dxa"/>
            <w:vAlign w:val="bottom"/>
          </w:tcPr>
          <w:p>
            <w:pPr>
              <w:jc w:val="right"/>
              <w:ind w:right="168"/>
              <w:spacing w:after="0"/>
              <w:rPr>
                <w:sz w:val="20"/>
                <w:szCs w:val="20"/>
                <w:color w:val="auto"/>
              </w:rPr>
            </w:pPr>
            <w:r>
              <w:rPr>
                <w:rFonts w:ascii="Arial" w:cs="Arial" w:eastAsia="Arial" w:hAnsi="Arial"/>
                <w:sz w:val="10"/>
                <w:szCs w:val="10"/>
                <w:color w:val="auto"/>
              </w:rPr>
              <w:t>15.19</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ind w:right="388"/>
              <w:spacing w:after="0"/>
              <w:rPr>
                <w:sz w:val="20"/>
                <w:szCs w:val="20"/>
                <w:color w:val="auto"/>
              </w:rPr>
            </w:pPr>
            <w:r>
              <w:rPr>
                <w:rFonts w:ascii="Arial" w:cs="Arial" w:eastAsia="Arial" w:hAnsi="Arial"/>
                <w:sz w:val="10"/>
                <w:szCs w:val="10"/>
                <w:color w:val="auto"/>
              </w:rPr>
              <w:t>97,467</w:t>
            </w:r>
          </w:p>
        </w:tc>
        <w:tc>
          <w:tcPr>
            <w:tcW w:w="560" w:type="dxa"/>
            <w:vAlign w:val="bottom"/>
          </w:tcPr>
          <w:p>
            <w:pPr>
              <w:jc w:val="right"/>
              <w:ind w:right="188"/>
              <w:spacing w:after="0"/>
              <w:rPr>
                <w:sz w:val="20"/>
                <w:szCs w:val="20"/>
                <w:color w:val="auto"/>
              </w:rPr>
            </w:pPr>
            <w:r>
              <w:rPr>
                <w:rFonts w:ascii="Arial" w:cs="Arial" w:eastAsia="Arial" w:hAnsi="Arial"/>
                <w:sz w:val="10"/>
                <w:szCs w:val="10"/>
                <w:color w:val="auto"/>
              </w:rPr>
              <w:t>8.00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jc w:val="right"/>
              <w:ind w:right="728"/>
              <w:spacing w:after="0"/>
              <w:rPr>
                <w:sz w:val="20"/>
                <w:szCs w:val="20"/>
                <w:color w:val="auto"/>
              </w:rPr>
            </w:pPr>
            <w:r>
              <w:rPr>
                <w:rFonts w:ascii="Arial" w:cs="Arial" w:eastAsia="Arial" w:hAnsi="Arial"/>
                <w:sz w:val="10"/>
                <w:szCs w:val="10"/>
                <w:color w:val="auto"/>
              </w:rPr>
              <w:t>N/A</w:t>
            </w:r>
          </w:p>
        </w:tc>
        <w:tc>
          <w:tcPr>
            <w:tcW w:w="500" w:type="dxa"/>
            <w:vAlign w:val="bottom"/>
          </w:tcPr>
          <w:p>
            <w:pPr>
              <w:jc w:val="right"/>
              <w:ind w:right="68"/>
              <w:spacing w:after="0"/>
              <w:rPr>
                <w:sz w:val="20"/>
                <w:szCs w:val="20"/>
                <w:color w:val="auto"/>
              </w:rPr>
            </w:pPr>
            <w:r>
              <w:rPr>
                <w:rFonts w:ascii="Arial" w:cs="Arial" w:eastAsia="Arial" w:hAnsi="Arial"/>
                <w:sz w:val="10"/>
                <w:szCs w:val="10"/>
                <w:color w:val="auto"/>
              </w:rPr>
              <w:t>N/A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127,926</w:t>
            </w:r>
          </w:p>
        </w:tc>
        <w:tc>
          <w:tcPr>
            <w:tcW w:w="1000" w:type="dxa"/>
            <w:vAlign w:val="bottom"/>
          </w:tcPr>
          <w:p>
            <w:pPr>
              <w:jc w:val="right"/>
              <w:ind w:right="168"/>
              <w:spacing w:after="0"/>
              <w:rPr>
                <w:sz w:val="20"/>
                <w:szCs w:val="20"/>
                <w:color w:val="auto"/>
              </w:rPr>
            </w:pPr>
            <w:r>
              <w:rPr>
                <w:rFonts w:ascii="Arial" w:cs="Arial" w:eastAsia="Arial" w:hAnsi="Arial"/>
                <w:sz w:val="10"/>
                <w:szCs w:val="10"/>
                <w:color w:val="auto"/>
              </w:rPr>
              <w:t>10.50</w:t>
            </w:r>
          </w:p>
        </w:tc>
      </w:tr>
      <w:tr>
        <w:trPr>
          <w:trHeight w:val="186"/>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41"/>
        </w:trPr>
        <w:tc>
          <w:tcPr>
            <w:tcW w:w="2240" w:type="dxa"/>
            <w:vAlign w:val="bottom"/>
          </w:tcPr>
          <w:p>
            <w:pPr>
              <w:ind w:left="280"/>
              <w:spacing w:after="0"/>
              <w:rPr>
                <w:sz w:val="20"/>
                <w:szCs w:val="20"/>
                <w:color w:val="auto"/>
              </w:rPr>
            </w:pPr>
            <w:r>
              <w:rPr>
                <w:rFonts w:ascii="Arial" w:cs="Arial" w:eastAsia="Arial" w:hAnsi="Arial"/>
                <w:sz w:val="10"/>
                <w:szCs w:val="10"/>
                <w:b w:val="1"/>
                <w:bCs w:val="1"/>
                <w:color w:val="auto"/>
              </w:rPr>
              <w:t>The Bank</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11"/>
        </w:trPr>
        <w:tc>
          <w:tcPr>
            <w:tcW w:w="2240" w:type="dxa"/>
            <w:vAlign w:val="bottom"/>
            <w:shd w:val="clear" w:color="auto" w:fill="CCEEFF"/>
          </w:tcPr>
          <w:p>
            <w:pPr>
              <w:ind w:left="380"/>
              <w:spacing w:after="0" w:line="112" w:lineRule="exact"/>
              <w:rPr>
                <w:sz w:val="20"/>
                <w:szCs w:val="20"/>
                <w:color w:val="auto"/>
              </w:rPr>
            </w:pPr>
            <w:r>
              <w:rPr>
                <w:rFonts w:ascii="Arial" w:cs="Arial" w:eastAsia="Arial" w:hAnsi="Arial"/>
                <w:sz w:val="10"/>
                <w:szCs w:val="10"/>
                <w:color w:val="auto"/>
              </w:rPr>
              <w:t>Tier 1 leverage ratio (to average</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39"/>
        </w:trPr>
        <w:tc>
          <w:tcPr>
            <w:tcW w:w="22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assets)</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135,527</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7.44</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72,770</w:t>
            </w: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468"/>
              <w:spacing w:after="0"/>
              <w:rPr>
                <w:sz w:val="20"/>
                <w:szCs w:val="20"/>
                <w:color w:val="auto"/>
              </w:rPr>
            </w:pPr>
            <w:r>
              <w:rPr>
                <w:rFonts w:ascii="Arial" w:cs="Arial" w:eastAsia="Arial" w:hAnsi="Arial"/>
                <w:sz w:val="10"/>
                <w:szCs w:val="10"/>
                <w:color w:val="auto"/>
              </w:rPr>
              <w:t>90,962</w:t>
            </w: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5.00</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rPr>
              <w:t>N/A</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N/A</w:t>
            </w:r>
          </w:p>
        </w:tc>
      </w:tr>
      <w:tr>
        <w:trPr>
          <w:trHeight w:val="138"/>
        </w:trPr>
        <w:tc>
          <w:tcPr>
            <w:tcW w:w="2240" w:type="dxa"/>
            <w:vAlign w:val="bottom"/>
          </w:tcPr>
          <w:p>
            <w:pPr>
              <w:ind w:left="380"/>
              <w:spacing w:after="0"/>
              <w:rPr>
                <w:sz w:val="20"/>
                <w:szCs w:val="20"/>
                <w:color w:val="auto"/>
              </w:rPr>
            </w:pPr>
            <w:r>
              <w:rPr>
                <w:rFonts w:ascii="Arial" w:cs="Arial" w:eastAsia="Arial" w:hAnsi="Arial"/>
                <w:sz w:val="10"/>
                <w:szCs w:val="10"/>
                <w:color w:val="auto"/>
              </w:rPr>
              <w:t>Tier 1 capital (to risk-weighted assets)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135,527</w:t>
            </w:r>
          </w:p>
        </w:tc>
        <w:tc>
          <w:tcPr>
            <w:tcW w:w="980" w:type="dxa"/>
            <w:vAlign w:val="bottom"/>
          </w:tcPr>
          <w:p>
            <w:pPr>
              <w:jc w:val="right"/>
              <w:ind w:right="168"/>
              <w:spacing w:after="0"/>
              <w:rPr>
                <w:sz w:val="20"/>
                <w:szCs w:val="20"/>
                <w:color w:val="auto"/>
              </w:rPr>
            </w:pPr>
            <w:r>
              <w:rPr>
                <w:rFonts w:ascii="Arial" w:cs="Arial" w:eastAsia="Arial" w:hAnsi="Arial"/>
                <w:sz w:val="10"/>
                <w:szCs w:val="10"/>
                <w:color w:val="auto"/>
              </w:rPr>
              <w:t>12.06</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ind w:right="388"/>
              <w:spacing w:after="0"/>
              <w:rPr>
                <w:sz w:val="20"/>
                <w:szCs w:val="20"/>
                <w:color w:val="auto"/>
              </w:rPr>
            </w:pPr>
            <w:r>
              <w:rPr>
                <w:rFonts w:ascii="Arial" w:cs="Arial" w:eastAsia="Arial" w:hAnsi="Arial"/>
                <w:sz w:val="10"/>
                <w:szCs w:val="10"/>
                <w:color w:val="auto"/>
              </w:rPr>
              <w:t>71,731</w:t>
            </w:r>
          </w:p>
        </w:tc>
        <w:tc>
          <w:tcPr>
            <w:tcW w:w="560" w:type="dxa"/>
            <w:vAlign w:val="bottom"/>
          </w:tcPr>
          <w:p>
            <w:pPr>
              <w:jc w:val="right"/>
              <w:ind w:right="188"/>
              <w:spacing w:after="0"/>
              <w:rPr>
                <w:sz w:val="20"/>
                <w:szCs w:val="20"/>
                <w:color w:val="auto"/>
              </w:rPr>
            </w:pPr>
            <w:r>
              <w:rPr>
                <w:rFonts w:ascii="Arial" w:cs="Arial" w:eastAsia="Arial" w:hAnsi="Arial"/>
                <w:sz w:val="10"/>
                <w:szCs w:val="10"/>
                <w:color w:val="auto"/>
              </w:rPr>
              <w:t>6.00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ind w:right="468"/>
              <w:spacing w:after="0"/>
              <w:rPr>
                <w:sz w:val="20"/>
                <w:szCs w:val="20"/>
                <w:color w:val="auto"/>
              </w:rPr>
            </w:pPr>
            <w:r>
              <w:rPr>
                <w:rFonts w:ascii="Arial" w:cs="Arial" w:eastAsia="Arial" w:hAnsi="Arial"/>
                <w:sz w:val="10"/>
                <w:szCs w:val="10"/>
                <w:color w:val="auto"/>
              </w:rPr>
              <w:t>95,642</w:t>
            </w:r>
          </w:p>
        </w:tc>
        <w:tc>
          <w:tcPr>
            <w:tcW w:w="500" w:type="dxa"/>
            <w:vAlign w:val="bottom"/>
          </w:tcPr>
          <w:p>
            <w:pPr>
              <w:jc w:val="right"/>
              <w:ind w:right="168"/>
              <w:spacing w:after="0"/>
              <w:rPr>
                <w:sz w:val="20"/>
                <w:szCs w:val="20"/>
                <w:color w:val="auto"/>
              </w:rPr>
            </w:pPr>
            <w:r>
              <w:rPr>
                <w:rFonts w:ascii="Arial" w:cs="Arial" w:eastAsia="Arial" w:hAnsi="Arial"/>
                <w:sz w:val="10"/>
                <w:szCs w:val="10"/>
                <w:color w:val="auto"/>
              </w:rPr>
              <w:t>8.00</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101,645</w:t>
            </w:r>
          </w:p>
        </w:tc>
        <w:tc>
          <w:tcPr>
            <w:tcW w:w="1000" w:type="dxa"/>
            <w:vAlign w:val="bottom"/>
          </w:tcPr>
          <w:p>
            <w:pPr>
              <w:jc w:val="right"/>
              <w:ind w:right="168"/>
              <w:spacing w:after="0"/>
              <w:rPr>
                <w:sz w:val="20"/>
                <w:szCs w:val="20"/>
                <w:color w:val="auto"/>
              </w:rPr>
            </w:pPr>
            <w:r>
              <w:rPr>
                <w:rFonts w:ascii="Arial" w:cs="Arial" w:eastAsia="Arial" w:hAnsi="Arial"/>
                <w:sz w:val="10"/>
                <w:szCs w:val="10"/>
                <w:color w:val="auto"/>
              </w:rPr>
              <w:t>8.50</w:t>
            </w:r>
          </w:p>
        </w:tc>
      </w:tr>
      <w:tr>
        <w:trPr>
          <w:trHeight w:val="114"/>
        </w:trPr>
        <w:tc>
          <w:tcPr>
            <w:tcW w:w="22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Common equity tier 1 capital ratio (to risk-</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39"/>
        </w:trPr>
        <w:tc>
          <w:tcPr>
            <w:tcW w:w="22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weighted 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135,527</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12.06</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rPr>
              <w:t>53,798</w:t>
            </w: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68"/>
              <w:spacing w:after="0"/>
              <w:rPr>
                <w:sz w:val="20"/>
                <w:szCs w:val="20"/>
                <w:color w:val="auto"/>
              </w:rPr>
            </w:pPr>
            <w:r>
              <w:rPr>
                <w:rFonts w:ascii="Arial" w:cs="Arial" w:eastAsia="Arial" w:hAnsi="Arial"/>
                <w:sz w:val="10"/>
                <w:szCs w:val="10"/>
                <w:color w:val="auto"/>
              </w:rPr>
              <w:t>77,709</w:t>
            </w: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6.50</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83,708</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7.00</w:t>
            </w:r>
          </w:p>
        </w:tc>
      </w:tr>
      <w:tr>
        <w:trPr>
          <w:trHeight w:val="107"/>
        </w:trPr>
        <w:tc>
          <w:tcPr>
            <w:tcW w:w="2240" w:type="dxa"/>
            <w:vAlign w:val="bottom"/>
          </w:tcPr>
          <w:p>
            <w:pPr>
              <w:ind w:left="380"/>
              <w:spacing w:after="0" w:line="107" w:lineRule="exact"/>
              <w:rPr>
                <w:sz w:val="20"/>
                <w:szCs w:val="20"/>
                <w:color w:val="auto"/>
              </w:rPr>
            </w:pPr>
            <w:r>
              <w:rPr>
                <w:rFonts w:ascii="Arial" w:cs="Arial" w:eastAsia="Arial" w:hAnsi="Arial"/>
                <w:sz w:val="10"/>
                <w:szCs w:val="10"/>
                <w:color w:val="auto"/>
              </w:rPr>
              <w:t>Total capital ratio (to risk-weighted</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24"/>
        </w:trPr>
        <w:tc>
          <w:tcPr>
            <w:tcW w:w="2240" w:type="dxa"/>
            <w:vAlign w:val="bottom"/>
          </w:tcPr>
          <w:p>
            <w:pPr>
              <w:ind w:left="120"/>
              <w:spacing w:after="0"/>
              <w:rPr>
                <w:sz w:val="20"/>
                <w:szCs w:val="20"/>
                <w:color w:val="auto"/>
              </w:rPr>
            </w:pPr>
            <w:r>
              <w:rPr>
                <w:rFonts w:ascii="Arial" w:cs="Arial" w:eastAsia="Arial" w:hAnsi="Arial"/>
                <w:sz w:val="10"/>
                <w:szCs w:val="10"/>
                <w:color w:val="auto"/>
              </w:rPr>
              <w:t>assets)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150,593</w:t>
            </w:r>
          </w:p>
        </w:tc>
        <w:tc>
          <w:tcPr>
            <w:tcW w:w="980" w:type="dxa"/>
            <w:vAlign w:val="bottom"/>
          </w:tcPr>
          <w:p>
            <w:pPr>
              <w:jc w:val="right"/>
              <w:ind w:right="168"/>
              <w:spacing w:after="0"/>
              <w:rPr>
                <w:sz w:val="20"/>
                <w:szCs w:val="20"/>
                <w:color w:val="auto"/>
              </w:rPr>
            </w:pPr>
            <w:r>
              <w:rPr>
                <w:rFonts w:ascii="Arial" w:cs="Arial" w:eastAsia="Arial" w:hAnsi="Arial"/>
                <w:sz w:val="10"/>
                <w:szCs w:val="10"/>
                <w:color w:val="auto"/>
              </w:rPr>
              <w:t>13.40</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jc w:val="right"/>
              <w:ind w:right="388"/>
              <w:spacing w:after="0"/>
              <w:rPr>
                <w:sz w:val="20"/>
                <w:szCs w:val="20"/>
                <w:color w:val="auto"/>
              </w:rPr>
            </w:pPr>
            <w:r>
              <w:rPr>
                <w:rFonts w:ascii="Arial" w:cs="Arial" w:eastAsia="Arial" w:hAnsi="Arial"/>
                <w:sz w:val="10"/>
                <w:szCs w:val="10"/>
                <w:color w:val="auto"/>
              </w:rPr>
              <w:t>95,642</w:t>
            </w:r>
          </w:p>
        </w:tc>
        <w:tc>
          <w:tcPr>
            <w:tcW w:w="560" w:type="dxa"/>
            <w:vAlign w:val="bottom"/>
          </w:tcPr>
          <w:p>
            <w:pPr>
              <w:jc w:val="right"/>
              <w:ind w:right="188"/>
              <w:spacing w:after="0"/>
              <w:rPr>
                <w:sz w:val="20"/>
                <w:szCs w:val="20"/>
                <w:color w:val="auto"/>
              </w:rPr>
            </w:pPr>
            <w:r>
              <w:rPr>
                <w:rFonts w:ascii="Arial" w:cs="Arial" w:eastAsia="Arial" w:hAnsi="Arial"/>
                <w:sz w:val="10"/>
                <w:szCs w:val="10"/>
                <w:color w:val="auto"/>
              </w:rPr>
              <w:t>8.00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jc w:val="right"/>
              <w:ind w:right="468"/>
              <w:spacing w:after="0"/>
              <w:rPr>
                <w:sz w:val="20"/>
                <w:szCs w:val="20"/>
                <w:color w:val="auto"/>
              </w:rPr>
            </w:pPr>
            <w:r>
              <w:rPr>
                <w:rFonts w:ascii="Arial" w:cs="Arial" w:eastAsia="Arial" w:hAnsi="Arial"/>
                <w:sz w:val="10"/>
                <w:szCs w:val="10"/>
                <w:color w:val="auto"/>
              </w:rPr>
              <w:t>119,552</w:t>
            </w:r>
          </w:p>
        </w:tc>
        <w:tc>
          <w:tcPr>
            <w:tcW w:w="500" w:type="dxa"/>
            <w:vAlign w:val="bottom"/>
          </w:tcPr>
          <w:p>
            <w:pPr>
              <w:jc w:val="right"/>
              <w:ind w:right="168"/>
              <w:spacing w:after="0"/>
              <w:rPr>
                <w:sz w:val="20"/>
                <w:szCs w:val="20"/>
                <w:color w:val="auto"/>
              </w:rPr>
            </w:pPr>
            <w:r>
              <w:rPr>
                <w:rFonts w:ascii="Arial" w:cs="Arial" w:eastAsia="Arial" w:hAnsi="Arial"/>
                <w:sz w:val="10"/>
                <w:szCs w:val="10"/>
                <w:color w:val="auto"/>
              </w:rPr>
              <w:t>10.00</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125,562</w:t>
            </w:r>
          </w:p>
        </w:tc>
        <w:tc>
          <w:tcPr>
            <w:tcW w:w="1000" w:type="dxa"/>
            <w:vAlign w:val="bottom"/>
          </w:tcPr>
          <w:p>
            <w:pPr>
              <w:jc w:val="right"/>
              <w:ind w:right="168"/>
              <w:spacing w:after="0"/>
              <w:rPr>
                <w:sz w:val="20"/>
                <w:szCs w:val="20"/>
                <w:color w:val="auto"/>
              </w:rPr>
            </w:pPr>
            <w:r>
              <w:rPr>
                <w:rFonts w:ascii="Arial" w:cs="Arial" w:eastAsia="Arial" w:hAnsi="Arial"/>
                <w:sz w:val="10"/>
                <w:szCs w:val="10"/>
                <w:color w:val="auto"/>
              </w:rPr>
              <w:t>10.50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212090</wp:posOffset>
            </wp:positionV>
            <wp:extent cx="718121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080"/>
          </w:cols>
          <w:pgMar w:left="580" w:top="1392" w:right="239" w:bottom="1440" w:gutter="0" w:footer="0" w:header="0"/>
        </w:sectPr>
      </w:pPr>
    </w:p>
    <w:bookmarkStart w:id="50" w:name="page51"/>
    <w:bookmarkEnd w:id="50"/>
    <w:p>
      <w:pPr>
        <w:ind w:left="280"/>
        <w:spacing w:after="0"/>
        <w:rPr>
          <w:sz w:val="20"/>
          <w:szCs w:val="20"/>
          <w:color w:val="auto"/>
        </w:rPr>
      </w:pPr>
      <w:r>
        <w:rPr>
          <w:rFonts w:ascii="Arial" w:cs="Arial" w:eastAsia="Arial" w:hAnsi="Arial"/>
          <w:sz w:val="15"/>
          <w:szCs w:val="15"/>
          <w:b w:val="1"/>
          <w:bCs w:val="1"/>
          <w:color w:val="auto"/>
        </w:rPr>
        <w:t>Contractual Obligations</w:t>
      </w:r>
    </w:p>
    <w:p>
      <w:pPr>
        <w:spacing w:after="0" w:line="204"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December 31, 2021.</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Due in One Year or</w:t>
            </w:r>
          </w:p>
        </w:tc>
        <w:tc>
          <w:tcPr>
            <w:tcW w:w="15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9"/>
              </w:rPr>
              <w:t>Due After One Through</w:t>
            </w:r>
          </w:p>
        </w:tc>
        <w:tc>
          <w:tcPr>
            <w:tcW w:w="16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8"/>
              </w:rPr>
              <w:t>Due After Three Through</w:t>
            </w: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Due After 5 Years</w:t>
            </w:r>
          </w:p>
        </w:tc>
        <w:tc>
          <w:tcPr>
            <w:tcW w:w="280" w:type="dxa"/>
            <w:vAlign w:val="bottom"/>
          </w:tcPr>
          <w:p>
            <w:pPr>
              <w:spacing w:after="0"/>
              <w:rPr>
                <w:sz w:val="12"/>
                <w:szCs w:val="12"/>
                <w:color w:val="auto"/>
              </w:rPr>
            </w:pPr>
          </w:p>
        </w:tc>
        <w:tc>
          <w:tcPr>
            <w:tcW w:w="940" w:type="dxa"/>
            <w:vAlign w:val="bottom"/>
            <w:vMerge w:val="restart"/>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4060" w:type="dxa"/>
            <w:vAlign w:val="bottom"/>
          </w:tcPr>
          <w:p>
            <w:pPr>
              <w:ind w:left="20"/>
              <w:spacing w:after="0"/>
              <w:rPr>
                <w:sz w:val="20"/>
                <w:szCs w:val="20"/>
                <w:color w:val="auto"/>
              </w:rPr>
            </w:pPr>
            <w:r>
              <w:rPr>
                <w:rFonts w:ascii="Arial" w:cs="Arial" w:eastAsia="Arial" w:hAnsi="Arial"/>
                <w:sz w:val="9"/>
                <w:szCs w:val="9"/>
                <w:i w:val="1"/>
                <w:iCs w:val="1"/>
                <w:color w:val="auto"/>
              </w:rPr>
              <w:t>(in thousands)</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Less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8"/>
              </w:rPr>
              <w:t>Three Years</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9"/>
              </w:rPr>
              <w:t>Five Years</w:t>
            </w: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0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FHLB advances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22,000</w:t>
            </w:r>
          </w:p>
        </w:tc>
        <w:tc>
          <w:tcPr>
            <w:tcW w:w="0" w:type="dxa"/>
            <w:vAlign w:val="bottom"/>
          </w:tcPr>
          <w:p>
            <w:pPr>
              <w:spacing w:after="0"/>
              <w:rPr>
                <w:sz w:val="1"/>
                <w:szCs w:val="1"/>
                <w:color w:val="auto"/>
              </w:rPr>
            </w:pPr>
          </w:p>
        </w:tc>
      </w:tr>
      <w:tr>
        <w:trPr>
          <w:trHeight w:val="157"/>
        </w:trPr>
        <w:tc>
          <w:tcPr>
            <w:tcW w:w="4060" w:type="dxa"/>
            <w:vAlign w:val="bottom"/>
          </w:tcPr>
          <w:p>
            <w:pPr>
              <w:ind w:left="20"/>
              <w:spacing w:after="0"/>
              <w:rPr>
                <w:sz w:val="20"/>
                <w:szCs w:val="20"/>
                <w:color w:val="auto"/>
              </w:rPr>
            </w:pPr>
            <w:r>
              <w:rPr>
                <w:rFonts w:ascii="Arial" w:cs="Arial" w:eastAsia="Arial" w:hAnsi="Arial"/>
                <w:sz w:val="12"/>
                <w:szCs w:val="12"/>
                <w:color w:val="auto"/>
              </w:rPr>
              <w:t>Certificates of deposit $250,000 or more</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105,765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2,550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512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108,827</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Certificates of deposit less than $250,000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61,557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68,823</w:t>
            </w:r>
          </w:p>
        </w:tc>
        <w:tc>
          <w:tcPr>
            <w:tcW w:w="0" w:type="dxa"/>
            <w:vAlign w:val="bottom"/>
          </w:tcPr>
          <w:p>
            <w:pPr>
              <w:spacing w:after="0"/>
              <w:rPr>
                <w:sz w:val="1"/>
                <w:szCs w:val="1"/>
                <w:color w:val="auto"/>
              </w:rPr>
            </w:pPr>
          </w:p>
        </w:tc>
      </w:tr>
      <w:tr>
        <w:trPr>
          <w:trHeight w:val="157"/>
        </w:trPr>
        <w:tc>
          <w:tcPr>
            <w:tcW w:w="4060" w:type="dxa"/>
            <w:vAlign w:val="bottom"/>
          </w:tcPr>
          <w:p>
            <w:pPr>
              <w:ind w:left="20"/>
              <w:spacing w:after="0"/>
              <w:rPr>
                <w:sz w:val="20"/>
                <w:szCs w:val="20"/>
                <w:color w:val="auto"/>
              </w:rPr>
            </w:pPr>
            <w:r>
              <w:rPr>
                <w:rFonts w:ascii="Arial" w:cs="Arial" w:eastAsia="Arial" w:hAnsi="Arial"/>
                <w:sz w:val="12"/>
                <w:szCs w:val="12"/>
                <w:color w:val="auto"/>
              </w:rPr>
              <w:t>Lease payments</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1,099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1,496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225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2,820</w:t>
            </w: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Subordinated debt</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12,062</w:t>
            </w:r>
          </w:p>
        </w:tc>
        <w:tc>
          <w:tcPr>
            <w:tcW w:w="0" w:type="dxa"/>
            <w:vAlign w:val="bottom"/>
          </w:tcPr>
          <w:p>
            <w:pPr>
              <w:spacing w:after="0"/>
              <w:rPr>
                <w:sz w:val="1"/>
                <w:szCs w:val="1"/>
                <w:color w:val="auto"/>
              </w:rPr>
            </w:pPr>
          </w:p>
        </w:tc>
      </w:tr>
      <w:tr>
        <w:trPr>
          <w:trHeight w:val="148"/>
        </w:trPr>
        <w:tc>
          <w:tcPr>
            <w:tcW w:w="4060" w:type="dxa"/>
            <w:vAlign w:val="bottom"/>
          </w:tcPr>
          <w:p>
            <w:pPr>
              <w:ind w:left="20"/>
              <w:spacing w:after="0"/>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168,421</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10,286</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23,743</w:t>
            </w:r>
          </w:p>
        </w:tc>
        <w:tc>
          <w:tcPr>
            <w:tcW w:w="1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12,082</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214,532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Off-Balance Sheet Items</w:t>
      </w:r>
    </w:p>
    <w:p>
      <w:pPr>
        <w:spacing w:after="0" w:line="202" w:lineRule="exact"/>
        <w:rPr>
          <w:sz w:val="20"/>
          <w:szCs w:val="20"/>
          <w:color w:val="auto"/>
        </w:rPr>
      </w:pPr>
    </w:p>
    <w:p>
      <w:pPr>
        <w:jc w:val="both"/>
        <w:ind w:right="80" w:firstLine="268"/>
        <w:spacing w:after="0" w:line="250" w:lineRule="auto"/>
        <w:rPr>
          <w:sz w:val="20"/>
          <w:szCs w:val="20"/>
          <w:color w:val="auto"/>
        </w:rPr>
      </w:pPr>
      <w:r>
        <w:rPr>
          <w:rFonts w:ascii="Arial" w:cs="Arial" w:eastAsia="Arial" w:hAnsi="Arial"/>
          <w:sz w:val="15"/>
          <w:szCs w:val="15"/>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175"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95" w:lineRule="exact"/>
        <w:rPr>
          <w:sz w:val="20"/>
          <w:szCs w:val="20"/>
          <w:color w:val="auto"/>
        </w:rPr>
      </w:pPr>
    </w:p>
    <w:p>
      <w:pPr>
        <w:ind w:left="9620"/>
        <w:spacing w:after="0"/>
        <w:rPr>
          <w:sz w:val="20"/>
          <w:szCs w:val="20"/>
          <w:color w:val="auto"/>
        </w:rPr>
      </w:pPr>
      <w:r>
        <w:rPr>
          <w:rFonts w:ascii="Arial" w:cs="Arial" w:eastAsia="Arial" w:hAnsi="Arial"/>
          <w:sz w:val="12"/>
          <w:szCs w:val="12"/>
          <w:b w:val="1"/>
          <w:bCs w:val="1"/>
          <w:color w:val="auto"/>
        </w:rPr>
        <w:t>December 31,</w:t>
      </w:r>
    </w:p>
    <w:p>
      <w:pPr>
        <w:spacing w:after="0" w:line="18" w:lineRule="exact"/>
        <w:rPr>
          <w:sz w:val="20"/>
          <w:szCs w:val="20"/>
          <w:color w:val="auto"/>
        </w:rPr>
      </w:pPr>
    </w:p>
    <w:tbl>
      <w:tblPr>
        <w:tblLayout w:type="fixed"/>
        <w:tblInd w:w="280" w:type="dxa"/>
        <w:tblCellMar>
          <w:top w:w="0" w:type="dxa"/>
          <w:left w:w="0" w:type="dxa"/>
          <w:bottom w:w="0" w:type="dxa"/>
          <w:right w:w="0" w:type="dxa"/>
        </w:tblCellMar>
      </w:tblPr>
      <w:tr>
        <w:trPr>
          <w:trHeight w:val="148"/>
        </w:trPr>
        <w:tc>
          <w:tcPr>
            <w:tcW w:w="7920" w:type="dxa"/>
            <w:vAlign w:val="bottom"/>
          </w:tcPr>
          <w:p>
            <w:pPr>
              <w:ind w:left="280"/>
              <w:spacing w:after="0"/>
              <w:rPr>
                <w:sz w:val="20"/>
                <w:szCs w:val="20"/>
                <w:color w:val="auto"/>
              </w:rPr>
            </w:pPr>
            <w:r>
              <w:rPr>
                <w:rFonts w:ascii="Arial" w:cs="Arial" w:eastAsia="Arial" w:hAnsi="Arial"/>
                <w:sz w:val="9"/>
                <w:szCs w:val="9"/>
                <w:i w:val="1"/>
                <w:iCs w:val="1"/>
                <w:color w:val="auto"/>
              </w:rPr>
              <w:t>(in thousands)</w:t>
            </w:r>
          </w:p>
        </w:tc>
        <w:tc>
          <w:tcPr>
            <w:tcW w:w="5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2020</w:t>
            </w:r>
          </w:p>
        </w:tc>
      </w:tr>
      <w:tr>
        <w:trPr>
          <w:trHeight w:val="148"/>
        </w:trPr>
        <w:tc>
          <w:tcPr>
            <w:tcW w:w="7920" w:type="dxa"/>
            <w:vAlign w:val="bottom"/>
          </w:tcPr>
          <w:p>
            <w:pPr>
              <w:ind w:left="280"/>
              <w:spacing w:after="0"/>
              <w:rPr>
                <w:sz w:val="20"/>
                <w:szCs w:val="20"/>
                <w:color w:val="auto"/>
              </w:rPr>
            </w:pPr>
            <w:r>
              <w:rPr>
                <w:rFonts w:ascii="Arial" w:cs="Arial" w:eastAsia="Arial" w:hAnsi="Arial"/>
                <w:sz w:val="12"/>
                <w:szCs w:val="12"/>
                <w:color w:val="auto"/>
              </w:rPr>
              <w:t>Unfunded lines of credit</w:t>
            </w:r>
          </w:p>
        </w:tc>
        <w:tc>
          <w:tcPr>
            <w:tcW w:w="58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360,386</w:t>
            </w:r>
          </w:p>
        </w:tc>
        <w:tc>
          <w:tcPr>
            <w:tcW w:w="100" w:type="dxa"/>
            <w:vAlign w:val="bottom"/>
          </w:tcPr>
          <w:p>
            <w:pPr>
              <w:spacing w:after="0"/>
              <w:rPr>
                <w:sz w:val="12"/>
                <w:szCs w:val="12"/>
                <w:color w:val="auto"/>
              </w:rPr>
            </w:pPr>
          </w:p>
        </w:tc>
        <w:tc>
          <w:tcPr>
            <w:tcW w:w="58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331,5</w:t>
            </w:r>
          </w:p>
        </w:tc>
      </w:tr>
      <w:tr>
        <w:trPr>
          <w:trHeight w:val="157"/>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Commitments to originate residential loans held for sale</w:t>
            </w: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1,385</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r>
      <w:tr>
        <w:trPr>
          <w:trHeight w:val="157"/>
        </w:trPr>
        <w:tc>
          <w:tcPr>
            <w:tcW w:w="7920" w:type="dxa"/>
            <w:vAlign w:val="bottom"/>
          </w:tcPr>
          <w:p>
            <w:pPr>
              <w:ind w:left="280"/>
              <w:spacing w:after="0"/>
              <w:rPr>
                <w:sz w:val="20"/>
                <w:szCs w:val="20"/>
                <w:color w:val="auto"/>
              </w:rPr>
            </w:pPr>
            <w:r>
              <w:rPr>
                <w:rFonts w:ascii="Arial" w:cs="Arial" w:eastAsia="Arial" w:hAnsi="Arial"/>
                <w:sz w:val="12"/>
                <w:szCs w:val="12"/>
                <w:color w:val="auto"/>
              </w:rPr>
              <w:t>Letters of credit</w:t>
            </w: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5,105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57"/>
        </w:trPr>
        <w:tc>
          <w:tcPr>
            <w:tcW w:w="79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Commitment to fund other investments</w:t>
            </w:r>
          </w:p>
        </w:tc>
        <w:tc>
          <w:tcPr>
            <w:tcW w:w="5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6,352</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r>
      <w:tr>
        <w:trPr>
          <w:trHeight w:val="148"/>
        </w:trPr>
        <w:tc>
          <w:tcPr>
            <w:tcW w:w="7920" w:type="dxa"/>
            <w:vAlign w:val="bottom"/>
          </w:tcPr>
          <w:p>
            <w:pPr>
              <w:ind w:left="380"/>
              <w:spacing w:after="0"/>
              <w:rPr>
                <w:sz w:val="20"/>
                <w:szCs w:val="20"/>
                <w:color w:val="auto"/>
              </w:rPr>
            </w:pPr>
            <w:r>
              <w:rPr>
                <w:rFonts w:ascii="Arial" w:cs="Arial" w:eastAsia="Arial" w:hAnsi="Arial"/>
                <w:sz w:val="12"/>
                <w:szCs w:val="12"/>
                <w:color w:val="auto"/>
              </w:rPr>
              <w:t>Total credit extension commitments</w:t>
            </w: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373,228</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348,1</w:t>
            </w:r>
          </w:p>
        </w:tc>
      </w:tr>
      <w:tr>
        <w:trPr>
          <w:trHeight w:val="20"/>
        </w:trPr>
        <w:tc>
          <w:tcPr>
            <w:tcW w:w="7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right="80" w:firstLine="268"/>
        <w:spacing w:after="0" w:line="250" w:lineRule="auto"/>
        <w:rPr>
          <w:sz w:val="20"/>
          <w:szCs w:val="20"/>
          <w:color w:val="auto"/>
        </w:rPr>
      </w:pPr>
      <w:r>
        <w:rPr>
          <w:rFonts w:ascii="Arial" w:cs="Arial" w:eastAsia="Arial" w:hAnsi="Arial"/>
          <w:sz w:val="15"/>
          <w:szCs w:val="15"/>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The credit risk associated with issuing letters of credit is substantially the same as the risk involved in extending loan facilities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374" w:right="239" w:bottom="1440" w:gutter="0" w:footer="0" w:header="0"/>
        </w:sectPr>
      </w:pPr>
    </w:p>
    <w:bookmarkStart w:id="51" w:name="page52"/>
    <w:bookmarkEnd w:id="51"/>
    <w:p>
      <w:pPr>
        <w:jc w:val="both"/>
        <w:ind w:firstLine="268"/>
        <w:spacing w:after="0" w:line="253" w:lineRule="auto"/>
        <w:rPr>
          <w:sz w:val="20"/>
          <w:szCs w:val="20"/>
          <w:color w:val="auto"/>
        </w:rPr>
      </w:pPr>
      <w:r>
        <w:rPr>
          <w:rFonts w:ascii="Arial" w:cs="Arial" w:eastAsia="Arial" w:hAnsi="Arial"/>
          <w:sz w:val="15"/>
          <w:szCs w:val="15"/>
          <w:color w:val="auto"/>
        </w:rPr>
        <w:t>We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lines of credit commitments cannot be precisely predicted because there is no guarantee that the lines of credit will be used.</w:t>
      </w:r>
    </w:p>
    <w:p>
      <w:pPr>
        <w:spacing w:after="0" w:line="171"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Commitments to extend credit are agreements to lend funds to a customer,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72"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(interest rate lock commitments), and forward commitments for the future delivery of mortgage loans to third party investors are considered derivatives.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commitment to fund other investments reflects an obligation to make an investment in a Small Business Investment Company.</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Impact of Inflation</w:t>
      </w:r>
    </w:p>
    <w:p>
      <w:pPr>
        <w:spacing w:after="0" w:line="20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71"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u w:val="single" w:color="auto"/>
          <w:color w:val="auto"/>
        </w:rPr>
        <w:t>ITEM 7A. QUANTITATIVE AND QUALITATIVE DISCLOSURES ABOUT MARKET RISK</w:t>
      </w:r>
    </w:p>
    <w:p>
      <w:pPr>
        <w:spacing w:after="0" w:line="200" w:lineRule="exact"/>
        <w:rPr>
          <w:sz w:val="20"/>
          <w:szCs w:val="20"/>
          <w:color w:val="auto"/>
        </w:rPr>
      </w:pPr>
    </w:p>
    <w:p>
      <w:pPr>
        <w:spacing w:after="0" w:line="384" w:lineRule="exact"/>
        <w:rPr>
          <w:sz w:val="20"/>
          <w:szCs w:val="20"/>
          <w:color w:val="auto"/>
        </w:rPr>
      </w:pPr>
    </w:p>
    <w:p>
      <w:pPr>
        <w:jc w:val="both"/>
        <w:ind w:right="80" w:firstLine="268"/>
        <w:spacing w:after="0" w:line="250" w:lineRule="auto"/>
        <w:rPr>
          <w:sz w:val="20"/>
          <w:szCs w:val="20"/>
          <w:color w:val="auto"/>
        </w:rPr>
      </w:pPr>
      <w:r>
        <w:rPr>
          <w:rFonts w:ascii="Arial" w:cs="Arial" w:eastAsia="Arial" w:hAnsi="Arial"/>
          <w:sz w:val="15"/>
          <w:szCs w:val="15"/>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the results of our EAR analysis in simulating the change in net interest income and fair value of equity over a 12-month horizon as of</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2021:</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IMPACT ON NET INTEREST INCOME UNDER A STATIC BALANCE SHEET, PARALLEL INTEREST RATE SHOCK</w:t>
      </w:r>
    </w:p>
    <w:p>
      <w:pPr>
        <w:spacing w:after="0" w:line="223"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1820" w:type="dxa"/>
            <w:vAlign w:val="bottom"/>
            <w:gridSpan w:val="2"/>
          </w:tcPr>
          <w:p>
            <w:pPr>
              <w:spacing w:after="0"/>
              <w:rPr>
                <w:sz w:val="20"/>
                <w:szCs w:val="20"/>
                <w:color w:val="auto"/>
              </w:rPr>
            </w:pPr>
            <w:r>
              <w:rPr>
                <w:rFonts w:ascii="Arial" w:cs="Arial" w:eastAsia="Arial" w:hAnsi="Arial"/>
                <w:sz w:val="12"/>
                <w:szCs w:val="12"/>
                <w:b w:val="1"/>
                <w:bCs w:val="1"/>
                <w:color w:val="auto"/>
              </w:rPr>
              <w:t>Earnings at Risk</w:t>
            </w:r>
          </w:p>
        </w:tc>
        <w:tc>
          <w:tcPr>
            <w:tcW w:w="1280" w:type="dxa"/>
            <w:vAlign w:val="bottom"/>
          </w:tcPr>
          <w:p>
            <w:pPr>
              <w:jc w:val="right"/>
              <w:ind w:right="80"/>
              <w:spacing w:after="0"/>
              <w:rPr>
                <w:sz w:val="20"/>
                <w:szCs w:val="20"/>
                <w:color w:val="auto"/>
              </w:rPr>
            </w:pPr>
            <w:r>
              <w:rPr>
                <w:rFonts w:ascii="Arial" w:cs="Arial" w:eastAsia="Arial" w:hAnsi="Arial"/>
                <w:sz w:val="12"/>
                <w:szCs w:val="12"/>
                <w:b w:val="1"/>
                <w:bCs w:val="1"/>
                <w:color w:val="auto"/>
              </w:rPr>
              <w:t>-200 bps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b w:val="1"/>
                <w:bCs w:val="1"/>
                <w:color w:val="auto"/>
              </w:rPr>
              <w:t>-100 bps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140"/>
              <w:spacing w:after="0"/>
              <w:rPr>
                <w:sz w:val="20"/>
                <w:szCs w:val="20"/>
                <w:color w:val="auto"/>
              </w:rPr>
            </w:pPr>
            <w:r>
              <w:rPr>
                <w:rFonts w:ascii="Arial" w:cs="Arial" w:eastAsia="Arial" w:hAnsi="Arial"/>
                <w:sz w:val="12"/>
                <w:szCs w:val="12"/>
                <w:b w:val="1"/>
                <w:bCs w:val="1"/>
                <w:color w:val="auto"/>
              </w:rPr>
              <w:t>Flat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b w:val="1"/>
                <w:bCs w:val="1"/>
                <w:color w:val="auto"/>
              </w:rPr>
              <w:t>+100 bps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b w:val="1"/>
                <w:bCs w:val="1"/>
                <w:color w:val="auto"/>
              </w:rPr>
              <w:t>+200 bps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b w:val="1"/>
                <w:bCs w:val="1"/>
                <w:color w:val="auto"/>
              </w:rPr>
              <w:t>+300 bps</w:t>
            </w:r>
          </w:p>
        </w:tc>
      </w:tr>
      <w:tr>
        <w:trPr>
          <w:trHeight w:val="20"/>
        </w:trPr>
        <w:tc>
          <w:tcPr>
            <w:tcW w:w="2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0"/>
        </w:trPr>
        <w:tc>
          <w:tcPr>
            <w:tcW w:w="28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2"/>
                <w:szCs w:val="12"/>
                <w:color w:val="auto"/>
              </w:rPr>
              <w:t>December 31, 2021</w:t>
            </w:r>
          </w:p>
        </w:tc>
        <w:tc>
          <w:tcPr>
            <w:tcW w:w="1280" w:type="dxa"/>
            <w:vAlign w:val="bottom"/>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(4.7)</w:t>
            </w:r>
          </w:p>
        </w:tc>
        <w:tc>
          <w:tcPr>
            <w:tcW w:w="2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(2.3)</w:t>
            </w:r>
          </w:p>
        </w:tc>
        <w:tc>
          <w:tcPr>
            <w:tcW w:w="2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0.0</w:t>
            </w:r>
          </w:p>
        </w:tc>
        <w:tc>
          <w:tcPr>
            <w:tcW w:w="28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2.9</w:t>
            </w:r>
          </w:p>
        </w:tc>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7.2</w:t>
            </w:r>
          </w:p>
        </w:tc>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11.7</w:t>
            </w:r>
          </w:p>
        </w:tc>
      </w:tr>
    </w:tbl>
    <w:p>
      <w:pPr>
        <w:spacing w:after="0" w:line="257" w:lineRule="exact"/>
        <w:rPr>
          <w:sz w:val="20"/>
          <w:szCs w:val="20"/>
          <w:color w:val="auto"/>
        </w:rPr>
      </w:pPr>
    </w:p>
    <w:p>
      <w:pPr>
        <w:jc w:val="both"/>
        <w:ind w:right="80" w:firstLine="268"/>
        <w:spacing w:after="0" w:line="280" w:lineRule="auto"/>
        <w:rPr>
          <w:sz w:val="20"/>
          <w:szCs w:val="20"/>
          <w:color w:val="auto"/>
        </w:rPr>
      </w:pPr>
      <w:r>
        <w:rPr>
          <w:rFonts w:ascii="Arial" w:cs="Arial" w:eastAsia="Arial" w:hAnsi="Arial"/>
          <w:sz w:val="14"/>
          <w:szCs w:val="14"/>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to the application of the going concern principle.</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illustrates the results of our EVE analysis as of December 31, 2021.</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ECONOMIC VALUE OF EQUITY ANALYSIS UNDER A STATIC BALANCE SHEET, PARALLEL INTEREST RATE SHOCK</w:t>
      </w:r>
    </w:p>
    <w:p>
      <w:pPr>
        <w:spacing w:after="0" w:line="223"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Economic Value of</w:t>
            </w:r>
          </w:p>
        </w:tc>
        <w:tc>
          <w:tcPr>
            <w:tcW w:w="126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rPr>
              <w:t>-200 bps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rPr>
              <w:t>-100 bps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Flat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rPr>
              <w:t>+100 bps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rPr>
              <w:t>+200 bps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+300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1320" w:type="dxa"/>
            <w:vAlign w:val="bottom"/>
            <w:gridSpan w:val="3"/>
          </w:tcPr>
          <w:p>
            <w:pPr>
              <w:spacing w:after="0" w:line="92" w:lineRule="exact"/>
              <w:rPr>
                <w:sz w:val="20"/>
                <w:szCs w:val="20"/>
                <w:color w:val="auto"/>
              </w:rPr>
            </w:pPr>
            <w:r>
              <w:rPr>
                <w:rFonts w:ascii="Arial" w:cs="Arial" w:eastAsia="Arial" w:hAnsi="Arial"/>
                <w:sz w:val="10"/>
                <w:szCs w:val="10"/>
                <w:b w:val="1"/>
                <w:bCs w:val="1"/>
                <w:color w:val="auto"/>
              </w:rPr>
              <w:t>Equity</w:t>
            </w:r>
          </w:p>
        </w:tc>
        <w:tc>
          <w:tcPr>
            <w:tcW w:w="3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gridSpan w:val="3"/>
            <w:shd w:val="clear" w:color="auto" w:fill="CCEEFF"/>
          </w:tcPr>
          <w:p>
            <w:pPr>
              <w:spacing w:after="0" w:line="130" w:lineRule="exact"/>
              <w:rPr>
                <w:sz w:val="20"/>
                <w:szCs w:val="20"/>
                <w:color w:val="auto"/>
              </w:rPr>
            </w:pPr>
            <w:r>
              <w:rPr>
                <w:rFonts w:ascii="Arial" w:cs="Arial" w:eastAsia="Arial" w:hAnsi="Arial"/>
                <w:sz w:val="12"/>
                <w:szCs w:val="12"/>
                <w:color w:val="auto"/>
              </w:rPr>
              <w:t>December 31, 2021</w:t>
            </w:r>
          </w:p>
        </w:tc>
        <w:tc>
          <w:tcPr>
            <w:tcW w:w="1260" w:type="dxa"/>
            <w:vAlign w:val="bottom"/>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(6.4)</w:t>
            </w:r>
          </w:p>
        </w:tc>
        <w:tc>
          <w:tcPr>
            <w:tcW w:w="2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(2.2)</w:t>
            </w:r>
          </w:p>
        </w:tc>
        <w:tc>
          <w:tcPr>
            <w:tcW w:w="2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0.0</w:t>
            </w:r>
          </w:p>
        </w:tc>
        <w:tc>
          <w:tcPr>
            <w:tcW w:w="28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4.7</w:t>
            </w:r>
          </w:p>
        </w:tc>
        <w:tc>
          <w:tcPr>
            <w:tcW w:w="2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8.1</w:t>
            </w:r>
          </w:p>
        </w:tc>
        <w:tc>
          <w:tcPr>
            <w:tcW w:w="2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374" w:right="239" w:bottom="1440" w:gutter="0" w:footer="0" w:header="0"/>
        </w:sectPr>
      </w:pPr>
    </w:p>
    <w:bookmarkStart w:id="53" w:name="page54"/>
    <w:bookmarkEnd w:id="53"/>
    <w:p>
      <w:pPr>
        <w:ind w:left="280"/>
        <w:spacing w:after="0"/>
        <w:rPr>
          <w:sz w:val="20"/>
          <w:szCs w:val="20"/>
          <w:color w:val="auto"/>
        </w:rPr>
      </w:pPr>
      <w:r>
        <w:rPr>
          <w:rFonts w:ascii="Arial" w:cs="Arial" w:eastAsia="Arial" w:hAnsi="Arial"/>
          <w:sz w:val="15"/>
          <w:szCs w:val="15"/>
          <w:b w:val="1"/>
          <w:bCs w:val="1"/>
          <w:color w:val="auto"/>
        </w:rPr>
        <w:t>Interest Rate Sensitivity and Market Risk</w:t>
      </w:r>
    </w:p>
    <w:p>
      <w:pPr>
        <w:spacing w:after="0" w:line="204"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A fundamental risk in banking is exposure to market risk, since a bank’s net income is largely dependent on net interest income. The Bank’s ALCO formulates and monitors the management of interest rate risk through policies and guidelines established by it and the full Board of Directors and through review of detailed reports discussed quarterly. In its consideration of risk limits, the ALCO considers the impact on earnings and capital, the level and direction of interest rates, liquidity, local economic conditions, outside threats and other factors. Banking is generally a business of managing the maturity and repricing mismatch inherent in its asset and liability cash flows and to provide net interest income growth consistent with the Company’s profit objectives.</w:t>
      </w:r>
    </w:p>
    <w:p>
      <w:pPr>
        <w:spacing w:after="0" w:line="172"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optimizing income.</w:t>
      </w:r>
    </w:p>
    <w:p>
      <w:pPr>
        <w:spacing w:after="0" w:line="171"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We manage our exposure to interest rates by structuring our balance sheet in the ordinary course of business. We do not enter into instruments such as leveraged derivatives, financial options or financial future contracts for the purpose of reducing interest rate risk. We do hedge the interest rate risks of our available for sale mortgage pipeline by using mortgage-backed securities short positions, and of our subordinated debentures by utilizing an interest rate swap. Based on the nature of our operations, we are not subject to foreign exchange or commodity price risk. We do not own any trading assets.</w:t>
      </w:r>
    </w:p>
    <w:p>
      <w:pPr>
        <w:spacing w:after="0" w:line="171"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The ALCO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172"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5"/>
          <w:szCs w:val="15"/>
          <w:b w:val="1"/>
          <w:bCs w:val="1"/>
          <w:color w:val="auto"/>
        </w:rPr>
        <w:t>INTEREST SENSITIVITY GAP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December 31, 2021</w:t>
            </w:r>
          </w:p>
        </w:tc>
        <w:tc>
          <w:tcPr>
            <w:tcW w:w="12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Within One Month</w:t>
            </w:r>
          </w:p>
        </w:tc>
        <w:tc>
          <w:tcPr>
            <w:tcW w:w="140" w:type="dxa"/>
            <w:vAlign w:val="bottom"/>
          </w:tcPr>
          <w:p>
            <w:pPr>
              <w:spacing w:after="0"/>
              <w:rPr>
                <w:sz w:val="10"/>
                <w:szCs w:val="1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After One Month</w:t>
            </w:r>
          </w:p>
        </w:tc>
        <w:tc>
          <w:tcPr>
            <w:tcW w:w="100" w:type="dxa"/>
            <w:vAlign w:val="bottom"/>
          </w:tcPr>
          <w:p>
            <w:pPr>
              <w:spacing w:after="0"/>
              <w:rPr>
                <w:sz w:val="10"/>
                <w:szCs w:val="1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After Three Through</w:t>
            </w:r>
          </w:p>
        </w:tc>
        <w:tc>
          <w:tcPr>
            <w:tcW w:w="140" w:type="dxa"/>
            <w:vAlign w:val="bottom"/>
          </w:tcPr>
          <w:p>
            <w:pPr>
              <w:spacing w:after="0"/>
              <w:rPr>
                <w:sz w:val="10"/>
                <w:szCs w:val="10"/>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Within One Year</w:t>
            </w:r>
          </w:p>
        </w:tc>
        <w:tc>
          <w:tcPr>
            <w:tcW w:w="13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Greater Than One Year</w:t>
            </w:r>
          </w:p>
        </w:tc>
        <w:tc>
          <w:tcPr>
            <w:tcW w:w="260" w:type="dxa"/>
            <w:vAlign w:val="bottom"/>
          </w:tcPr>
          <w:p>
            <w:pPr>
              <w:spacing w:after="0"/>
              <w:rPr>
                <w:sz w:val="10"/>
                <w:szCs w:val="10"/>
                <w:color w:val="auto"/>
              </w:rPr>
            </w:pPr>
          </w:p>
        </w:tc>
        <w:tc>
          <w:tcPr>
            <w:tcW w:w="880" w:type="dxa"/>
            <w:vAlign w:val="bottom"/>
            <w:vMerge w:val="restart"/>
          </w:tcPr>
          <w:p>
            <w:pPr>
              <w:jc w:val="right"/>
              <w:ind w:right="38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1"/>
        </w:trPr>
        <w:tc>
          <w:tcPr>
            <w:tcW w:w="3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Through Three Months</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Twelve Months</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40" w:type="dxa"/>
            <w:vAlign w:val="bottom"/>
            <w:tcBorders>
              <w:top w:val="single" w:sz="8" w:color="auto"/>
            </w:tcBorders>
          </w:tcPr>
          <w:p>
            <w:pPr>
              <w:ind w:left="20"/>
              <w:spacing w:after="0"/>
              <w:rPr>
                <w:sz w:val="20"/>
                <w:szCs w:val="20"/>
                <w:color w:val="auto"/>
              </w:rPr>
            </w:pPr>
            <w:r>
              <w:rPr>
                <w:rFonts w:ascii="Arial" w:cs="Arial" w:eastAsia="Arial" w:hAnsi="Arial"/>
                <w:sz w:val="9"/>
                <w:szCs w:val="9"/>
                <w:i w:val="1"/>
                <w:iCs w:val="1"/>
                <w:color w:val="auto"/>
              </w:rPr>
              <w:t>(in thousands)</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4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40" w:type="dxa"/>
            <w:vAlign w:val="bottom"/>
          </w:tcPr>
          <w:p>
            <w:pPr>
              <w:ind w:left="20"/>
              <w:spacing w:after="0"/>
              <w:rPr>
                <w:sz w:val="20"/>
                <w:szCs w:val="20"/>
                <w:color w:val="auto"/>
              </w:rPr>
            </w:pPr>
            <w:r>
              <w:rPr>
                <w:rFonts w:ascii="Arial" w:cs="Arial" w:eastAsia="Arial" w:hAnsi="Arial"/>
                <w:sz w:val="10"/>
                <w:szCs w:val="10"/>
                <w:color w:val="auto"/>
              </w:rPr>
              <w:t>Interest earning assets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 xml:space="preserve">Loans </w:t>
            </w:r>
            <w:r>
              <w:rPr>
                <w:rFonts w:ascii="Arial" w:cs="Arial" w:eastAsia="Arial" w:hAnsi="Arial"/>
                <w:sz w:val="13"/>
                <w:szCs w:val="1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367,226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184,405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433,774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985,405</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662,851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1,648,256</w:t>
            </w:r>
          </w:p>
        </w:tc>
        <w:tc>
          <w:tcPr>
            <w:tcW w:w="0" w:type="dxa"/>
            <w:vAlign w:val="bottom"/>
          </w:tcPr>
          <w:p>
            <w:pPr>
              <w:spacing w:after="0"/>
              <w:rPr>
                <w:sz w:val="1"/>
                <w:szCs w:val="1"/>
                <w:color w:val="auto"/>
              </w:rPr>
            </w:pPr>
          </w:p>
        </w:tc>
      </w:tr>
      <w:tr>
        <w:trPr>
          <w:trHeight w:val="138"/>
        </w:trPr>
        <w:tc>
          <w:tcPr>
            <w:tcW w:w="3440" w:type="dxa"/>
            <w:vAlign w:val="bottom"/>
          </w:tcPr>
          <w:p>
            <w:pPr>
              <w:ind w:left="120"/>
              <w:spacing w:after="0"/>
              <w:rPr>
                <w:sz w:val="20"/>
                <w:szCs w:val="20"/>
                <w:color w:val="auto"/>
              </w:rPr>
            </w:pPr>
            <w:r>
              <w:rPr>
                <w:rFonts w:ascii="Arial" w:cs="Arial" w:eastAsia="Arial" w:hAnsi="Arial"/>
                <w:sz w:val="10"/>
                <w:szCs w:val="10"/>
                <w:color w:val="auto"/>
              </w:rPr>
              <w:t>Securities</w:t>
            </w:r>
          </w:p>
        </w:tc>
        <w:tc>
          <w:tcPr>
            <w:tcW w:w="120" w:type="dxa"/>
            <w:vAlign w:val="bottom"/>
          </w:tcPr>
          <w:p>
            <w:pPr>
              <w:spacing w:after="0"/>
              <w:rPr>
                <w:sz w:val="12"/>
                <w:szCs w:val="12"/>
                <w:color w:val="auto"/>
              </w:rPr>
            </w:pPr>
          </w:p>
        </w:tc>
        <w:tc>
          <w:tcPr>
            <w:tcW w:w="1100" w:type="dxa"/>
            <w:vAlign w:val="bottom"/>
          </w:tcPr>
          <w:p>
            <w:pPr>
              <w:jc w:val="right"/>
              <w:ind w:right="88"/>
              <w:spacing w:after="0"/>
              <w:rPr>
                <w:sz w:val="20"/>
                <w:szCs w:val="20"/>
                <w:color w:val="auto"/>
              </w:rPr>
            </w:pPr>
            <w:r>
              <w:rPr>
                <w:rFonts w:ascii="Arial" w:cs="Arial" w:eastAsia="Arial" w:hAnsi="Arial"/>
                <w:sz w:val="10"/>
                <w:szCs w:val="10"/>
                <w:color w:val="auto"/>
              </w:rPr>
              <w:t>16,100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88"/>
              <w:spacing w:after="0"/>
              <w:rPr>
                <w:sz w:val="20"/>
                <w:szCs w:val="20"/>
                <w:color w:val="auto"/>
              </w:rPr>
            </w:pPr>
            <w:r>
              <w:rPr>
                <w:rFonts w:ascii="Arial" w:cs="Arial" w:eastAsia="Arial" w:hAnsi="Arial"/>
                <w:sz w:val="10"/>
                <w:szCs w:val="10"/>
                <w:color w:val="auto"/>
              </w:rPr>
              <w:t>8,530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88"/>
              <w:spacing w:after="0"/>
              <w:rPr>
                <w:sz w:val="20"/>
                <w:szCs w:val="20"/>
                <w:color w:val="auto"/>
              </w:rPr>
            </w:pPr>
            <w:r>
              <w:rPr>
                <w:rFonts w:ascii="Arial" w:cs="Arial" w:eastAsia="Arial" w:hAnsi="Arial"/>
                <w:sz w:val="10"/>
                <w:szCs w:val="10"/>
                <w:color w:val="auto"/>
              </w:rPr>
              <w:t>3,777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88"/>
              <w:spacing w:after="0"/>
              <w:rPr>
                <w:sz w:val="20"/>
                <w:szCs w:val="20"/>
                <w:color w:val="auto"/>
              </w:rPr>
            </w:pPr>
            <w:r>
              <w:rPr>
                <w:rFonts w:ascii="Arial" w:cs="Arial" w:eastAsia="Arial" w:hAnsi="Arial"/>
                <w:sz w:val="10"/>
                <w:szCs w:val="10"/>
                <w:color w:val="auto"/>
              </w:rPr>
              <w:t>28,407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156,048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184,455</w:t>
            </w:r>
          </w:p>
        </w:tc>
        <w:tc>
          <w:tcPr>
            <w:tcW w:w="0" w:type="dxa"/>
            <w:vAlign w:val="bottom"/>
          </w:tcPr>
          <w:p>
            <w:pPr>
              <w:spacing w:after="0"/>
              <w:rPr>
                <w:sz w:val="1"/>
                <w:szCs w:val="1"/>
                <w:color w:val="auto"/>
              </w:rPr>
            </w:pPr>
          </w:p>
        </w:tc>
      </w:tr>
      <w:tr>
        <w:trPr>
          <w:trHeight w:val="153"/>
        </w:trPr>
        <w:tc>
          <w:tcPr>
            <w:tcW w:w="34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 bearing deposits at other financial institutions</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136,824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136,824</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136,824</w:t>
            </w:r>
          </w:p>
        </w:tc>
        <w:tc>
          <w:tcPr>
            <w:tcW w:w="0" w:type="dxa"/>
            <w:vAlign w:val="bottom"/>
          </w:tcPr>
          <w:p>
            <w:pPr>
              <w:spacing w:after="0"/>
              <w:rPr>
                <w:sz w:val="1"/>
                <w:szCs w:val="1"/>
                <w:color w:val="auto"/>
              </w:rPr>
            </w:pPr>
          </w:p>
        </w:tc>
      </w:tr>
      <w:tr>
        <w:trPr>
          <w:trHeight w:val="138"/>
        </w:trPr>
        <w:tc>
          <w:tcPr>
            <w:tcW w:w="3440" w:type="dxa"/>
            <w:vAlign w:val="bottom"/>
          </w:tcPr>
          <w:p>
            <w:pPr>
              <w:ind w:left="120"/>
              <w:spacing w:after="0"/>
              <w:rPr>
                <w:sz w:val="20"/>
                <w:szCs w:val="20"/>
                <w:color w:val="auto"/>
              </w:rPr>
            </w:pPr>
            <w:r>
              <w:rPr>
                <w:rFonts w:ascii="Arial" w:cs="Arial" w:eastAsia="Arial" w:hAnsi="Arial"/>
                <w:sz w:val="10"/>
                <w:szCs w:val="10"/>
                <w:color w:val="auto"/>
              </w:rPr>
              <w:t>Federal funds sold</w:t>
            </w:r>
          </w:p>
        </w:tc>
        <w:tc>
          <w:tcPr>
            <w:tcW w:w="120" w:type="dxa"/>
            <w:vAlign w:val="bottom"/>
          </w:tcPr>
          <w:p>
            <w:pPr>
              <w:spacing w:after="0"/>
              <w:rPr>
                <w:sz w:val="12"/>
                <w:szCs w:val="12"/>
                <w:color w:val="auto"/>
              </w:rPr>
            </w:pPr>
          </w:p>
        </w:tc>
        <w:tc>
          <w:tcPr>
            <w:tcW w:w="1100" w:type="dxa"/>
            <w:vAlign w:val="bottom"/>
          </w:tcPr>
          <w:p>
            <w:pPr>
              <w:jc w:val="right"/>
              <w:ind w:right="88"/>
              <w:spacing w:after="0"/>
              <w:rPr>
                <w:sz w:val="20"/>
                <w:szCs w:val="20"/>
                <w:color w:val="auto"/>
              </w:rPr>
            </w:pPr>
            <w:r>
              <w:rPr>
                <w:rFonts w:ascii="Arial" w:cs="Arial" w:eastAsia="Arial" w:hAnsi="Arial"/>
                <w:sz w:val="10"/>
                <w:szCs w:val="10"/>
                <w:color w:val="auto"/>
              </w:rPr>
              <w:t>3,657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80" w:type="dxa"/>
            <w:vAlign w:val="bottom"/>
          </w:tcPr>
          <w:p>
            <w:pPr>
              <w:jc w:val="right"/>
              <w:ind w:right="88"/>
              <w:spacing w:after="0"/>
              <w:rPr>
                <w:sz w:val="20"/>
                <w:szCs w:val="20"/>
                <w:color w:val="auto"/>
              </w:rPr>
            </w:pPr>
            <w:r>
              <w:rPr>
                <w:rFonts w:ascii="Arial" w:cs="Arial" w:eastAsia="Arial" w:hAnsi="Arial"/>
                <w:sz w:val="10"/>
                <w:szCs w:val="10"/>
                <w:color w:val="auto"/>
              </w:rPr>
              <w:t>3,657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3,657</w:t>
            </w:r>
          </w:p>
        </w:tc>
        <w:tc>
          <w:tcPr>
            <w:tcW w:w="0" w:type="dxa"/>
            <w:vAlign w:val="bottom"/>
          </w:tcPr>
          <w:p>
            <w:pPr>
              <w:spacing w:after="0"/>
              <w:rPr>
                <w:sz w:val="1"/>
                <w:szCs w:val="1"/>
                <w:color w:val="auto"/>
              </w:rPr>
            </w:pPr>
          </w:p>
        </w:tc>
      </w:tr>
      <w:tr>
        <w:trPr>
          <w:trHeight w:val="169"/>
        </w:trPr>
        <w:tc>
          <w:tcPr>
            <w:tcW w:w="34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0"/>
                <w:szCs w:val="10"/>
                <w:color w:val="auto"/>
              </w:rPr>
              <w:t>Total earning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523,807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192,935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437,551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1,154,293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rPr>
              <w:t>$</w:t>
            </w:r>
          </w:p>
        </w:tc>
        <w:tc>
          <w:tcPr>
            <w:tcW w:w="8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818,899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1,973,192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40" w:type="dxa"/>
            <w:vAlign w:val="bottom"/>
          </w:tcPr>
          <w:p>
            <w:pPr>
              <w:ind w:left="20"/>
              <w:spacing w:after="0"/>
              <w:rPr>
                <w:sz w:val="20"/>
                <w:szCs w:val="20"/>
                <w:color w:val="auto"/>
              </w:rPr>
            </w:pPr>
            <w:r>
              <w:rPr>
                <w:rFonts w:ascii="Arial" w:cs="Arial" w:eastAsia="Arial" w:hAnsi="Arial"/>
                <w:sz w:val="10"/>
                <w:szCs w:val="10"/>
                <w:color w:val="auto"/>
              </w:rPr>
              <w:t>Interest bearing liabilities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 bearing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11,630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23,262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104,677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139,569</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692,268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831,837</w:t>
            </w:r>
          </w:p>
        </w:tc>
        <w:tc>
          <w:tcPr>
            <w:tcW w:w="0" w:type="dxa"/>
            <w:vAlign w:val="bottom"/>
          </w:tcPr>
          <w:p>
            <w:pPr>
              <w:spacing w:after="0"/>
              <w:rPr>
                <w:sz w:val="1"/>
                <w:szCs w:val="1"/>
                <w:color w:val="auto"/>
              </w:rPr>
            </w:pPr>
          </w:p>
        </w:tc>
      </w:tr>
      <w:tr>
        <w:trPr>
          <w:trHeight w:val="138"/>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Time deposits</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11,287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21,224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134,927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167,438</w:t>
            </w: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10,212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177,650</w:t>
            </w: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ind w:left="400"/>
              <w:spacing w:after="0"/>
              <w:rPr>
                <w:sz w:val="20"/>
                <w:szCs w:val="20"/>
                <w:color w:val="auto"/>
              </w:rPr>
            </w:pPr>
            <w:r>
              <w:rPr>
                <w:rFonts w:ascii="Arial" w:cs="Arial" w:eastAsia="Arial" w:hAnsi="Arial"/>
                <w:sz w:val="10"/>
                <w:szCs w:val="10"/>
                <w:color w:val="auto"/>
              </w:rPr>
              <w:t>Total interest bearing deposits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22,917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44,486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239,604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307,007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702,480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1,009,487</w:t>
            </w:r>
          </w:p>
        </w:tc>
        <w:tc>
          <w:tcPr>
            <w:tcW w:w="0" w:type="dxa"/>
            <w:vAlign w:val="bottom"/>
          </w:tcPr>
          <w:p>
            <w:pPr>
              <w:spacing w:after="0"/>
              <w:rPr>
                <w:sz w:val="1"/>
                <w:szCs w:val="1"/>
                <w:color w:val="auto"/>
              </w:rPr>
            </w:pPr>
          </w:p>
        </w:tc>
      </w:tr>
      <w:tr>
        <w:trPr>
          <w:trHeight w:val="138"/>
        </w:trPr>
        <w:tc>
          <w:tcPr>
            <w:tcW w:w="3440" w:type="dxa"/>
            <w:vAlign w:val="bottom"/>
          </w:tcPr>
          <w:p>
            <w:pPr>
              <w:ind w:left="120"/>
              <w:spacing w:after="0"/>
              <w:rPr>
                <w:sz w:val="20"/>
                <w:szCs w:val="20"/>
                <w:color w:val="auto"/>
              </w:rPr>
            </w:pPr>
            <w:r>
              <w:rPr>
                <w:rFonts w:ascii="Arial" w:cs="Arial" w:eastAsia="Arial" w:hAnsi="Arial"/>
                <w:sz w:val="10"/>
                <w:szCs w:val="10"/>
                <w:color w:val="auto"/>
              </w:rPr>
              <w:t>FHLB Advances</w:t>
            </w:r>
          </w:p>
        </w:tc>
        <w:tc>
          <w:tcPr>
            <w:tcW w:w="12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22,000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22,000</w:t>
            </w:r>
          </w:p>
        </w:tc>
        <w:tc>
          <w:tcPr>
            <w:tcW w:w="0" w:type="dxa"/>
            <w:vAlign w:val="bottom"/>
          </w:tcPr>
          <w:p>
            <w:pPr>
              <w:spacing w:after="0"/>
              <w:rPr>
                <w:sz w:val="1"/>
                <w:szCs w:val="1"/>
                <w:color w:val="auto"/>
              </w:rPr>
            </w:pPr>
          </w:p>
        </w:tc>
      </w:tr>
      <w:tr>
        <w:trPr>
          <w:trHeight w:val="145"/>
        </w:trPr>
        <w:tc>
          <w:tcPr>
            <w:tcW w:w="34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borrowed funds</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12,062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12,062</w:t>
            </w:r>
          </w:p>
        </w:tc>
        <w:tc>
          <w:tcPr>
            <w:tcW w:w="0" w:type="dxa"/>
            <w:vAlign w:val="bottom"/>
          </w:tcPr>
          <w:p>
            <w:pPr>
              <w:spacing w:after="0"/>
              <w:rPr>
                <w:sz w:val="1"/>
                <w:szCs w:val="1"/>
                <w:color w:val="auto"/>
              </w:rPr>
            </w:pPr>
          </w:p>
        </w:tc>
      </w:tr>
      <w:tr>
        <w:trPr>
          <w:trHeight w:val="144"/>
        </w:trPr>
        <w:tc>
          <w:tcPr>
            <w:tcW w:w="3440" w:type="dxa"/>
            <w:vAlign w:val="bottom"/>
          </w:tcPr>
          <w:p>
            <w:pPr>
              <w:ind w:left="300"/>
              <w:spacing w:after="0"/>
              <w:rPr>
                <w:sz w:val="20"/>
                <w:szCs w:val="20"/>
                <w:color w:val="auto"/>
              </w:rPr>
            </w:pPr>
            <w:r>
              <w:rPr>
                <w:rFonts w:ascii="Arial" w:cs="Arial" w:eastAsia="Arial" w:hAnsi="Arial"/>
                <w:sz w:val="10"/>
                <w:szCs w:val="10"/>
                <w:color w:val="auto"/>
              </w:rPr>
              <w:t>Total interest bearing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rPr>
              <w:t>22,917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rPr>
              <w:t>44,486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rPr>
              <w:t>239,604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rPr>
              <w:t>307,007</w:t>
            </w:r>
          </w:p>
        </w:tc>
        <w:tc>
          <w:tcPr>
            <w:tcW w:w="1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0"/>
                <w:szCs w:val="10"/>
                <w:color w:val="auto"/>
              </w:rPr>
              <w:t>$</w:t>
            </w: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rPr>
              <w:t>736,542</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1,043,549</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40" w:type="dxa"/>
            <w:vAlign w:val="bottom"/>
          </w:tcPr>
          <w:p>
            <w:pPr>
              <w:ind w:left="20"/>
              <w:spacing w:after="0"/>
              <w:rPr>
                <w:sz w:val="20"/>
                <w:szCs w:val="20"/>
                <w:color w:val="auto"/>
              </w:rPr>
            </w:pPr>
            <w:r>
              <w:rPr>
                <w:rFonts w:ascii="Arial" w:cs="Arial" w:eastAsia="Arial" w:hAnsi="Arial"/>
                <w:sz w:val="10"/>
                <w:szCs w:val="10"/>
                <w:color w:val="auto"/>
              </w:rPr>
              <w:t>Period gap</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88"/>
              <w:spacing w:after="0"/>
              <w:rPr>
                <w:sz w:val="20"/>
                <w:szCs w:val="20"/>
                <w:color w:val="auto"/>
              </w:rPr>
            </w:pPr>
            <w:r>
              <w:rPr>
                <w:rFonts w:ascii="Arial" w:cs="Arial" w:eastAsia="Arial" w:hAnsi="Arial"/>
                <w:sz w:val="10"/>
                <w:szCs w:val="10"/>
                <w:color w:val="auto"/>
              </w:rPr>
              <w:t>500,890</w:t>
            </w:r>
          </w:p>
        </w:tc>
        <w:tc>
          <w:tcPr>
            <w:tcW w:w="100" w:type="dxa"/>
            <w:vAlign w:val="bottom"/>
          </w:tcPr>
          <w:p>
            <w:pPr>
              <w:spacing w:after="0"/>
              <w:rPr>
                <w:sz w:val="12"/>
                <w:szCs w:val="12"/>
                <w:color w:val="auto"/>
              </w:rPr>
            </w:pPr>
          </w:p>
        </w:tc>
        <w:tc>
          <w:tcPr>
            <w:tcW w:w="1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88"/>
              <w:spacing w:after="0"/>
              <w:rPr>
                <w:sz w:val="20"/>
                <w:szCs w:val="20"/>
                <w:color w:val="auto"/>
              </w:rPr>
            </w:pPr>
            <w:r>
              <w:rPr>
                <w:rFonts w:ascii="Arial" w:cs="Arial" w:eastAsia="Arial" w:hAnsi="Arial"/>
                <w:sz w:val="10"/>
                <w:szCs w:val="10"/>
                <w:color w:val="auto"/>
              </w:rPr>
              <w:t>148,449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88"/>
              <w:spacing w:after="0"/>
              <w:rPr>
                <w:sz w:val="20"/>
                <w:szCs w:val="20"/>
                <w:color w:val="auto"/>
              </w:rPr>
            </w:pPr>
            <w:r>
              <w:rPr>
                <w:rFonts w:ascii="Arial" w:cs="Arial" w:eastAsia="Arial" w:hAnsi="Arial"/>
                <w:sz w:val="10"/>
                <w:szCs w:val="10"/>
                <w:color w:val="auto"/>
              </w:rPr>
              <w:t>197,947</w:t>
            </w:r>
          </w:p>
        </w:tc>
        <w:tc>
          <w:tcPr>
            <w:tcW w:w="100" w:type="dxa"/>
            <w:vAlign w:val="bottom"/>
          </w:tcPr>
          <w:p>
            <w:pPr>
              <w:spacing w:after="0"/>
              <w:rPr>
                <w:sz w:val="12"/>
                <w:szCs w:val="12"/>
                <w:color w:val="auto"/>
              </w:rPr>
            </w:pPr>
          </w:p>
        </w:tc>
        <w:tc>
          <w:tcPr>
            <w:tcW w:w="1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88"/>
              <w:spacing w:after="0"/>
              <w:rPr>
                <w:sz w:val="20"/>
                <w:szCs w:val="20"/>
                <w:color w:val="auto"/>
              </w:rPr>
            </w:pPr>
            <w:r>
              <w:rPr>
                <w:rFonts w:ascii="Arial" w:cs="Arial" w:eastAsia="Arial" w:hAnsi="Arial"/>
                <w:sz w:val="10"/>
                <w:szCs w:val="10"/>
                <w:color w:val="auto"/>
              </w:rPr>
              <w:t>847,286</w:t>
            </w:r>
          </w:p>
        </w:tc>
        <w:tc>
          <w:tcPr>
            <w:tcW w:w="120" w:type="dxa"/>
            <w:vAlign w:val="bottom"/>
          </w:tcPr>
          <w:p>
            <w:pPr>
              <w:spacing w:after="0"/>
              <w:rPr>
                <w:sz w:val="12"/>
                <w:szCs w:val="12"/>
                <w:color w:val="auto"/>
              </w:rPr>
            </w:pPr>
          </w:p>
        </w:tc>
        <w:tc>
          <w:tcPr>
            <w:tcW w:w="380" w:type="dxa"/>
            <w:vAlign w:val="bottom"/>
          </w:tcPr>
          <w:p>
            <w:pPr>
              <w:jc w:val="right"/>
              <w:ind w:right="248"/>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82,357</w:t>
            </w:r>
          </w:p>
        </w:tc>
        <w:tc>
          <w:tcPr>
            <w:tcW w:w="100" w:type="dxa"/>
            <w:vAlign w:val="bottom"/>
          </w:tcPr>
          <w:p>
            <w:pPr>
              <w:spacing w:after="0"/>
              <w:rPr>
                <w:sz w:val="12"/>
                <w:szCs w:val="12"/>
                <w:color w:val="auto"/>
              </w:rPr>
            </w:pPr>
          </w:p>
        </w:tc>
        <w:tc>
          <w:tcPr>
            <w:tcW w:w="260" w:type="dxa"/>
            <w:vAlign w:val="bottom"/>
          </w:tcPr>
          <w:p>
            <w:pPr>
              <w:jc w:val="right"/>
              <w:ind w:right="128"/>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929,643</w:t>
            </w:r>
          </w:p>
        </w:tc>
        <w:tc>
          <w:tcPr>
            <w:tcW w:w="0" w:type="dxa"/>
            <w:vAlign w:val="bottom"/>
          </w:tcPr>
          <w:p>
            <w:pPr>
              <w:spacing w:after="0"/>
              <w:rPr>
                <w:sz w:val="1"/>
                <w:szCs w:val="1"/>
                <w:color w:val="auto"/>
              </w:rPr>
            </w:pPr>
          </w:p>
        </w:tc>
      </w:tr>
      <w:tr>
        <w:trPr>
          <w:trHeight w:val="153"/>
        </w:trPr>
        <w:tc>
          <w:tcPr>
            <w:tcW w:w="34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Cumulative gap</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500,890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649,339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847,286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847,286</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929,643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440" w:type="dxa"/>
            <w:vAlign w:val="bottom"/>
          </w:tcPr>
          <w:p>
            <w:pPr>
              <w:ind w:left="20"/>
              <w:spacing w:after="0"/>
              <w:rPr>
                <w:sz w:val="20"/>
                <w:szCs w:val="20"/>
                <w:color w:val="auto"/>
              </w:rPr>
            </w:pPr>
            <w:r>
              <w:rPr>
                <w:rFonts w:ascii="Arial" w:cs="Arial" w:eastAsia="Arial" w:hAnsi="Arial"/>
                <w:sz w:val="10"/>
                <w:szCs w:val="10"/>
                <w:color w:val="auto"/>
              </w:rPr>
              <w:t>Ratio of cumulative gap to total earning assets</w:t>
            </w:r>
          </w:p>
        </w:tc>
        <w:tc>
          <w:tcPr>
            <w:tcW w:w="1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25.38 %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32.91 %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42.94 %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42.94 %</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47.11 %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ind w:left="280" w:hanging="270"/>
        <w:spacing w:after="0" w:line="202" w:lineRule="auto"/>
        <w:tabs>
          <w:tab w:leader="none" w:pos="280" w:val="left"/>
        </w:tabs>
        <w:numPr>
          <w:ilvl w:val="0"/>
          <w:numId w:val="18"/>
        </w:numPr>
        <w:rPr>
          <w:rFonts w:ascii="Arial" w:cs="Arial" w:eastAsia="Arial" w:hAnsi="Arial"/>
          <w:sz w:val="14"/>
          <w:szCs w:val="14"/>
          <w:color w:val="auto"/>
          <w:vertAlign w:val="superscript"/>
        </w:rPr>
      </w:pPr>
      <w:r>
        <w:rPr>
          <w:rFonts w:ascii="Arial" w:cs="Arial" w:eastAsia="Arial" w:hAnsi="Arial"/>
          <w:sz w:val="10"/>
          <w:szCs w:val="10"/>
          <w:color w:val="auto"/>
        </w:rPr>
        <w:t>Includes loans held for sale.</w:t>
      </w:r>
    </w:p>
    <w:p>
      <w:pPr>
        <w:spacing w:after="0" w:line="384"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We use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detailed assumptions regarding changes in existing lines of business, new business, and changes in management and client behavior.</w:t>
      </w:r>
    </w:p>
    <w:p>
      <w:pPr>
        <w:spacing w:after="0" w:line="171"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u w:val="single" w:color="auto"/>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0159"/>
          </w:cols>
          <w:pgMar w:left="300" w:top="1374" w:right="1440" w:bottom="1440" w:gutter="0" w:footer="0" w:header="0"/>
        </w:sectPr>
      </w:pPr>
    </w:p>
    <w:bookmarkStart w:id="56" w:name="page57"/>
    <w:bookmarkEnd w:id="56"/>
    <w:p>
      <w:pPr>
        <w:ind w:left="372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the Board of Directors of Capital Bancorp, Inc.</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have audited the accompanying consolidated balance sheets of Capital Bancorp, Inc. and Subsidiaries (the “Company”) as of December 31, 2021 and 2020, the related consolidated statements of income, comprehensive income,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/s/ Elliott Davis, PLLC</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2017.</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Raleigh, North Carolina</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1569720</wp:posOffset>
            </wp:positionV>
            <wp:extent cx="718121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57" w:name="page58"/>
    <w:bookmarkEnd w:id="57"/>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367030</wp:posOffset>
            </wp:positionH>
            <wp:positionV relativeFrom="page">
              <wp:posOffset>102870</wp:posOffset>
            </wp:positionV>
            <wp:extent cx="7037070"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070" cy="13970"/>
                    </a:xfrm>
                    <a:prstGeom prst="rect">
                      <a:avLst/>
                    </a:prstGeom>
                    <a:noFill/>
                  </pic:spPr>
                </pic:pic>
              </a:graphicData>
            </a:graphic>
          </wp:anchor>
        </w:drawing>
        <w:t>Capital Bancorp, Inc. and Subsidiaries</w:t>
      </w:r>
    </w:p>
    <w:p>
      <w:pPr>
        <w:ind w:left="560"/>
        <w:spacing w:after="0" w:line="208" w:lineRule="auto"/>
        <w:rPr>
          <w:sz w:val="20"/>
          <w:szCs w:val="20"/>
          <w:color w:val="auto"/>
        </w:rPr>
      </w:pPr>
      <w:r>
        <w:rPr>
          <w:rFonts w:ascii="Arial" w:cs="Arial" w:eastAsia="Arial" w:hAnsi="Arial"/>
          <w:sz w:val="15"/>
          <w:szCs w:val="15"/>
          <w:b w:val="1"/>
          <w:bCs w:val="1"/>
          <w:i w:val="1"/>
          <w:iCs w:val="1"/>
          <w:color w:val="auto"/>
        </w:rPr>
        <w:t>Consolidated Balance Sheets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As of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2540</wp:posOffset>
            </wp:positionV>
            <wp:extent cx="7037070"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07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9"/>
                <w:szCs w:val="9"/>
                <w:i w:val="1"/>
                <w:iCs w:val="1"/>
                <w:color w:val="auto"/>
              </w:rPr>
              <w:t>(dollars 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2020</w:t>
            </w:r>
          </w:p>
        </w:tc>
      </w:tr>
      <w:tr>
        <w:trPr>
          <w:trHeight w:val="139"/>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57"/>
        </w:trPr>
        <w:tc>
          <w:tcPr>
            <w:tcW w:w="8020" w:type="dxa"/>
            <w:vAlign w:val="bottom"/>
          </w:tcPr>
          <w:p>
            <w:pPr>
              <w:ind w:left="20"/>
              <w:spacing w:after="0"/>
              <w:rPr>
                <w:sz w:val="20"/>
                <w:szCs w:val="20"/>
                <w:color w:val="auto"/>
              </w:rPr>
            </w:pPr>
            <w:r>
              <w:rPr>
                <w:rFonts w:ascii="Arial" w:cs="Arial" w:eastAsia="Arial" w:hAnsi="Arial"/>
                <w:sz w:val="12"/>
                <w:szCs w:val="12"/>
                <w:color w:val="auto"/>
              </w:rPr>
              <w:t>Cash and due from banks</w:t>
            </w: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42,914</w:t>
            </w:r>
          </w:p>
        </w:tc>
        <w:tc>
          <w:tcPr>
            <w:tcW w:w="1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18,456</w:t>
            </w: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bearing deposits at other financial institutions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136,824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126,081</w:t>
            </w:r>
          </w:p>
        </w:tc>
      </w:tr>
      <w:tr>
        <w:trPr>
          <w:trHeight w:val="15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Federal funds sold</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3,657</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2,373</w:t>
            </w:r>
          </w:p>
        </w:tc>
      </w:tr>
      <w:tr>
        <w:trPr>
          <w:trHeight w:val="148"/>
        </w:trPr>
        <w:tc>
          <w:tcPr>
            <w:tcW w:w="80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cash and cash equivalents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183,395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146,910</w:t>
            </w:r>
          </w:p>
        </w:tc>
      </w:tr>
      <w:tr>
        <w:trPr>
          <w:trHeight w:val="157"/>
        </w:trPr>
        <w:tc>
          <w:tcPr>
            <w:tcW w:w="8020" w:type="dxa"/>
            <w:vAlign w:val="bottom"/>
          </w:tcPr>
          <w:p>
            <w:pPr>
              <w:ind w:left="20"/>
              <w:spacing w:after="0"/>
              <w:rPr>
                <w:sz w:val="20"/>
                <w:szCs w:val="20"/>
                <w:color w:val="auto"/>
              </w:rPr>
            </w:pPr>
            <w:r>
              <w:rPr>
                <w:rFonts w:ascii="Arial" w:cs="Arial" w:eastAsia="Arial" w:hAnsi="Arial"/>
                <w:sz w:val="12"/>
                <w:szCs w:val="12"/>
                <w:color w:val="auto"/>
              </w:rPr>
              <w:t>Investment securities available for sale</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184,455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99,787</w:t>
            </w: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Marketable equity securities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w:t>
            </w:r>
          </w:p>
        </w:tc>
      </w:tr>
      <w:tr>
        <w:trPr>
          <w:trHeight w:val="157"/>
        </w:trPr>
        <w:tc>
          <w:tcPr>
            <w:tcW w:w="8020" w:type="dxa"/>
            <w:vAlign w:val="bottom"/>
          </w:tcPr>
          <w:p>
            <w:pPr>
              <w:ind w:left="20"/>
              <w:spacing w:after="0"/>
              <w:rPr>
                <w:sz w:val="20"/>
                <w:szCs w:val="20"/>
                <w:color w:val="auto"/>
              </w:rPr>
            </w:pPr>
            <w:r>
              <w:rPr>
                <w:rFonts w:ascii="Arial" w:cs="Arial" w:eastAsia="Arial" w:hAnsi="Arial"/>
                <w:sz w:val="12"/>
                <w:szCs w:val="12"/>
                <w:color w:val="auto"/>
              </w:rPr>
              <w:t>Restricted investments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3,498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3,713</w:t>
            </w: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Loans held for sale</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15,989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107,154</w:t>
            </w:r>
          </w:p>
        </w:tc>
      </w:tr>
      <w:tr>
        <w:trPr>
          <w:trHeight w:val="157"/>
        </w:trPr>
        <w:tc>
          <w:tcPr>
            <w:tcW w:w="8020" w:type="dxa"/>
            <w:vAlign w:val="bottom"/>
          </w:tcPr>
          <w:p>
            <w:pPr>
              <w:ind w:left="60"/>
              <w:spacing w:after="0"/>
              <w:rPr>
                <w:sz w:val="20"/>
                <w:szCs w:val="20"/>
                <w:color w:val="auto"/>
              </w:rPr>
            </w:pPr>
            <w:r>
              <w:rPr>
                <w:rFonts w:ascii="Arial" w:cs="Arial" w:eastAsia="Arial" w:hAnsi="Arial"/>
                <w:sz w:val="12"/>
                <w:szCs w:val="12"/>
                <w:color w:val="auto"/>
              </w:rPr>
              <w:t>U.S. Small Business Administration ("SBA") Payroll Protection Program ("PPP") loans receivable, net of deferred fees and costs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108,285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201,018</w:t>
            </w:r>
          </w:p>
        </w:tc>
      </w:tr>
      <w:tr>
        <w:trPr>
          <w:trHeight w:val="157"/>
        </w:trPr>
        <w:tc>
          <w:tcPr>
            <w:tcW w:w="8020" w:type="dxa"/>
            <w:vAlign w:val="bottom"/>
            <w:shd w:val="clear" w:color="auto" w:fill="CCEEFF"/>
          </w:tcPr>
          <w:p>
            <w:pPr>
              <w:ind w:left="60"/>
              <w:spacing w:after="0"/>
              <w:rPr>
                <w:sz w:val="20"/>
                <w:szCs w:val="20"/>
                <w:color w:val="auto"/>
              </w:rPr>
            </w:pPr>
            <w:r>
              <w:rPr>
                <w:rFonts w:ascii="Arial" w:cs="Arial" w:eastAsia="Arial" w:hAnsi="Arial"/>
                <w:sz w:val="12"/>
                <w:szCs w:val="12"/>
                <w:color w:val="auto"/>
              </w:rPr>
              <w:t>Portfolio loans receivable, net of deferred fees and costs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1,523,982</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1,315,502</w:t>
            </w:r>
          </w:p>
        </w:tc>
      </w:tr>
      <w:tr>
        <w:trPr>
          <w:trHeight w:val="157"/>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Less allowance for loan losses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(25,181)</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(23,434)</w:t>
            </w:r>
          </w:p>
        </w:tc>
      </w:tr>
      <w:tr>
        <w:trPr>
          <w:trHeight w:val="148"/>
        </w:trPr>
        <w:tc>
          <w:tcPr>
            <w:tcW w:w="80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portfolio loans held for investment, net</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1,498,801</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1,292,068</w:t>
            </w:r>
          </w:p>
        </w:tc>
      </w:tr>
      <w:tr>
        <w:trPr>
          <w:trHeight w:val="157"/>
        </w:trPr>
        <w:tc>
          <w:tcPr>
            <w:tcW w:w="8020" w:type="dxa"/>
            <w:vAlign w:val="bottom"/>
          </w:tcPr>
          <w:p>
            <w:pPr>
              <w:ind w:left="20"/>
              <w:spacing w:after="0"/>
              <w:rPr>
                <w:sz w:val="20"/>
                <w:szCs w:val="20"/>
                <w:color w:val="auto"/>
              </w:rPr>
            </w:pPr>
            <w:r>
              <w:rPr>
                <w:rFonts w:ascii="Arial" w:cs="Arial" w:eastAsia="Arial" w:hAnsi="Arial"/>
                <w:sz w:val="12"/>
                <w:szCs w:val="12"/>
                <w:color w:val="auto"/>
              </w:rPr>
              <w:t>Premises and equipment, net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3,282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4,464</w:t>
            </w: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interest receivable</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7,901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8,134</w:t>
            </w:r>
          </w:p>
        </w:tc>
      </w:tr>
      <w:tr>
        <w:trPr>
          <w:trHeight w:val="157"/>
        </w:trPr>
        <w:tc>
          <w:tcPr>
            <w:tcW w:w="8020" w:type="dxa"/>
            <w:vAlign w:val="bottom"/>
          </w:tcPr>
          <w:p>
            <w:pPr>
              <w:ind w:left="20"/>
              <w:spacing w:after="0"/>
              <w:rPr>
                <w:sz w:val="20"/>
                <w:szCs w:val="20"/>
                <w:color w:val="auto"/>
              </w:rPr>
            </w:pPr>
            <w:r>
              <w:rPr>
                <w:rFonts w:ascii="Arial" w:cs="Arial" w:eastAsia="Arial" w:hAnsi="Arial"/>
                <w:sz w:val="12"/>
                <w:szCs w:val="12"/>
                <w:color w:val="auto"/>
              </w:rPr>
              <w:t>Deferred tax asset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9,793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6,818</w:t>
            </w: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Foreclosed real estate</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3,326</w:t>
            </w:r>
          </w:p>
        </w:tc>
      </w:tr>
      <w:tr>
        <w:trPr>
          <w:trHeight w:val="157"/>
        </w:trPr>
        <w:tc>
          <w:tcPr>
            <w:tcW w:w="8020" w:type="dxa"/>
            <w:vAlign w:val="bottom"/>
          </w:tcPr>
          <w:p>
            <w:pPr>
              <w:ind w:left="20"/>
              <w:spacing w:after="0"/>
              <w:rPr>
                <w:sz w:val="20"/>
                <w:szCs w:val="20"/>
                <w:color w:val="auto"/>
              </w:rPr>
            </w:pPr>
            <w:r>
              <w:rPr>
                <w:rFonts w:ascii="Arial" w:cs="Arial" w:eastAsia="Arial" w:hAnsi="Arial"/>
                <w:sz w:val="12"/>
                <w:szCs w:val="12"/>
                <w:color w:val="auto"/>
              </w:rPr>
              <w:t>Bank owned life insurance</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35,506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4,064</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2,956</w:t>
            </w:r>
          </w:p>
        </w:tc>
      </w:tr>
      <w:tr>
        <w:trPr>
          <w:trHeight w:val="148"/>
        </w:trPr>
        <w:tc>
          <w:tcPr>
            <w:tcW w:w="8020" w:type="dxa"/>
            <w:vAlign w:val="bottom"/>
          </w:tcPr>
          <w:p>
            <w:pPr>
              <w:ind w:left="420"/>
              <w:spacing w:after="0"/>
              <w:rPr>
                <w:sz w:val="20"/>
                <w:szCs w:val="20"/>
                <w:color w:val="auto"/>
              </w:rPr>
            </w:pPr>
            <w:r>
              <w:rPr>
                <w:rFonts w:ascii="Arial" w:cs="Arial" w:eastAsia="Arial" w:hAnsi="Arial"/>
                <w:sz w:val="12"/>
                <w:szCs w:val="12"/>
                <w:color w:val="auto"/>
              </w:rPr>
              <w:t>Total assets</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2,055,300</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1,876,593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1"/>
        </w:trPr>
        <w:tc>
          <w:tcPr>
            <w:tcW w:w="8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57"/>
        </w:trPr>
        <w:tc>
          <w:tcPr>
            <w:tcW w:w="8020" w:type="dxa"/>
            <w:vAlign w:val="bottom"/>
          </w:tcPr>
          <w:p>
            <w:pPr>
              <w:ind w:left="20"/>
              <w:spacing w:after="0"/>
              <w:rPr>
                <w:sz w:val="20"/>
                <w:szCs w:val="20"/>
                <w:color w:val="auto"/>
              </w:rPr>
            </w:pPr>
            <w:r>
              <w:rPr>
                <w:rFonts w:ascii="Arial" w:cs="Arial" w:eastAsia="Arial" w:hAnsi="Arial"/>
                <w:sz w:val="12"/>
                <w:szCs w:val="12"/>
                <w:b w:val="1"/>
                <w:bCs w:val="1"/>
                <w:color w:val="auto"/>
              </w:rPr>
              <w:t>Liabilities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Deposits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7"/>
        </w:trPr>
        <w:tc>
          <w:tcPr>
            <w:tcW w:w="8020" w:type="dxa"/>
            <w:vAlign w:val="bottom"/>
          </w:tcPr>
          <w:p>
            <w:pPr>
              <w:ind w:left="200"/>
              <w:spacing w:after="0"/>
              <w:rPr>
                <w:sz w:val="20"/>
                <w:szCs w:val="20"/>
                <w:color w:val="auto"/>
              </w:rPr>
            </w:pPr>
            <w:r>
              <w:rPr>
                <w:rFonts w:ascii="Arial" w:cs="Arial" w:eastAsia="Arial" w:hAnsi="Arial"/>
                <w:sz w:val="12"/>
                <w:szCs w:val="12"/>
                <w:color w:val="auto"/>
              </w:rPr>
              <w:t>Noninterest-bearing</w:t>
            </w: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787,650</w:t>
            </w:r>
          </w:p>
        </w:tc>
        <w:tc>
          <w:tcPr>
            <w:tcW w:w="1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608,559</w:t>
            </w:r>
          </w:p>
        </w:tc>
      </w:tr>
      <w:tr>
        <w:trPr>
          <w:trHeight w:val="157"/>
        </w:trPr>
        <w:tc>
          <w:tcPr>
            <w:tcW w:w="80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Interest-bearing</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1,009,487</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1,043,569</w:t>
            </w:r>
          </w:p>
        </w:tc>
      </w:tr>
      <w:tr>
        <w:trPr>
          <w:trHeight w:val="148"/>
        </w:trPr>
        <w:tc>
          <w:tcPr>
            <w:tcW w:w="8020" w:type="dxa"/>
            <w:vAlign w:val="bottom"/>
          </w:tcPr>
          <w:p>
            <w:pPr>
              <w:ind w:left="420"/>
              <w:spacing w:after="0"/>
              <w:rPr>
                <w:sz w:val="20"/>
                <w:szCs w:val="20"/>
                <w:color w:val="auto"/>
              </w:rPr>
            </w:pPr>
            <w:r>
              <w:rPr>
                <w:rFonts w:ascii="Arial" w:cs="Arial" w:eastAsia="Arial" w:hAnsi="Arial"/>
                <w:sz w:val="12"/>
                <w:szCs w:val="12"/>
                <w:color w:val="auto"/>
              </w:rPr>
              <w:t>Total deposits</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1,797,137</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1,652,128</w:t>
            </w: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Federal Home Loan Bank advances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22,000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22,000</w:t>
            </w:r>
          </w:p>
        </w:tc>
      </w:tr>
      <w:tr>
        <w:trPr>
          <w:trHeight w:val="157"/>
        </w:trPr>
        <w:tc>
          <w:tcPr>
            <w:tcW w:w="8020" w:type="dxa"/>
            <w:vAlign w:val="bottom"/>
          </w:tcPr>
          <w:p>
            <w:pPr>
              <w:ind w:left="20"/>
              <w:spacing w:after="0"/>
              <w:rPr>
                <w:sz w:val="20"/>
                <w:szCs w:val="20"/>
                <w:color w:val="auto"/>
              </w:rPr>
            </w:pPr>
            <w:r>
              <w:rPr>
                <w:rFonts w:ascii="Arial" w:cs="Arial" w:eastAsia="Arial" w:hAnsi="Arial"/>
                <w:sz w:val="12"/>
                <w:szCs w:val="12"/>
                <w:color w:val="auto"/>
              </w:rPr>
              <w:t>Other borrowed funds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12,062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14,016</w:t>
            </w: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interest payable</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1,134</w:t>
            </w:r>
          </w:p>
        </w:tc>
      </w:tr>
      <w:tr>
        <w:trPr>
          <w:trHeight w:val="15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liabilities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25,725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28,004</w:t>
            </w:r>
          </w:p>
        </w:tc>
      </w:tr>
      <w:tr>
        <w:trPr>
          <w:trHeight w:val="148"/>
        </w:trPr>
        <w:tc>
          <w:tcPr>
            <w:tcW w:w="80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liabilities</w:t>
            </w:r>
          </w:p>
        </w:tc>
        <w:tc>
          <w:tcPr>
            <w:tcW w:w="3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1,857,397</w:t>
            </w:r>
          </w:p>
        </w:tc>
        <w:tc>
          <w:tcPr>
            <w:tcW w:w="1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1,717,282</w:t>
            </w:r>
          </w:p>
        </w:tc>
      </w:tr>
      <w:tr>
        <w:trPr>
          <w:trHeight w:val="159"/>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7"/>
        </w:trPr>
        <w:tc>
          <w:tcPr>
            <w:tcW w:w="8020" w:type="dxa"/>
            <w:vAlign w:val="bottom"/>
          </w:tcPr>
          <w:p>
            <w:pPr>
              <w:ind w:left="120"/>
              <w:spacing w:after="0"/>
              <w:rPr>
                <w:sz w:val="20"/>
                <w:szCs w:val="20"/>
                <w:color w:val="auto"/>
              </w:rPr>
            </w:pPr>
            <w:r>
              <w:rPr>
                <w:rFonts w:ascii="Arial" w:cs="Arial" w:eastAsia="Arial" w:hAnsi="Arial"/>
                <w:sz w:val="12"/>
                <w:szCs w:val="12"/>
                <w:color w:val="auto"/>
              </w:rPr>
              <w:t>Common stock, $.01 par value; 49,000,000 shares authorized; 13,962,334 and 13,753,529 issued and outstanding</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140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138</w:t>
            </w:r>
          </w:p>
        </w:tc>
      </w:tr>
      <w:tr>
        <w:trPr>
          <w:trHeight w:val="157"/>
        </w:trPr>
        <w:tc>
          <w:tcPr>
            <w:tcW w:w="80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Additional paid-in capital</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54,306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50,602</w:t>
            </w:r>
          </w:p>
        </w:tc>
      </w:tr>
      <w:tr>
        <w:trPr>
          <w:trHeight w:val="157"/>
        </w:trPr>
        <w:tc>
          <w:tcPr>
            <w:tcW w:w="8020" w:type="dxa"/>
            <w:vAlign w:val="bottom"/>
          </w:tcPr>
          <w:p>
            <w:pPr>
              <w:ind w:left="120"/>
              <w:spacing w:after="0"/>
              <w:rPr>
                <w:sz w:val="20"/>
                <w:szCs w:val="20"/>
                <w:color w:val="auto"/>
              </w:rPr>
            </w:pPr>
            <w:r>
              <w:rPr>
                <w:rFonts w:ascii="Arial" w:cs="Arial" w:eastAsia="Arial" w:hAnsi="Arial"/>
                <w:sz w:val="12"/>
                <w:szCs w:val="12"/>
                <w:color w:val="auto"/>
              </w:rPr>
              <w:t>Retained earnings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144,533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106,854</w:t>
            </w:r>
          </w:p>
        </w:tc>
      </w:tr>
      <w:tr>
        <w:trPr>
          <w:trHeight w:val="157"/>
        </w:trPr>
        <w:tc>
          <w:tcPr>
            <w:tcW w:w="80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income (loss)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(1,076)</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1,717</w:t>
            </w:r>
          </w:p>
        </w:tc>
      </w:tr>
      <w:tr>
        <w:trPr>
          <w:trHeight w:val="148"/>
        </w:trPr>
        <w:tc>
          <w:tcPr>
            <w:tcW w:w="802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stockholders' equity</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197,903</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159,311</w:t>
            </w:r>
          </w:p>
        </w:tc>
      </w:tr>
      <w:tr>
        <w:trPr>
          <w:trHeight w:val="173"/>
        </w:trPr>
        <w:tc>
          <w:tcPr>
            <w:tcW w:w="8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Total liabilities and stockholders' equity</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2,055,300</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1,876,593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See Notes to Consolidated Financial Statements</w:t>
      </w:r>
    </w:p>
    <w:p>
      <w:pPr>
        <w:spacing w:after="0" w:line="168"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58" w:name="page59"/>
    <w:bookmarkEnd w:id="58"/>
    <w:p>
      <w:pPr>
        <w:ind w:left="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367030</wp:posOffset>
            </wp:positionH>
            <wp:positionV relativeFrom="page">
              <wp:posOffset>102870</wp:posOffset>
            </wp:positionV>
            <wp:extent cx="7037070"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070" cy="13970"/>
                    </a:xfrm>
                    <a:prstGeom prst="rect">
                      <a:avLst/>
                    </a:prstGeom>
                    <a:noFill/>
                  </pic:spPr>
                </pic:pic>
              </a:graphicData>
            </a:graphic>
          </wp:anchor>
        </w:drawing>
        <w:t>Capital Bancorp, Inc. and Subsidiaries</w:t>
      </w:r>
    </w:p>
    <w:p>
      <w:pPr>
        <w:ind w:left="640"/>
        <w:spacing w:after="0" w:line="208" w:lineRule="auto"/>
        <w:rPr>
          <w:sz w:val="20"/>
          <w:szCs w:val="20"/>
          <w:color w:val="auto"/>
        </w:rPr>
      </w:pPr>
      <w:r>
        <w:rPr>
          <w:rFonts w:ascii="Arial" w:cs="Arial" w:eastAsia="Arial" w:hAnsi="Arial"/>
          <w:sz w:val="15"/>
          <w:szCs w:val="15"/>
          <w:b w:val="1"/>
          <w:bCs w:val="1"/>
          <w:i w:val="1"/>
          <w:iCs w:val="1"/>
          <w:color w:val="auto"/>
        </w:rPr>
        <w:t>Consolidated Statements of Income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2"/>
          <w:szCs w:val="12"/>
          <w:b w:val="1"/>
          <w:bCs w:val="1"/>
          <w:i w:val="1"/>
          <w:iCs w:val="1"/>
          <w:color w:val="auto"/>
        </w:rPr>
        <w:t>For the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2540</wp:posOffset>
            </wp:positionV>
            <wp:extent cx="703707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07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80" w:type="dxa"/>
            <w:vAlign w:val="bottom"/>
            <w:gridSpan w:val="2"/>
          </w:tcPr>
          <w:p>
            <w:pPr>
              <w:spacing w:after="0"/>
              <w:rPr>
                <w:sz w:val="20"/>
                <w:szCs w:val="20"/>
                <w:color w:val="auto"/>
              </w:rPr>
            </w:pPr>
            <w:r>
              <w:rPr>
                <w:rFonts w:ascii="Arial" w:cs="Arial" w:eastAsia="Arial" w:hAnsi="Arial"/>
                <w:sz w:val="9"/>
                <w:szCs w:val="9"/>
                <w:color w:val="auto"/>
              </w:rPr>
              <w:t>ars in thousands except per share data)</w:t>
            </w:r>
          </w:p>
        </w:tc>
        <w:tc>
          <w:tcPr>
            <w:tcW w:w="2240" w:type="dxa"/>
            <w:vAlign w:val="bottom"/>
          </w:tcPr>
          <w:p>
            <w:pPr>
              <w:spacing w:after="0"/>
              <w:rPr>
                <w:sz w:val="15"/>
                <w:szCs w:val="15"/>
                <w:color w:val="auto"/>
              </w:rPr>
            </w:pPr>
          </w:p>
        </w:tc>
        <w:tc>
          <w:tcPr>
            <w:tcW w:w="154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9"/>
        </w:trPr>
        <w:tc>
          <w:tcPr>
            <w:tcW w:w="5680" w:type="dxa"/>
            <w:vAlign w:val="bottom"/>
            <w:gridSpan w:val="2"/>
          </w:tcPr>
          <w:p>
            <w:pPr>
              <w:spacing w:after="0"/>
              <w:rPr>
                <w:sz w:val="20"/>
                <w:szCs w:val="20"/>
                <w:color w:val="auto"/>
              </w:rPr>
            </w:pPr>
            <w:r>
              <w:rPr>
                <w:rFonts w:ascii="Arial" w:cs="Arial" w:eastAsia="Arial" w:hAnsi="Arial"/>
                <w:sz w:val="13"/>
                <w:szCs w:val="13"/>
                <w:b w:val="1"/>
                <w:bCs w:val="1"/>
                <w:color w:val="auto"/>
              </w:rPr>
              <w:t>erest income</w:t>
            </w:r>
          </w:p>
        </w:tc>
        <w:tc>
          <w:tcPr>
            <w:tcW w:w="224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120,784</w:t>
            </w: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80" w:type="dxa"/>
            <w:vAlign w:val="bottom"/>
            <w:gridSpan w:val="2"/>
          </w:tcPr>
          <w:p>
            <w:pPr>
              <w:ind w:left="20"/>
              <w:spacing w:after="0"/>
              <w:rPr>
                <w:sz w:val="20"/>
                <w:szCs w:val="20"/>
                <w:color w:val="auto"/>
              </w:rPr>
            </w:pPr>
            <w:r>
              <w:rPr>
                <w:rFonts w:ascii="Arial" w:cs="Arial" w:eastAsia="Arial" w:hAnsi="Arial"/>
                <w:sz w:val="13"/>
                <w:szCs w:val="13"/>
                <w:color w:val="auto"/>
              </w:rPr>
              <w:t>oans, including fees</w:t>
            </w:r>
          </w:p>
        </w:tc>
        <w:tc>
          <w:tcPr>
            <w:tcW w:w="224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95,367</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nvestment securities available for sale</w:t>
            </w:r>
          </w:p>
        </w:tc>
        <w:tc>
          <w:tcPr>
            <w:tcW w:w="22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2,010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0" w:type="dxa"/>
            <w:vAlign w:val="bottom"/>
          </w:tcPr>
          <w:p>
            <w:pPr>
              <w:spacing w:after="0"/>
              <w:rPr>
                <w:sz w:val="1"/>
                <w:szCs w:val="1"/>
                <w:color w:val="auto"/>
              </w:rPr>
            </w:pPr>
          </w:p>
        </w:tc>
      </w:tr>
      <w:tr>
        <w:trPr>
          <w:trHeight w:val="178"/>
        </w:trPr>
        <w:tc>
          <w:tcPr>
            <w:tcW w:w="5680" w:type="dxa"/>
            <w:vAlign w:val="bottom"/>
            <w:gridSpan w:val="2"/>
          </w:tcPr>
          <w:p>
            <w:pPr>
              <w:ind w:left="20"/>
              <w:spacing w:after="0"/>
              <w:rPr>
                <w:sz w:val="20"/>
                <w:szCs w:val="20"/>
                <w:color w:val="auto"/>
              </w:rPr>
            </w:pPr>
            <w:r>
              <w:rPr>
                <w:rFonts w:ascii="Arial" w:cs="Arial" w:eastAsia="Arial" w:hAnsi="Arial"/>
                <w:sz w:val="13"/>
                <w:szCs w:val="13"/>
                <w:color w:val="auto"/>
              </w:rPr>
              <w:t>ederal funds sold and other</w:t>
            </w:r>
          </w:p>
        </w:tc>
        <w:tc>
          <w:tcPr>
            <w:tcW w:w="2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449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interest income</w:t>
            </w:r>
          </w:p>
        </w:tc>
        <w:tc>
          <w:tcPr>
            <w:tcW w:w="22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123,243</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97,251</w:t>
            </w:r>
          </w:p>
        </w:tc>
        <w:tc>
          <w:tcPr>
            <w:tcW w:w="0" w:type="dxa"/>
            <w:vAlign w:val="bottom"/>
          </w:tcPr>
          <w:p>
            <w:pPr>
              <w:spacing w:after="0"/>
              <w:rPr>
                <w:sz w:val="1"/>
                <w:szCs w:val="1"/>
                <w:color w:val="auto"/>
              </w:rPr>
            </w:pPr>
          </w:p>
        </w:tc>
      </w:tr>
      <w:tr>
        <w:trPr>
          <w:trHeight w:val="333"/>
        </w:trPr>
        <w:tc>
          <w:tcPr>
            <w:tcW w:w="5680" w:type="dxa"/>
            <w:vAlign w:val="bottom"/>
            <w:gridSpan w:val="2"/>
          </w:tcPr>
          <w:p>
            <w:pPr>
              <w:spacing w:after="0"/>
              <w:rPr>
                <w:sz w:val="20"/>
                <w:szCs w:val="20"/>
                <w:color w:val="auto"/>
              </w:rPr>
            </w:pPr>
            <w:r>
              <w:rPr>
                <w:rFonts w:ascii="Arial" w:cs="Arial" w:eastAsia="Arial" w:hAnsi="Arial"/>
                <w:sz w:val="13"/>
                <w:szCs w:val="13"/>
                <w:b w:val="1"/>
                <w:bCs w:val="1"/>
                <w:color w:val="auto"/>
              </w:rPr>
              <w:t>erest expense</w:t>
            </w:r>
          </w:p>
        </w:tc>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600" w:type="dxa"/>
            <w:vAlign w:val="bottom"/>
          </w:tcPr>
          <w:p>
            <w:pPr>
              <w:ind w:left="120"/>
              <w:spacing w:after="0"/>
              <w:rPr>
                <w:sz w:val="20"/>
                <w:szCs w:val="20"/>
                <w:color w:val="auto"/>
              </w:rPr>
            </w:pPr>
            <w:r>
              <w:rPr>
                <w:rFonts w:ascii="Arial" w:cs="Arial" w:eastAsia="Arial" w:hAnsi="Arial"/>
                <w:sz w:val="13"/>
                <w:szCs w:val="13"/>
                <w:color w:val="auto"/>
              </w:rPr>
              <w:t>Deposits</w:t>
            </w:r>
          </w:p>
        </w:tc>
        <w:tc>
          <w:tcPr>
            <w:tcW w:w="2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5,808</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11,524</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orrowed funds</w:t>
            </w:r>
          </w:p>
        </w:tc>
        <w:tc>
          <w:tcPr>
            <w:tcW w:w="224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742</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1,658</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Total interest expense</w:t>
            </w:r>
          </w:p>
        </w:tc>
        <w:tc>
          <w:tcPr>
            <w:tcW w:w="224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6,550</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13,182</w:t>
            </w:r>
          </w:p>
        </w:tc>
        <w:tc>
          <w:tcPr>
            <w:tcW w:w="0" w:type="dxa"/>
            <w:vAlign w:val="bottom"/>
          </w:tcPr>
          <w:p>
            <w:pPr>
              <w:spacing w:after="0"/>
              <w:rPr>
                <w:sz w:val="1"/>
                <w:szCs w:val="1"/>
                <w:color w:val="auto"/>
              </w:rPr>
            </w:pPr>
          </w:p>
        </w:tc>
      </w:tr>
      <w:tr>
        <w:trPr>
          <w:trHeight w:val="160"/>
        </w:trPr>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rPr>
              <w:t>t</w:t>
            </w:r>
          </w:p>
        </w:tc>
        <w:tc>
          <w:tcPr>
            <w:tcW w:w="56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vMerge w:val="continue"/>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3"/>
                <w:szCs w:val="13"/>
                <w:b w:val="1"/>
                <w:bCs w:val="1"/>
                <w:color w:val="auto"/>
              </w:rPr>
              <w:t>interest income</w:t>
            </w:r>
          </w:p>
        </w:tc>
        <w:tc>
          <w:tcPr>
            <w:tcW w:w="2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116,693</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84,069</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rovision for loan losses</w:t>
            </w:r>
          </w:p>
        </w:tc>
        <w:tc>
          <w:tcPr>
            <w:tcW w:w="224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3,359</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11,242</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interest income after provision for loan losses</w:t>
            </w:r>
          </w:p>
        </w:tc>
        <w:tc>
          <w:tcPr>
            <w:tcW w:w="224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113,334</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72,827</w:t>
            </w:r>
          </w:p>
        </w:tc>
        <w:tc>
          <w:tcPr>
            <w:tcW w:w="0" w:type="dxa"/>
            <w:vAlign w:val="bottom"/>
          </w:tcPr>
          <w:p>
            <w:pPr>
              <w:spacing w:after="0"/>
              <w:rPr>
                <w:sz w:val="1"/>
                <w:szCs w:val="1"/>
                <w:color w:val="auto"/>
              </w:rPr>
            </w:pPr>
          </w:p>
        </w:tc>
      </w:tr>
      <w:tr>
        <w:trPr>
          <w:trHeight w:val="160"/>
        </w:trPr>
        <w:tc>
          <w:tcPr>
            <w:tcW w:w="80" w:type="dxa"/>
            <w:vAlign w:val="bottom"/>
            <w:vMerge w:val="restart"/>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vMerge w:val="continue"/>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3"/>
                <w:szCs w:val="13"/>
                <w:b w:val="1"/>
                <w:bCs w:val="1"/>
                <w:color w:val="auto"/>
              </w:rPr>
              <w:t>ninterest income</w:t>
            </w:r>
          </w:p>
        </w:tc>
        <w:tc>
          <w:tcPr>
            <w:tcW w:w="2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ervice charges on deposits</w:t>
            </w:r>
          </w:p>
        </w:tc>
        <w:tc>
          <w:tcPr>
            <w:tcW w:w="22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178"/>
        </w:trPr>
        <w:tc>
          <w:tcPr>
            <w:tcW w:w="5680" w:type="dxa"/>
            <w:vAlign w:val="bottom"/>
            <w:gridSpan w:val="2"/>
          </w:tcPr>
          <w:p>
            <w:pPr>
              <w:ind w:left="40"/>
              <w:spacing w:after="0"/>
              <w:rPr>
                <w:sz w:val="20"/>
                <w:szCs w:val="20"/>
                <w:color w:val="auto"/>
              </w:rPr>
            </w:pPr>
            <w:r>
              <w:rPr>
                <w:rFonts w:ascii="Arial" w:cs="Arial" w:eastAsia="Arial" w:hAnsi="Arial"/>
                <w:sz w:val="13"/>
                <w:szCs w:val="13"/>
                <w:color w:val="auto"/>
              </w:rPr>
              <w:t>redit card fees</w:t>
            </w:r>
          </w:p>
        </w:tc>
        <w:tc>
          <w:tcPr>
            <w:tcW w:w="2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27,884</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16,966</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ortgage banking revenue</w:t>
            </w:r>
          </w:p>
        </w:tc>
        <w:tc>
          <w:tcPr>
            <w:tcW w:w="22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20,843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32,273</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5600" w:type="dxa"/>
            <w:vAlign w:val="bottom"/>
          </w:tcPr>
          <w:p>
            <w:pPr>
              <w:ind w:left="120"/>
              <w:spacing w:after="0"/>
              <w:rPr>
                <w:sz w:val="20"/>
                <w:szCs w:val="20"/>
                <w:color w:val="auto"/>
              </w:rPr>
            </w:pPr>
            <w:r>
              <w:rPr>
                <w:rFonts w:ascii="Arial" w:cs="Arial" w:eastAsia="Arial" w:hAnsi="Arial"/>
                <w:sz w:val="13"/>
                <w:szCs w:val="13"/>
                <w:color w:val="auto"/>
              </w:rPr>
              <w:t>Gain on sale of investment securities available for sale, net</w:t>
            </w:r>
          </w:p>
        </w:tc>
        <w:tc>
          <w:tcPr>
            <w:tcW w:w="2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153</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ther income</w:t>
            </w:r>
          </w:p>
        </w:tc>
        <w:tc>
          <w:tcPr>
            <w:tcW w:w="224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1,147</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Total noninterest income</w:t>
            </w:r>
          </w:p>
        </w:tc>
        <w:tc>
          <w:tcPr>
            <w:tcW w:w="224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50,636</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50,144</w:t>
            </w:r>
          </w:p>
        </w:tc>
        <w:tc>
          <w:tcPr>
            <w:tcW w:w="0" w:type="dxa"/>
            <w:vAlign w:val="bottom"/>
          </w:tcPr>
          <w:p>
            <w:pPr>
              <w:spacing w:after="0"/>
              <w:rPr>
                <w:sz w:val="1"/>
                <w:szCs w:val="1"/>
                <w:color w:val="auto"/>
              </w:rPr>
            </w:pPr>
          </w:p>
        </w:tc>
      </w:tr>
      <w:tr>
        <w:trPr>
          <w:trHeight w:val="160"/>
        </w:trPr>
        <w:tc>
          <w:tcPr>
            <w:tcW w:w="80" w:type="dxa"/>
            <w:vAlign w:val="bottom"/>
            <w:vMerge w:val="restart"/>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vMerge w:val="continue"/>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3"/>
                <w:szCs w:val="13"/>
                <w:b w:val="1"/>
                <w:bCs w:val="1"/>
                <w:color w:val="auto"/>
              </w:rPr>
              <w:t>ninterest expenses</w:t>
            </w:r>
          </w:p>
        </w:tc>
        <w:tc>
          <w:tcPr>
            <w:tcW w:w="2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alaries and employee benefits</w:t>
            </w:r>
          </w:p>
        </w:tc>
        <w:tc>
          <w:tcPr>
            <w:tcW w:w="22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37,843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33,442</w:t>
            </w:r>
          </w:p>
        </w:tc>
        <w:tc>
          <w:tcPr>
            <w:tcW w:w="0" w:type="dxa"/>
            <w:vAlign w:val="bottom"/>
          </w:tcPr>
          <w:p>
            <w:pPr>
              <w:spacing w:after="0"/>
              <w:rPr>
                <w:sz w:val="1"/>
                <w:szCs w:val="1"/>
                <w:color w:val="auto"/>
              </w:rPr>
            </w:pPr>
          </w:p>
        </w:tc>
      </w:tr>
      <w:tr>
        <w:trPr>
          <w:trHeight w:val="178"/>
        </w:trPr>
        <w:tc>
          <w:tcPr>
            <w:tcW w:w="5680" w:type="dxa"/>
            <w:vAlign w:val="bottom"/>
            <w:gridSpan w:val="2"/>
          </w:tcPr>
          <w:p>
            <w:pPr>
              <w:ind w:left="40"/>
              <w:spacing w:after="0"/>
              <w:rPr>
                <w:sz w:val="20"/>
                <w:szCs w:val="20"/>
                <w:color w:val="auto"/>
              </w:rPr>
            </w:pPr>
            <w:r>
              <w:rPr>
                <w:rFonts w:ascii="Arial" w:cs="Arial" w:eastAsia="Arial" w:hAnsi="Arial"/>
                <w:sz w:val="13"/>
                <w:szCs w:val="13"/>
                <w:color w:val="auto"/>
              </w:rPr>
              <w:t>ccupancy and equipment</w:t>
            </w:r>
          </w:p>
        </w:tc>
        <w:tc>
          <w:tcPr>
            <w:tcW w:w="2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4,327</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5,170</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rofessional fees</w:t>
            </w:r>
          </w:p>
        </w:tc>
        <w:tc>
          <w:tcPr>
            <w:tcW w:w="22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6,996</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4,900</w:t>
            </w:r>
          </w:p>
        </w:tc>
        <w:tc>
          <w:tcPr>
            <w:tcW w:w="0" w:type="dxa"/>
            <w:vAlign w:val="bottom"/>
          </w:tcPr>
          <w:p>
            <w:pPr>
              <w:spacing w:after="0"/>
              <w:rPr>
                <w:sz w:val="1"/>
                <w:szCs w:val="1"/>
                <w:color w:val="auto"/>
              </w:rPr>
            </w:pPr>
          </w:p>
        </w:tc>
      </w:tr>
      <w:tr>
        <w:trPr>
          <w:trHeight w:val="178"/>
        </w:trPr>
        <w:tc>
          <w:tcPr>
            <w:tcW w:w="5680" w:type="dxa"/>
            <w:vAlign w:val="bottom"/>
            <w:gridSpan w:val="2"/>
          </w:tcPr>
          <w:p>
            <w:pPr>
              <w:ind w:left="40"/>
              <w:spacing w:after="0"/>
              <w:rPr>
                <w:sz w:val="20"/>
                <w:szCs w:val="20"/>
                <w:color w:val="auto"/>
              </w:rPr>
            </w:pPr>
            <w:r>
              <w:rPr>
                <w:rFonts w:ascii="Arial" w:cs="Arial" w:eastAsia="Arial" w:hAnsi="Arial"/>
                <w:sz w:val="13"/>
                <w:szCs w:val="13"/>
                <w:color w:val="auto"/>
              </w:rPr>
              <w:t>ata processing</w:t>
            </w:r>
          </w:p>
        </w:tc>
        <w:tc>
          <w:tcPr>
            <w:tcW w:w="2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39,237</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26,917</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dvertising</w:t>
            </w:r>
          </w:p>
        </w:tc>
        <w:tc>
          <w:tcPr>
            <w:tcW w:w="22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4,803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2,530</w:t>
            </w:r>
          </w:p>
        </w:tc>
        <w:tc>
          <w:tcPr>
            <w:tcW w:w="0" w:type="dxa"/>
            <w:vAlign w:val="bottom"/>
          </w:tcPr>
          <w:p>
            <w:pPr>
              <w:spacing w:after="0"/>
              <w:rPr>
                <w:sz w:val="1"/>
                <w:szCs w:val="1"/>
                <w:color w:val="auto"/>
              </w:rPr>
            </w:pPr>
          </w:p>
        </w:tc>
      </w:tr>
      <w:tr>
        <w:trPr>
          <w:trHeight w:val="178"/>
        </w:trPr>
        <w:tc>
          <w:tcPr>
            <w:tcW w:w="5680" w:type="dxa"/>
            <w:vAlign w:val="bottom"/>
            <w:gridSpan w:val="2"/>
          </w:tcPr>
          <w:p>
            <w:pPr>
              <w:ind w:left="20"/>
              <w:spacing w:after="0"/>
              <w:rPr>
                <w:sz w:val="20"/>
                <w:szCs w:val="20"/>
                <w:color w:val="auto"/>
              </w:rPr>
            </w:pPr>
            <w:r>
              <w:rPr>
                <w:rFonts w:ascii="Arial" w:cs="Arial" w:eastAsia="Arial" w:hAnsi="Arial"/>
                <w:sz w:val="13"/>
                <w:szCs w:val="13"/>
                <w:color w:val="auto"/>
              </w:rPr>
              <w:t>oan processing</w:t>
            </w:r>
          </w:p>
        </w:tc>
        <w:tc>
          <w:tcPr>
            <w:tcW w:w="2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3,527</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3,811</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ther real estate expenses, net</w:t>
            </w:r>
          </w:p>
        </w:tc>
        <w:tc>
          <w:tcPr>
            <w:tcW w:w="22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78"/>
        </w:trPr>
        <w:tc>
          <w:tcPr>
            <w:tcW w:w="5680" w:type="dxa"/>
            <w:vAlign w:val="bottom"/>
            <w:gridSpan w:val="2"/>
          </w:tcPr>
          <w:p>
            <w:pPr>
              <w:ind w:left="40"/>
              <w:spacing w:after="0"/>
              <w:rPr>
                <w:sz w:val="20"/>
                <w:szCs w:val="20"/>
                <w:color w:val="auto"/>
              </w:rPr>
            </w:pPr>
            <w:r>
              <w:rPr>
                <w:rFonts w:ascii="Arial" w:cs="Arial" w:eastAsia="Arial" w:hAnsi="Arial"/>
                <w:sz w:val="13"/>
                <w:szCs w:val="13"/>
                <w:color w:val="auto"/>
              </w:rPr>
              <w:t>ther operating</w:t>
            </w:r>
          </w:p>
        </w:tc>
        <w:tc>
          <w:tcPr>
            <w:tcW w:w="2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12,993</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10,995</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noninterest expenses</w:t>
            </w:r>
          </w:p>
        </w:tc>
        <w:tc>
          <w:tcPr>
            <w:tcW w:w="22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110,094</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87,834</w:t>
            </w:r>
          </w:p>
        </w:tc>
        <w:tc>
          <w:tcPr>
            <w:tcW w:w="0" w:type="dxa"/>
            <w:vAlign w:val="bottom"/>
          </w:tcPr>
          <w:p>
            <w:pPr>
              <w:spacing w:after="0"/>
              <w:rPr>
                <w:sz w:val="1"/>
                <w:szCs w:val="1"/>
                <w:color w:val="auto"/>
              </w:rPr>
            </w:pPr>
          </w:p>
        </w:tc>
      </w:tr>
      <w:tr>
        <w:trPr>
          <w:trHeight w:val="169"/>
        </w:trPr>
        <w:tc>
          <w:tcPr>
            <w:tcW w:w="5680" w:type="dxa"/>
            <w:vAlign w:val="bottom"/>
            <w:gridSpan w:val="2"/>
          </w:tcPr>
          <w:p>
            <w:pPr>
              <w:ind w:left="20"/>
              <w:spacing w:after="0"/>
              <w:rPr>
                <w:sz w:val="20"/>
                <w:szCs w:val="20"/>
                <w:color w:val="auto"/>
              </w:rPr>
            </w:pPr>
            <w:r>
              <w:rPr>
                <w:rFonts w:ascii="Arial" w:cs="Arial" w:eastAsia="Arial" w:hAnsi="Arial"/>
                <w:sz w:val="13"/>
                <w:szCs w:val="13"/>
                <w:color w:val="auto"/>
              </w:rPr>
              <w:t>ome before income taxes</w:t>
            </w:r>
          </w:p>
        </w:tc>
        <w:tc>
          <w:tcPr>
            <w:tcW w:w="2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53,876</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35,137</w:t>
            </w:r>
          </w:p>
        </w:tc>
        <w:tc>
          <w:tcPr>
            <w:tcW w:w="0" w:type="dxa"/>
            <w:vAlign w:val="bottom"/>
          </w:tcPr>
          <w:p>
            <w:pPr>
              <w:spacing w:after="0"/>
              <w:rPr>
                <w:sz w:val="1"/>
                <w:szCs w:val="1"/>
                <w:color w:val="auto"/>
              </w:rPr>
            </w:pPr>
          </w:p>
        </w:tc>
      </w:tr>
      <w:tr>
        <w:trPr>
          <w:trHeight w:val="178"/>
        </w:trPr>
        <w:tc>
          <w:tcPr>
            <w:tcW w:w="5680" w:type="dxa"/>
            <w:vAlign w:val="bottom"/>
            <w:gridSpan w:val="2"/>
          </w:tcPr>
          <w:p>
            <w:pPr>
              <w:ind w:left="20"/>
              <w:spacing w:after="0"/>
              <w:rPr>
                <w:sz w:val="20"/>
                <w:szCs w:val="20"/>
                <w:color w:val="auto"/>
              </w:rPr>
            </w:pPr>
            <w:r>
              <w:rPr>
                <w:rFonts w:ascii="Arial" w:cs="Arial" w:eastAsia="Arial" w:hAnsi="Arial"/>
                <w:sz w:val="13"/>
                <w:szCs w:val="13"/>
                <w:color w:val="auto"/>
              </w:rPr>
              <w:t>ome tax expense</w:t>
            </w:r>
          </w:p>
        </w:tc>
        <w:tc>
          <w:tcPr>
            <w:tcW w:w="224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13,898</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9,314</w:t>
            </w:r>
          </w:p>
        </w:tc>
        <w:tc>
          <w:tcPr>
            <w:tcW w:w="0" w:type="dxa"/>
            <w:vAlign w:val="bottom"/>
          </w:tcPr>
          <w:p>
            <w:pPr>
              <w:spacing w:after="0"/>
              <w:rPr>
                <w:sz w:val="1"/>
                <w:szCs w:val="1"/>
                <w:color w:val="auto"/>
              </w:rPr>
            </w:pPr>
          </w:p>
        </w:tc>
      </w:tr>
      <w:tr>
        <w:trPr>
          <w:trHeight w:val="173"/>
        </w:trPr>
        <w:tc>
          <w:tcPr>
            <w:tcW w:w="5680" w:type="dxa"/>
            <w:vAlign w:val="bottom"/>
            <w:gridSpan w:val="2"/>
          </w:tcPr>
          <w:p>
            <w:pPr>
              <w:spacing w:after="0"/>
              <w:rPr>
                <w:sz w:val="20"/>
                <w:szCs w:val="20"/>
                <w:color w:val="auto"/>
              </w:rPr>
            </w:pPr>
            <w:r>
              <w:rPr>
                <w:rFonts w:ascii="Arial" w:cs="Arial" w:eastAsia="Arial" w:hAnsi="Arial"/>
                <w:sz w:val="13"/>
                <w:szCs w:val="13"/>
                <w:b w:val="1"/>
                <w:bCs w:val="1"/>
                <w:color w:val="auto"/>
              </w:rPr>
              <w:t>t income</w:t>
            </w:r>
          </w:p>
        </w:tc>
        <w:tc>
          <w:tcPr>
            <w:tcW w:w="224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39,978</w:t>
            </w: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25,823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 w:type="dxa"/>
            <w:vAlign w:val="bottom"/>
          </w:tcPr>
          <w:p>
            <w:pPr>
              <w:spacing w:after="0"/>
              <w:rPr>
                <w:sz w:val="12"/>
                <w:szCs w:val="12"/>
                <w:color w:val="auto"/>
              </w:rPr>
            </w:pPr>
          </w:p>
        </w:tc>
        <w:tc>
          <w:tcPr>
            <w:tcW w:w="56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680" w:type="dxa"/>
            <w:vAlign w:val="bottom"/>
            <w:gridSpan w:val="2"/>
          </w:tcPr>
          <w:p>
            <w:pPr>
              <w:spacing w:after="0"/>
              <w:rPr>
                <w:sz w:val="20"/>
                <w:szCs w:val="20"/>
                <w:color w:val="auto"/>
              </w:rPr>
            </w:pPr>
            <w:r>
              <w:rPr>
                <w:rFonts w:ascii="Arial" w:cs="Arial" w:eastAsia="Arial" w:hAnsi="Arial"/>
                <w:sz w:val="13"/>
                <w:szCs w:val="13"/>
                <w:color w:val="auto"/>
              </w:rPr>
              <w:t>sic earnings per share</w:t>
            </w:r>
          </w:p>
        </w:tc>
        <w:tc>
          <w:tcPr>
            <w:tcW w:w="224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2.90</w:t>
            </w: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04"/>
        </w:trPr>
        <w:tc>
          <w:tcPr>
            <w:tcW w:w="5680" w:type="dxa"/>
            <w:vAlign w:val="bottom"/>
            <w:gridSpan w:val="2"/>
          </w:tcPr>
          <w:p>
            <w:pPr>
              <w:spacing w:after="0"/>
              <w:rPr>
                <w:sz w:val="20"/>
                <w:szCs w:val="20"/>
                <w:color w:val="auto"/>
              </w:rPr>
            </w:pPr>
            <w:r>
              <w:rPr>
                <w:rFonts w:ascii="Arial" w:cs="Arial" w:eastAsia="Arial" w:hAnsi="Arial"/>
                <w:sz w:val="13"/>
                <w:szCs w:val="13"/>
                <w:color w:val="auto"/>
              </w:rPr>
              <w:t>uted earnings per share</w:t>
            </w:r>
          </w:p>
        </w:tc>
        <w:tc>
          <w:tcPr>
            <w:tcW w:w="224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2.84</w:t>
            </w: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ighted average common shares outstanding:</w:t>
            </w:r>
          </w:p>
        </w:tc>
        <w:tc>
          <w:tcPr>
            <w:tcW w:w="2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80" w:type="dxa"/>
            <w:vAlign w:val="bottom"/>
            <w:gridSpan w:val="2"/>
          </w:tcPr>
          <w:p>
            <w:pPr>
              <w:ind w:left="20"/>
              <w:spacing w:after="0"/>
              <w:rPr>
                <w:sz w:val="20"/>
                <w:szCs w:val="20"/>
                <w:color w:val="auto"/>
              </w:rPr>
            </w:pPr>
            <w:r>
              <w:rPr>
                <w:rFonts w:ascii="Arial" w:cs="Arial" w:eastAsia="Arial" w:hAnsi="Arial"/>
                <w:sz w:val="13"/>
                <w:szCs w:val="13"/>
                <w:color w:val="auto"/>
              </w:rPr>
              <w:t>asic</w:t>
            </w:r>
          </w:p>
        </w:tc>
        <w:tc>
          <w:tcPr>
            <w:tcW w:w="224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13,798,620</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13,793,256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 w:type="dxa"/>
            <w:vAlign w:val="bottom"/>
          </w:tcPr>
          <w:p>
            <w:pPr>
              <w:spacing w:after="0"/>
              <w:rPr>
                <w:sz w:val="15"/>
                <w:szCs w:val="15"/>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iluted</w:t>
            </w:r>
          </w:p>
        </w:tc>
        <w:tc>
          <w:tcPr>
            <w:tcW w:w="22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14,081,403</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13,800,176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-5052060</wp:posOffset>
            </wp:positionV>
            <wp:extent cx="6985000" cy="1136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5000" cy="11366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-4362450</wp:posOffset>
            </wp:positionV>
            <wp:extent cx="6985000" cy="1136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85000" cy="11366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-1143635</wp:posOffset>
            </wp:positionV>
            <wp:extent cx="6985000" cy="113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5000" cy="11366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-653415</wp:posOffset>
            </wp:positionV>
            <wp:extent cx="6985000" cy="142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5000" cy="142240"/>
                    </a:xfrm>
                    <a:prstGeom prst="rect">
                      <a:avLst/>
                    </a:prstGeom>
                    <a:noFill/>
                  </pic:spPr>
                </pic:pic>
              </a:graphicData>
            </a:graphic>
          </wp:anchor>
        </w:drawing>
      </w:r>
    </w:p>
    <w:p>
      <w:pPr>
        <w:spacing w:after="0" w:line="355"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See Notes to Consolidated Financial Statements</w:t>
      </w:r>
    </w:p>
    <w:p>
      <w:pPr>
        <w:spacing w:after="0" w:line="168"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212090</wp:posOffset>
            </wp:positionV>
            <wp:extent cx="718121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080"/>
          </w:cols>
          <w:pgMar w:left="220" w:top="167" w:right="5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153035</wp:posOffset>
            </wp:positionV>
            <wp:extent cx="715581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5815" cy="13970"/>
                    </a:xfrm>
                    <a:prstGeom prst="rect">
                      <a:avLst/>
                    </a:prstGeom>
                    <a:noFill/>
                  </pic:spPr>
                </pic:pic>
              </a:graphicData>
            </a:graphic>
          </wp:anchor>
        </w:drawing>
        <w:t>Capital Bancorp, Inc. and Subsidiaries</w:t>
      </w:r>
    </w:p>
    <w:p>
      <w:pPr>
        <w:spacing w:after="0" w:line="208" w:lineRule="auto"/>
        <w:rPr>
          <w:sz w:val="20"/>
          <w:szCs w:val="20"/>
          <w:color w:val="auto"/>
        </w:rPr>
      </w:pPr>
      <w:r>
        <w:rPr>
          <w:rFonts w:ascii="Arial" w:cs="Arial" w:eastAsia="Arial" w:hAnsi="Arial"/>
          <w:sz w:val="15"/>
          <w:szCs w:val="15"/>
          <w:b w:val="1"/>
          <w:bCs w:val="1"/>
          <w:i w:val="1"/>
          <w:iCs w:val="1"/>
          <w:color w:val="auto"/>
        </w:rPr>
        <w:t>Consolidated Statements of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 the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15581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581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7420" w:type="dxa"/>
            <w:vAlign w:val="bottom"/>
            <w:tcBorders>
              <w:bottom w:val="single" w:sz="8" w:color="CCEEFF"/>
            </w:tcBorders>
          </w:tcPr>
          <w:p>
            <w:pPr>
              <w:ind w:left="280"/>
              <w:spacing w:after="0"/>
              <w:rPr>
                <w:sz w:val="20"/>
                <w:szCs w:val="20"/>
                <w:color w:val="auto"/>
              </w:rPr>
            </w:pPr>
            <w:r>
              <w:rPr>
                <w:rFonts w:ascii="Arial" w:cs="Arial" w:eastAsia="Arial" w:hAnsi="Arial"/>
                <w:sz w:val="9"/>
                <w:szCs w:val="9"/>
                <w:i w:val="1"/>
                <w:iCs w:val="1"/>
                <w:color w:val="auto"/>
              </w:rPr>
              <w:t>(in thousands)</w:t>
            </w: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2020</w:t>
            </w:r>
          </w:p>
        </w:tc>
      </w:tr>
      <w:tr>
        <w:trPr>
          <w:trHeight w:val="172"/>
        </w:trPr>
        <w:tc>
          <w:tcPr>
            <w:tcW w:w="742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w:t>
            </w:r>
          </w:p>
        </w:tc>
        <w:tc>
          <w:tcPr>
            <w:tcW w:w="6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39,978</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r>
      <w:tr>
        <w:trPr>
          <w:trHeight w:val="160"/>
        </w:trPr>
        <w:tc>
          <w:tcPr>
            <w:tcW w:w="7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9"/>
        </w:trPr>
        <w:tc>
          <w:tcPr>
            <w:tcW w:w="742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Other comprehensive income (loss):</w:t>
            </w: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8"/>
        </w:trPr>
        <w:tc>
          <w:tcPr>
            <w:tcW w:w="7420" w:type="dxa"/>
            <w:vAlign w:val="bottom"/>
          </w:tcPr>
          <w:p>
            <w:pPr>
              <w:ind w:left="380"/>
              <w:spacing w:after="0"/>
              <w:rPr>
                <w:sz w:val="20"/>
                <w:szCs w:val="20"/>
                <w:color w:val="auto"/>
              </w:rPr>
            </w:pPr>
            <w:r>
              <w:rPr>
                <w:rFonts w:ascii="Arial" w:cs="Arial" w:eastAsia="Arial" w:hAnsi="Arial"/>
                <w:sz w:val="13"/>
                <w:szCs w:val="13"/>
                <w:color w:val="auto"/>
              </w:rPr>
              <w:t>Unrealized gain (loss) on investment securities available for sale</w:t>
            </w:r>
          </w:p>
        </w:tc>
        <w:tc>
          <w:tcPr>
            <w:tcW w:w="6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(3,688)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79"/>
        </w:trPr>
        <w:tc>
          <w:tcPr>
            <w:tcW w:w="7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Reclassification of realized gain on sales of investment securities available for sale</w:t>
            </w:r>
          </w:p>
        </w:tc>
        <w:tc>
          <w:tcPr>
            <w:tcW w:w="6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(153)</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(3,841)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79"/>
        </w:trPr>
        <w:tc>
          <w:tcPr>
            <w:tcW w:w="7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 benefit (expense) relating to the items above</w:t>
            </w:r>
          </w:p>
        </w:tc>
        <w:tc>
          <w:tcPr>
            <w:tcW w:w="6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1,048</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70"/>
        </w:trPr>
        <w:tc>
          <w:tcPr>
            <w:tcW w:w="74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comprehensive income (loss)</w:t>
            </w: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(2,793)</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96"/>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Comprehensive income</w:t>
            </w:r>
          </w:p>
        </w:tc>
        <w:tc>
          <w:tcPr>
            <w:tcW w:w="6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37,185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See Notes to Consolidated Financial Statements</w:t>
      </w:r>
    </w:p>
    <w:p>
      <w:pPr>
        <w:spacing w:after="0" w:line="168"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205105</wp:posOffset>
            </wp:positionV>
            <wp:extent cx="718121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40"/>
          </w:cols>
          <w:pgMar w:left="320" w:top="245" w:right="239" w:bottom="1440" w:gutter="0" w:footer="0" w:header="0"/>
        </w:sectPr>
      </w:pPr>
    </w:p>
    <w:bookmarkStart w:id="60" w:name="page61"/>
    <w:bookmarkEnd w:id="60"/>
    <w:p>
      <w:pPr>
        <w:ind w:left="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367030</wp:posOffset>
            </wp:positionH>
            <wp:positionV relativeFrom="page">
              <wp:posOffset>102870</wp:posOffset>
            </wp:positionV>
            <wp:extent cx="7037070"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070" cy="13970"/>
                    </a:xfrm>
                    <a:prstGeom prst="rect">
                      <a:avLst/>
                    </a:prstGeom>
                    <a:noFill/>
                  </pic:spPr>
                </pic:pic>
              </a:graphicData>
            </a:graphic>
          </wp:anchor>
        </w:drawing>
        <w:t>Capital Bancorp, Inc. and Subsidiaries</w:t>
      </w:r>
    </w:p>
    <w:p>
      <w:pPr>
        <w:ind w:left="520"/>
        <w:spacing w:after="0" w:line="208" w:lineRule="auto"/>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2"/>
          <w:szCs w:val="12"/>
          <w:b w:val="1"/>
          <w:bCs w:val="1"/>
          <w:i w:val="1"/>
          <w:iCs w:val="1"/>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2540</wp:posOffset>
            </wp:positionV>
            <wp:extent cx="7037070"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07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880" w:type="dxa"/>
            <w:vAlign w:val="bottom"/>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Common Stock</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Additional</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Accumulated Other</w:t>
            </w:r>
          </w:p>
        </w:tc>
        <w:tc>
          <w:tcPr>
            <w:tcW w:w="180" w:type="dxa"/>
            <w:vAlign w:val="bottom"/>
          </w:tcPr>
          <w:p>
            <w:pPr>
              <w:spacing w:after="0"/>
              <w:rPr>
                <w:sz w:val="13"/>
                <w:szCs w:val="13"/>
                <w:color w:val="auto"/>
              </w:rPr>
            </w:pPr>
          </w:p>
        </w:tc>
        <w:tc>
          <w:tcPr>
            <w:tcW w:w="1100" w:type="dxa"/>
            <w:vAlign w:val="bottom"/>
          </w:tcPr>
          <w:p>
            <w:pPr>
              <w:jc w:val="center"/>
              <w:ind w:right="12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1"/>
        </w:trPr>
        <w:tc>
          <w:tcPr>
            <w:tcW w:w="3880" w:type="dxa"/>
            <w:vAlign w:val="bottom"/>
          </w:tcPr>
          <w:p>
            <w:pPr>
              <w:spacing w:after="0"/>
              <w:rPr>
                <w:sz w:val="8"/>
                <w:szCs w:val="8"/>
                <w:color w:val="auto"/>
              </w:rPr>
            </w:pPr>
          </w:p>
        </w:tc>
        <w:tc>
          <w:tcPr>
            <w:tcW w:w="128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8"/>
                <w:szCs w:val="8"/>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8"/>
                <w:szCs w:val="8"/>
                <w:color w:val="auto"/>
              </w:rPr>
            </w:pPr>
          </w:p>
        </w:tc>
        <w:tc>
          <w:tcPr>
            <w:tcW w:w="960" w:type="dxa"/>
            <w:vAlign w:val="bottom"/>
            <w:gridSpan w:val="2"/>
          </w:tcPr>
          <w:p>
            <w:pPr>
              <w:jc w:val="center"/>
              <w:ind w:right="280"/>
              <w:spacing w:after="0" w:line="101" w:lineRule="exact"/>
              <w:rPr>
                <w:sz w:val="20"/>
                <w:szCs w:val="20"/>
                <w:color w:val="auto"/>
              </w:rPr>
            </w:pPr>
            <w:r>
              <w:rPr>
                <w:rFonts w:ascii="Arial" w:cs="Arial" w:eastAsia="Arial" w:hAnsi="Arial"/>
                <w:sz w:val="10"/>
                <w:szCs w:val="10"/>
                <w:b w:val="1"/>
                <w:bCs w:val="1"/>
                <w:color w:val="auto"/>
              </w:rPr>
              <w:t>Paid-in</w:t>
            </w:r>
          </w:p>
        </w:tc>
        <w:tc>
          <w:tcPr>
            <w:tcW w:w="180" w:type="dxa"/>
            <w:vAlign w:val="bottom"/>
          </w:tcPr>
          <w:p>
            <w:pPr>
              <w:spacing w:after="0"/>
              <w:rPr>
                <w:sz w:val="8"/>
                <w:szCs w:val="8"/>
                <w:color w:val="auto"/>
              </w:rPr>
            </w:pPr>
          </w:p>
        </w:tc>
        <w:tc>
          <w:tcPr>
            <w:tcW w:w="900" w:type="dxa"/>
            <w:vAlign w:val="bottom"/>
            <w:gridSpan w:val="2"/>
          </w:tcPr>
          <w:p>
            <w:pPr>
              <w:ind w:left="80"/>
              <w:spacing w:after="0" w:line="101" w:lineRule="exact"/>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8"/>
                <w:szCs w:val="8"/>
                <w:color w:val="auto"/>
              </w:rPr>
            </w:pPr>
          </w:p>
        </w:tc>
        <w:tc>
          <w:tcPr>
            <w:tcW w:w="1440" w:type="dxa"/>
            <w:vAlign w:val="bottom"/>
            <w:gridSpan w:val="2"/>
          </w:tcPr>
          <w:p>
            <w:pPr>
              <w:jc w:val="center"/>
              <w:ind w:right="220"/>
              <w:spacing w:after="0" w:line="101" w:lineRule="exact"/>
              <w:rPr>
                <w:sz w:val="20"/>
                <w:szCs w:val="20"/>
                <w:color w:val="auto"/>
              </w:rPr>
            </w:pPr>
            <w:r>
              <w:rPr>
                <w:rFonts w:ascii="Arial" w:cs="Arial" w:eastAsia="Arial" w:hAnsi="Arial"/>
                <w:sz w:val="10"/>
                <w:szCs w:val="10"/>
                <w:b w:val="1"/>
                <w:bCs w:val="1"/>
                <w:color w:val="auto"/>
              </w:rPr>
              <w:t>Comprehensive Income</w:t>
            </w:r>
          </w:p>
        </w:tc>
        <w:tc>
          <w:tcPr>
            <w:tcW w:w="180" w:type="dxa"/>
            <w:vAlign w:val="bottom"/>
          </w:tcPr>
          <w:p>
            <w:pPr>
              <w:spacing w:after="0"/>
              <w:rPr>
                <w:sz w:val="8"/>
                <w:szCs w:val="8"/>
                <w:color w:val="auto"/>
              </w:rPr>
            </w:pPr>
          </w:p>
        </w:tc>
        <w:tc>
          <w:tcPr>
            <w:tcW w:w="1100" w:type="dxa"/>
            <w:vAlign w:val="bottom"/>
          </w:tcPr>
          <w:p>
            <w:pPr>
              <w:jc w:val="center"/>
              <w:ind w:right="122"/>
              <w:spacing w:after="0" w:line="101"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41"/>
        </w:trPr>
        <w:tc>
          <w:tcPr>
            <w:tcW w:w="3880" w:type="dxa"/>
            <w:vAlign w:val="bottom"/>
          </w:tcPr>
          <w:p>
            <w:pPr>
              <w:spacing w:after="0"/>
              <w:rPr>
                <w:sz w:val="20"/>
                <w:szCs w:val="20"/>
                <w:color w:val="auto"/>
              </w:rPr>
            </w:pPr>
            <w:r>
              <w:rPr>
                <w:rFonts w:ascii="Arial" w:cs="Arial" w:eastAsia="Arial" w:hAnsi="Arial"/>
                <w:sz w:val="9"/>
                <w:szCs w:val="9"/>
                <w:color w:val="auto"/>
              </w:rPr>
              <w:t>(dollars in thousands, except per share data)</w:t>
            </w: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Capital</w:t>
            </w:r>
          </w:p>
        </w:tc>
        <w:tc>
          <w:tcPr>
            <w:tcW w:w="18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(Loss)</w:t>
            </w:r>
          </w:p>
        </w:tc>
        <w:tc>
          <w:tcPr>
            <w:tcW w:w="180" w:type="dxa"/>
            <w:vAlign w:val="bottom"/>
          </w:tcPr>
          <w:p>
            <w:pPr>
              <w:spacing w:after="0"/>
              <w:rPr>
                <w:sz w:val="12"/>
                <w:szCs w:val="12"/>
                <w:color w:val="auto"/>
              </w:rPr>
            </w:pPr>
          </w:p>
        </w:tc>
        <w:tc>
          <w:tcPr>
            <w:tcW w:w="1100" w:type="dxa"/>
            <w:vAlign w:val="bottom"/>
          </w:tcPr>
          <w:p>
            <w:pPr>
              <w:jc w:val="center"/>
              <w:ind w:right="122"/>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2"/>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December 31, 2019</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13,894,842</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139</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51,561</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81,618</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133,331</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25,823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25,823</w:t>
            </w:r>
          </w:p>
        </w:tc>
        <w:tc>
          <w:tcPr>
            <w:tcW w:w="0" w:type="dxa"/>
            <w:vAlign w:val="bottom"/>
          </w:tcPr>
          <w:p>
            <w:pPr>
              <w:spacing w:after="0"/>
              <w:rPr>
                <w:sz w:val="1"/>
                <w:szCs w:val="1"/>
                <w:color w:val="auto"/>
              </w:rPr>
            </w:pPr>
          </w:p>
        </w:tc>
      </w:tr>
      <w:tr>
        <w:trPr>
          <w:trHeight w:val="127"/>
        </w:trPr>
        <w:tc>
          <w:tcPr>
            <w:tcW w:w="3880" w:type="dxa"/>
            <w:vAlign w:val="bottom"/>
          </w:tcPr>
          <w:p>
            <w:pPr>
              <w:spacing w:after="0" w:line="127" w:lineRule="exact"/>
              <w:rPr>
                <w:sz w:val="20"/>
                <w:szCs w:val="20"/>
                <w:color w:val="auto"/>
              </w:rPr>
            </w:pPr>
            <w:r>
              <w:rPr>
                <w:rFonts w:ascii="Arial" w:cs="Arial" w:eastAsia="Arial" w:hAnsi="Arial"/>
                <w:sz w:val="12"/>
                <w:szCs w:val="12"/>
                <w:color w:val="auto"/>
                <w:w w:val="99"/>
              </w:rPr>
              <w:t>Unrealized gain on investment securities available for sale, net of income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2"/>
                <w:szCs w:val="12"/>
                <w:color w:val="auto"/>
              </w:rPr>
              <w:t>1,704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2"/>
                <w:szCs w:val="12"/>
                <w:color w:val="auto"/>
              </w:rPr>
              <w:t>1,704</w:t>
            </w:r>
          </w:p>
        </w:tc>
        <w:tc>
          <w:tcPr>
            <w:tcW w:w="0" w:type="dxa"/>
            <w:vAlign w:val="bottom"/>
          </w:tcPr>
          <w:p>
            <w:pPr>
              <w:spacing w:after="0"/>
              <w:rPr>
                <w:sz w:val="1"/>
                <w:szCs w:val="1"/>
                <w:color w:val="auto"/>
              </w:rPr>
            </w:pPr>
          </w:p>
        </w:tc>
      </w:tr>
      <w:tr>
        <w:trPr>
          <w:trHeight w:val="142"/>
        </w:trPr>
        <w:tc>
          <w:tcPr>
            <w:tcW w:w="3880" w:type="dxa"/>
            <w:vAlign w:val="bottom"/>
          </w:tcPr>
          <w:p>
            <w:pPr>
              <w:ind w:left="140"/>
              <w:spacing w:after="0"/>
              <w:rPr>
                <w:sz w:val="20"/>
                <w:szCs w:val="20"/>
                <w:color w:val="auto"/>
              </w:rPr>
            </w:pPr>
            <w:r>
              <w:rPr>
                <w:rFonts w:ascii="Arial" w:cs="Arial" w:eastAsia="Arial" w:hAnsi="Arial"/>
                <w:sz w:val="12"/>
                <w:szCs w:val="12"/>
                <w:color w:val="auto"/>
              </w:rPr>
              <w:t>taxes</w:t>
            </w: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Stock options exercised, net of shares withheld for purchase price</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142,901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922</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Arial" w:cs="Arial" w:eastAsia="Arial" w:hAnsi="Arial"/>
                <w:sz w:val="12"/>
                <w:szCs w:val="12"/>
                <w:color w:val="auto"/>
              </w:rPr>
              <w:t>Shares issued as compensation</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19,900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268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268</w:t>
            </w:r>
          </w:p>
        </w:tc>
        <w:tc>
          <w:tcPr>
            <w:tcW w:w="0" w:type="dxa"/>
            <w:vAlign w:val="bottom"/>
          </w:tcPr>
          <w:p>
            <w:pPr>
              <w:spacing w:after="0"/>
              <w:rPr>
                <w:sz w:val="1"/>
                <w:szCs w:val="1"/>
                <w:color w:val="auto"/>
              </w:rPr>
            </w:pPr>
          </w:p>
        </w:tc>
      </w:tr>
      <w:tr>
        <w:trPr>
          <w:trHeight w:val="157"/>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983</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Arial" w:cs="Arial" w:eastAsia="Arial" w:hAnsi="Arial"/>
                <w:sz w:val="12"/>
                <w:szCs w:val="12"/>
                <w:color w:val="auto"/>
              </w:rPr>
              <w:t>Shares repurchased and retired</w:t>
            </w:r>
          </w:p>
        </w:tc>
        <w:tc>
          <w:tcPr>
            <w:tcW w:w="1160" w:type="dxa"/>
            <w:vAlign w:val="bottom"/>
          </w:tcPr>
          <w:p>
            <w:pPr>
              <w:jc w:val="right"/>
              <w:spacing w:after="0"/>
              <w:rPr>
                <w:sz w:val="20"/>
                <w:szCs w:val="20"/>
                <w:color w:val="auto"/>
              </w:rPr>
            </w:pPr>
            <w:r>
              <w:rPr>
                <w:rFonts w:ascii="Arial" w:cs="Arial" w:eastAsia="Arial" w:hAnsi="Arial"/>
                <w:sz w:val="12"/>
                <w:szCs w:val="12"/>
                <w:color w:val="auto"/>
              </w:rPr>
              <w:t>(304,114)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(3,293)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(3,720)</w:t>
            </w:r>
          </w:p>
        </w:tc>
        <w:tc>
          <w:tcPr>
            <w:tcW w:w="0" w:type="dxa"/>
            <w:vAlign w:val="bottom"/>
          </w:tcPr>
          <w:p>
            <w:pPr>
              <w:spacing w:after="0"/>
              <w:rPr>
                <w:sz w:val="1"/>
                <w:szCs w:val="1"/>
                <w:color w:val="auto"/>
              </w:rPr>
            </w:pPr>
          </w:p>
        </w:tc>
      </w:tr>
      <w:tr>
        <w:trPr>
          <w:trHeight w:val="148"/>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December 31, 2020</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13,753,529</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50,602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106,854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159,311</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39,978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39,978</w:t>
            </w:r>
          </w:p>
        </w:tc>
        <w:tc>
          <w:tcPr>
            <w:tcW w:w="0" w:type="dxa"/>
            <w:vAlign w:val="bottom"/>
          </w:tcPr>
          <w:p>
            <w:pPr>
              <w:spacing w:after="0"/>
              <w:rPr>
                <w:sz w:val="1"/>
                <w:szCs w:val="1"/>
                <w:color w:val="auto"/>
              </w:rPr>
            </w:pPr>
          </w:p>
        </w:tc>
      </w:tr>
      <w:tr>
        <w:trPr>
          <w:trHeight w:val="127"/>
        </w:trPr>
        <w:tc>
          <w:tcPr>
            <w:tcW w:w="3880" w:type="dxa"/>
            <w:vAlign w:val="bottom"/>
          </w:tcPr>
          <w:p>
            <w:pPr>
              <w:spacing w:after="0" w:line="127" w:lineRule="exact"/>
              <w:rPr>
                <w:sz w:val="20"/>
                <w:szCs w:val="20"/>
                <w:color w:val="auto"/>
              </w:rPr>
            </w:pPr>
            <w:r>
              <w:rPr>
                <w:rFonts w:ascii="Arial" w:cs="Arial" w:eastAsia="Arial" w:hAnsi="Arial"/>
                <w:sz w:val="12"/>
                <w:szCs w:val="12"/>
                <w:color w:val="auto"/>
                <w:w w:val="99"/>
              </w:rPr>
              <w:t>Unrealized loss on investment securities available for sale, net of income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2"/>
                <w:szCs w:val="12"/>
                <w:color w:val="auto"/>
              </w:rPr>
              <w:t>(2,793)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(2,793)</w:t>
            </w:r>
          </w:p>
        </w:tc>
        <w:tc>
          <w:tcPr>
            <w:tcW w:w="0" w:type="dxa"/>
            <w:vAlign w:val="bottom"/>
          </w:tcPr>
          <w:p>
            <w:pPr>
              <w:spacing w:after="0"/>
              <w:rPr>
                <w:sz w:val="1"/>
                <w:szCs w:val="1"/>
                <w:color w:val="auto"/>
              </w:rPr>
            </w:pPr>
          </w:p>
        </w:tc>
      </w:tr>
      <w:tr>
        <w:trPr>
          <w:trHeight w:val="142"/>
        </w:trPr>
        <w:tc>
          <w:tcPr>
            <w:tcW w:w="3880" w:type="dxa"/>
            <w:vAlign w:val="bottom"/>
          </w:tcPr>
          <w:p>
            <w:pPr>
              <w:ind w:left="140"/>
              <w:spacing w:after="0"/>
              <w:rPr>
                <w:sz w:val="20"/>
                <w:szCs w:val="20"/>
                <w:color w:val="auto"/>
              </w:rPr>
            </w:pPr>
            <w:r>
              <w:rPr>
                <w:rFonts w:ascii="Arial" w:cs="Arial" w:eastAsia="Arial" w:hAnsi="Arial"/>
                <w:sz w:val="12"/>
                <w:szCs w:val="12"/>
                <w:color w:val="auto"/>
              </w:rPr>
              <w:t>taxes</w:t>
            </w: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Stock options exercised, net of shares withheld for purchase price</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186,461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967</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Arial" w:cs="Arial" w:eastAsia="Arial" w:hAnsi="Arial"/>
                <w:sz w:val="12"/>
                <w:szCs w:val="12"/>
                <w:color w:val="auto"/>
              </w:rPr>
              <w:t>Shares issued as compensation, net of settlement of taxes</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22,344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475</w:t>
            </w:r>
          </w:p>
        </w:tc>
        <w:tc>
          <w:tcPr>
            <w:tcW w:w="0" w:type="dxa"/>
            <w:vAlign w:val="bottom"/>
          </w:tcPr>
          <w:p>
            <w:pPr>
              <w:spacing w:after="0"/>
              <w:rPr>
                <w:sz w:val="1"/>
                <w:szCs w:val="1"/>
                <w:color w:val="auto"/>
              </w:rPr>
            </w:pPr>
          </w:p>
        </w:tc>
      </w:tr>
      <w:tr>
        <w:trPr>
          <w:trHeight w:val="157"/>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1,347</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Arial" w:cs="Arial" w:eastAsia="Arial" w:hAnsi="Arial"/>
                <w:sz w:val="12"/>
                <w:szCs w:val="12"/>
                <w:color w:val="auto"/>
              </w:rPr>
              <w:t>Cash dividends to stockholders ($0.10 per share)</w:t>
            </w: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(1,382)</w:t>
            </w:r>
          </w:p>
        </w:tc>
        <w:tc>
          <w:tcPr>
            <w:tcW w:w="0" w:type="dxa"/>
            <w:vAlign w:val="bottom"/>
          </w:tcPr>
          <w:p>
            <w:pPr>
              <w:spacing w:after="0"/>
              <w:rPr>
                <w:sz w:val="1"/>
                <w:szCs w:val="1"/>
                <w:color w:val="auto"/>
              </w:rPr>
            </w:pPr>
          </w:p>
        </w:tc>
      </w:tr>
      <w:tr>
        <w:trPr>
          <w:trHeight w:val="17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December 31, 2021</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13,962,334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54,306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144,533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197,903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Arial" w:cs="Arial" w:eastAsia="Arial" w:hAnsi="Arial"/>
          <w:sz w:val="15"/>
          <w:szCs w:val="15"/>
          <w:i w:val="1"/>
          <w:iCs w:val="1"/>
          <w:color w:val="auto"/>
        </w:rPr>
        <w:t>See Notes to Consolidated Financial Statements</w:t>
      </w:r>
    </w:p>
    <w:p>
      <w:pPr>
        <w:spacing w:after="0" w:line="16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212090</wp:posOffset>
            </wp:positionV>
            <wp:extent cx="718121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20"/>
          </w:cols>
          <w:pgMar w:left="340" w:top="16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153035</wp:posOffset>
            </wp:positionV>
            <wp:extent cx="715581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5815" cy="13970"/>
                    </a:xfrm>
                    <a:prstGeom prst="rect">
                      <a:avLst/>
                    </a:prstGeom>
                    <a:noFill/>
                  </pic:spPr>
                </pic:pic>
              </a:graphicData>
            </a:graphic>
          </wp:anchor>
        </w:drawing>
        <w:t>Capital Bancorp, Inc. and Subsidiaries</w:t>
      </w:r>
    </w:p>
    <w:p>
      <w:pPr>
        <w:spacing w:after="0" w:line="208" w:lineRule="auto"/>
        <w:rPr>
          <w:sz w:val="20"/>
          <w:szCs w:val="20"/>
          <w:color w:val="auto"/>
        </w:rPr>
      </w:pPr>
      <w:r>
        <w:rPr>
          <w:rFonts w:ascii="Arial" w:cs="Arial" w:eastAsia="Arial" w:hAnsi="Arial"/>
          <w:sz w:val="15"/>
          <w:szCs w:val="15"/>
          <w:b w:val="1"/>
          <w:bCs w:val="1"/>
          <w:i w:val="1"/>
          <w:i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 the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15581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581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500" w:type="dxa"/>
        <w:tblCellMar>
          <w:top w:w="0" w:type="dxa"/>
          <w:left w:w="0" w:type="dxa"/>
          <w:bottom w:w="0" w:type="dxa"/>
          <w:right w:w="0" w:type="dxa"/>
        </w:tblCellMar>
      </w:tblPr>
      <w:tr>
        <w:trPr>
          <w:trHeight w:val="178"/>
        </w:trPr>
        <w:tc>
          <w:tcPr>
            <w:tcW w:w="7280" w:type="dxa"/>
            <w:vAlign w:val="bottom"/>
          </w:tcPr>
          <w:p>
            <w:pPr>
              <w:spacing w:after="0"/>
              <w:rPr>
                <w:sz w:val="20"/>
                <w:szCs w:val="20"/>
                <w:color w:val="auto"/>
              </w:rPr>
            </w:pPr>
            <w:r>
              <w:rPr>
                <w:rFonts w:ascii="Arial" w:cs="Arial" w:eastAsia="Arial" w:hAnsi="Arial"/>
                <w:sz w:val="9"/>
                <w:szCs w:val="9"/>
                <w:color w:val="auto"/>
              </w:rPr>
              <w:t>(dollars 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r>
      <w:tr>
        <w:trPr>
          <w:trHeight w:val="161"/>
        </w:trPr>
        <w:tc>
          <w:tcPr>
            <w:tcW w:w="7280" w:type="dxa"/>
            <w:vAlign w:val="bottom"/>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39,978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25,823</w:t>
            </w:r>
          </w:p>
        </w:tc>
      </w:tr>
      <w:tr>
        <w:trPr>
          <w:trHeight w:val="177"/>
        </w:trPr>
        <w:tc>
          <w:tcPr>
            <w:tcW w:w="7280" w:type="dxa"/>
            <w:vAlign w:val="bottom"/>
          </w:tcPr>
          <w:p>
            <w:pPr>
              <w:ind w:left="1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1"/>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Provision for loan losses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11,242</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Provision for mortgage put-back reserve, net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584</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Provision for (release of) off balance sheet credit risk</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Net amortization on investments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297</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Premises and equipment depreciation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Lease asset amortization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1,050</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Increase in cash surrender value of BOLI</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Executive long term incentive plan expense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1,344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Director and employee compensation paid in Company stock</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268</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income tax benefit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(3,170)</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Valuation allowance on derivatives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debt issuance cost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Gain on sale of securities available for sale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on sales of foreclosed real estate, net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Decrease in valuation of loans held for sale carried at fair value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sales of loans held for sale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1,091,746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1,267,112</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Originations of loans held for sale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(1,000,827)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(1,303,244)</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assets and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7280" w:type="dxa"/>
            <w:vAlign w:val="bottom"/>
          </w:tcPr>
          <w:p>
            <w:pPr>
              <w:ind w:left="280"/>
              <w:spacing w:after="0"/>
              <w:rPr>
                <w:sz w:val="20"/>
                <w:szCs w:val="20"/>
                <w:color w:val="auto"/>
              </w:rPr>
            </w:pPr>
            <w:r>
              <w:rPr>
                <w:rFonts w:ascii="Arial" w:cs="Arial" w:eastAsia="Arial" w:hAnsi="Arial"/>
                <w:sz w:val="13"/>
                <w:szCs w:val="13"/>
                <w:color w:val="auto"/>
              </w:rPr>
              <w:t>Accrued interest receivable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(3,364)</w:t>
            </w:r>
          </w:p>
        </w:tc>
      </w:tr>
      <w:tr>
        <w:trPr>
          <w:trHeight w:val="180"/>
        </w:trPr>
        <w:tc>
          <w:tcPr>
            <w:tcW w:w="7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r>
      <w:tr>
        <w:trPr>
          <w:trHeight w:val="178"/>
        </w:trPr>
        <w:tc>
          <w:tcPr>
            <w:tcW w:w="7280" w:type="dxa"/>
            <w:vAlign w:val="bottom"/>
          </w:tcPr>
          <w:p>
            <w:pPr>
              <w:ind w:left="280"/>
              <w:spacing w:after="0"/>
              <w:rPr>
                <w:sz w:val="20"/>
                <w:szCs w:val="20"/>
                <w:color w:val="auto"/>
              </w:rPr>
            </w:pPr>
            <w:r>
              <w:rPr>
                <w:rFonts w:ascii="Arial" w:cs="Arial" w:eastAsia="Arial" w:hAnsi="Arial"/>
                <w:sz w:val="13"/>
                <w:szCs w:val="13"/>
                <w:color w:val="auto"/>
              </w:rPr>
              <w:t>Accrued interest payable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(667)</w:t>
            </w:r>
          </w:p>
        </w:tc>
      </w:tr>
      <w:tr>
        <w:trPr>
          <w:trHeight w:val="180"/>
        </w:trPr>
        <w:tc>
          <w:tcPr>
            <w:tcW w:w="7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7,462</w:t>
            </w:r>
          </w:p>
        </w:tc>
      </w:tr>
      <w:tr>
        <w:trPr>
          <w:trHeight w:val="169"/>
        </w:trPr>
        <w:tc>
          <w:tcPr>
            <w:tcW w:w="7280" w:type="dxa"/>
            <w:vAlign w:val="bottom"/>
          </w:tcPr>
          <w:p>
            <w:pPr>
              <w:ind w:left="38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132,076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5,457</w:t>
            </w:r>
          </w:p>
        </w:tc>
      </w:tr>
    </w:tbl>
    <w:p>
      <w:pPr>
        <w:spacing w:after="0" w:line="200" w:lineRule="exact"/>
        <w:rPr>
          <w:sz w:val="20"/>
          <w:szCs w:val="20"/>
          <w:color w:val="auto"/>
        </w:rPr>
      </w:pPr>
    </w:p>
    <w:p>
      <w:pPr>
        <w:spacing w:after="0" w:line="35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See Notes to Consolidated Financial Statements</w:t>
      </w:r>
    </w:p>
    <w:p>
      <w:pPr>
        <w:spacing w:after="0" w:line="168"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205105</wp:posOffset>
            </wp:positionV>
            <wp:extent cx="718121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0760"/>
          </w:cols>
          <w:pgMar w:left="320" w:top="245" w:right="8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153035</wp:posOffset>
            </wp:positionV>
            <wp:extent cx="715581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5815" cy="13970"/>
                    </a:xfrm>
                    <a:prstGeom prst="rect">
                      <a:avLst/>
                    </a:prstGeom>
                    <a:noFill/>
                  </pic:spPr>
                </pic:pic>
              </a:graphicData>
            </a:graphic>
          </wp:anchor>
        </w:drawing>
        <w:t>Capital Bancorp, Inc. and Subsidiaries</w:t>
      </w:r>
    </w:p>
    <w:p>
      <w:pPr>
        <w:spacing w:after="0" w:line="208" w:lineRule="auto"/>
        <w:rPr>
          <w:sz w:val="20"/>
          <w:szCs w:val="20"/>
          <w:color w:val="auto"/>
        </w:rPr>
      </w:pPr>
      <w:r>
        <w:rPr>
          <w:rFonts w:ascii="Arial" w:cs="Arial" w:eastAsia="Arial" w:hAnsi="Arial"/>
          <w:sz w:val="15"/>
          <w:szCs w:val="15"/>
          <w:b w:val="1"/>
          <w:bCs w:val="1"/>
          <w:i w:val="1"/>
          <w:i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 the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15581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581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500" w:type="dxa"/>
        <w:tblCellMar>
          <w:top w:w="0" w:type="dxa"/>
          <w:left w:w="0" w:type="dxa"/>
          <w:bottom w:w="0" w:type="dxa"/>
          <w:right w:w="0" w:type="dxa"/>
        </w:tblCellMar>
      </w:tblPr>
      <w:tr>
        <w:trPr>
          <w:trHeight w:val="180"/>
        </w:trPr>
        <w:tc>
          <w:tcPr>
            <w:tcW w:w="728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(dollars 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r>
      <w:tr>
        <w:trPr>
          <w:trHeight w:val="161"/>
        </w:trPr>
        <w:tc>
          <w:tcPr>
            <w:tcW w:w="7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8"/>
        </w:trPr>
        <w:tc>
          <w:tcPr>
            <w:tcW w:w="7280" w:type="dxa"/>
            <w:vAlign w:val="bottom"/>
          </w:tcPr>
          <w:p>
            <w:pPr>
              <w:ind w:left="100"/>
              <w:spacing w:after="0"/>
              <w:rPr>
                <w:sz w:val="20"/>
                <w:szCs w:val="20"/>
                <w:color w:val="auto"/>
              </w:rPr>
            </w:pPr>
            <w:r>
              <w:rPr>
                <w:rFonts w:ascii="Arial" w:cs="Arial" w:eastAsia="Arial" w:hAnsi="Arial"/>
                <w:sz w:val="13"/>
                <w:szCs w:val="13"/>
                <w:color w:val="auto"/>
              </w:rPr>
              <w:t>Purchases of securities available for sale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(169,672)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(53,926)</w:t>
            </w:r>
          </w:p>
        </w:tc>
      </w:tr>
      <w:tr>
        <w:trPr>
          <w:trHeight w:val="18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maturities, calls and principal paydowns of securities available for sale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13,882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16,045</w:t>
            </w:r>
          </w:p>
        </w:tc>
      </w:tr>
      <w:tr>
        <w:trPr>
          <w:trHeight w:val="178"/>
        </w:trPr>
        <w:tc>
          <w:tcPr>
            <w:tcW w:w="7280" w:type="dxa"/>
            <w:vAlign w:val="bottom"/>
          </w:tcPr>
          <w:p>
            <w:pPr>
              <w:ind w:left="100"/>
              <w:spacing w:after="0"/>
              <w:rPr>
                <w:sz w:val="20"/>
                <w:szCs w:val="20"/>
                <w:color w:val="auto"/>
              </w:rPr>
            </w:pPr>
            <w:r>
              <w:rPr>
                <w:rFonts w:ascii="Arial" w:cs="Arial" w:eastAsia="Arial" w:hAnsi="Arial"/>
                <w:sz w:val="13"/>
                <w:szCs w:val="13"/>
                <w:color w:val="auto"/>
              </w:rPr>
              <w:t>Proceeds from sale of securities available for sale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66,534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965</w:t>
            </w:r>
          </w:p>
        </w:tc>
      </w:tr>
      <w:tr>
        <w:trPr>
          <w:trHeight w:val="18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Sales of restricted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78"/>
        </w:trPr>
        <w:tc>
          <w:tcPr>
            <w:tcW w:w="7280" w:type="dxa"/>
            <w:vAlign w:val="bottom"/>
          </w:tcPr>
          <w:p>
            <w:pPr>
              <w:ind w:left="100"/>
              <w:spacing w:after="0"/>
              <w:rPr>
                <w:sz w:val="20"/>
                <w:szCs w:val="20"/>
                <w:color w:val="auto"/>
              </w:rPr>
            </w:pPr>
            <w:r>
              <w:rPr>
                <w:rFonts w:ascii="Arial" w:cs="Arial" w:eastAsia="Arial" w:hAnsi="Arial"/>
                <w:sz w:val="13"/>
                <w:szCs w:val="13"/>
                <w:color w:val="auto"/>
              </w:rPr>
              <w:t>Net decrease (increase) in SBA-PPP loans receivable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92,733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(201,018)</w:t>
            </w:r>
          </w:p>
        </w:tc>
      </w:tr>
      <w:tr>
        <w:trPr>
          <w:trHeight w:val="18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increase in loans receivable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(210,092)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(147,319)</w:t>
            </w:r>
          </w:p>
        </w:tc>
      </w:tr>
      <w:tr>
        <w:trPr>
          <w:trHeight w:val="178"/>
        </w:trPr>
        <w:tc>
          <w:tcPr>
            <w:tcW w:w="7280" w:type="dxa"/>
            <w:vAlign w:val="bottom"/>
          </w:tcPr>
          <w:p>
            <w:pPr>
              <w:ind w:left="100"/>
              <w:spacing w:after="0"/>
              <w:rPr>
                <w:sz w:val="20"/>
                <w:szCs w:val="20"/>
                <w:color w:val="auto"/>
              </w:rPr>
            </w:pPr>
            <w:r>
              <w:rPr>
                <w:rFonts w:ascii="Arial" w:cs="Arial" w:eastAsia="Arial" w:hAnsi="Arial"/>
                <w:sz w:val="13"/>
                <w:szCs w:val="13"/>
                <w:color w:val="auto"/>
              </w:rPr>
              <w:t>Net purchases of premises and equipment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(267)</w:t>
            </w:r>
          </w:p>
        </w:tc>
      </w:tr>
      <w:tr>
        <w:trPr>
          <w:trHeight w:val="18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sales of foreclosed real estate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2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Purchase of Bank owned life insurance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(35,000)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Net cash used in investing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(238,231)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(385,512)</w:t>
            </w:r>
          </w:p>
        </w:tc>
      </w:tr>
      <w:tr>
        <w:trPr>
          <w:trHeight w:val="161"/>
        </w:trPr>
        <w:tc>
          <w:tcPr>
            <w:tcW w:w="7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7"/>
        </w:trPr>
        <w:tc>
          <w:tcPr>
            <w:tcW w:w="7280" w:type="dxa"/>
            <w:vAlign w:val="bottom"/>
          </w:tcPr>
          <w:p>
            <w:pPr>
              <w:ind w:left="100"/>
              <w:spacing w:after="0"/>
              <w:rPr>
                <w:sz w:val="20"/>
                <w:szCs w:val="20"/>
                <w:color w:val="auto"/>
              </w:rPr>
            </w:pPr>
            <w:r>
              <w:rPr>
                <w:rFonts w:ascii="Arial" w:cs="Arial" w:eastAsia="Arial" w:hAnsi="Arial"/>
                <w:sz w:val="13"/>
                <w:szCs w:val="13"/>
                <w:color w:val="auto"/>
              </w:rPr>
              <w:t>Net increase (decrease) in: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1"/>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Noninterest bearing deposits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179,091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316,782</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Interest bearing deposits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(34,082)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109,925</w:t>
            </w: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Federal Home Loan Bank advances, net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(10,222)</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Other borrowed funds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(1,954)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(1,546)</w:t>
            </w:r>
          </w:p>
        </w:tc>
      </w:tr>
      <w:tr>
        <w:trPr>
          <w:trHeight w:val="180"/>
        </w:trPr>
        <w:tc>
          <w:tcPr>
            <w:tcW w:w="72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Dividends paid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280" w:type="dxa"/>
            <w:vAlign w:val="bottom"/>
          </w:tcPr>
          <w:p>
            <w:pPr>
              <w:ind w:left="180"/>
              <w:spacing w:after="0"/>
              <w:rPr>
                <w:sz w:val="20"/>
                <w:szCs w:val="20"/>
                <w:color w:val="auto"/>
              </w:rPr>
            </w:pPr>
            <w:r>
              <w:rPr>
                <w:rFonts w:ascii="Arial" w:cs="Arial" w:eastAsia="Arial" w:hAnsi="Arial"/>
                <w:sz w:val="13"/>
                <w:szCs w:val="13"/>
                <w:color w:val="auto"/>
              </w:rPr>
              <w:t>Repurchase of common stock</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(3,720)</w:t>
            </w:r>
          </w:p>
        </w:tc>
      </w:tr>
      <w:tr>
        <w:trPr>
          <w:trHeight w:val="179"/>
        </w:trPr>
        <w:tc>
          <w:tcPr>
            <w:tcW w:w="7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exercise of stock options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w:t>
            </w:r>
          </w:p>
        </w:tc>
      </w:tr>
      <w:tr>
        <w:trPr>
          <w:trHeight w:val="170"/>
        </w:trPr>
        <w:tc>
          <w:tcPr>
            <w:tcW w:w="728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Net cash provided by financing activities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142,640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412,141</w:t>
            </w:r>
          </w:p>
        </w:tc>
      </w:tr>
      <w:tr>
        <w:trPr>
          <w:trHeight w:val="205"/>
        </w:trPr>
        <w:tc>
          <w:tcPr>
            <w:tcW w:w="7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8"/>
        </w:trPr>
        <w:tc>
          <w:tcPr>
            <w:tcW w:w="7280" w:type="dxa"/>
            <w:vAlign w:val="bottom"/>
          </w:tcPr>
          <w:p>
            <w:pPr>
              <w:spacing w:after="0"/>
              <w:rPr>
                <w:sz w:val="20"/>
                <w:szCs w:val="20"/>
                <w:color w:val="auto"/>
              </w:rPr>
            </w:pPr>
            <w:r>
              <w:rPr>
                <w:rFonts w:ascii="Arial" w:cs="Arial" w:eastAsia="Arial" w:hAnsi="Arial"/>
                <w:sz w:val="13"/>
                <w:szCs w:val="13"/>
                <w:b w:val="1"/>
                <w:bCs w:val="1"/>
                <w:color w:val="auto"/>
              </w:rPr>
              <w:t>Net increase in cash and cash equivalents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36,485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32,086</w:t>
            </w:r>
          </w:p>
        </w:tc>
      </w:tr>
      <w:tr>
        <w:trPr>
          <w:trHeight w:val="225"/>
        </w:trPr>
        <w:tc>
          <w:tcPr>
            <w:tcW w:w="7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78"/>
        </w:trPr>
        <w:tc>
          <w:tcPr>
            <w:tcW w:w="72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Cash and cash equivalents, beginning of year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146,910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114,824</w:t>
            </w:r>
          </w:p>
        </w:tc>
      </w:tr>
      <w:tr>
        <w:trPr>
          <w:trHeight w:val="205"/>
        </w:trPr>
        <w:tc>
          <w:tcPr>
            <w:tcW w:w="7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9"/>
        </w:trPr>
        <w:tc>
          <w:tcPr>
            <w:tcW w:w="7280" w:type="dxa"/>
            <w:vAlign w:val="bottom"/>
          </w:tcPr>
          <w:p>
            <w:pPr>
              <w:spacing w:after="0"/>
              <w:rPr>
                <w:sz w:val="20"/>
                <w:szCs w:val="20"/>
                <w:color w:val="auto"/>
              </w:rPr>
            </w:pPr>
            <w:r>
              <w:rPr>
                <w:rFonts w:ascii="Arial" w:cs="Arial" w:eastAsia="Arial" w:hAnsi="Arial"/>
                <w:sz w:val="13"/>
                <w:szCs w:val="13"/>
                <w:b w:val="1"/>
                <w:bCs w:val="1"/>
                <w:color w:val="auto"/>
              </w:rPr>
              <w:t>Cash and cash equivalents, end of year</w:t>
            </w: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183,395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146,910</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7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8"/>
        </w:trPr>
        <w:tc>
          <w:tcPr>
            <w:tcW w:w="728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transferred to foreclosed real estate</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7280" w:type="dxa"/>
            <w:vAlign w:val="bottom"/>
          </w:tcPr>
          <w:p>
            <w:pPr>
              <w:ind w:left="100"/>
              <w:spacing w:after="0" w:line="144" w:lineRule="exact"/>
              <w:rPr>
                <w:sz w:val="20"/>
                <w:szCs w:val="20"/>
                <w:color w:val="auto"/>
              </w:rPr>
            </w:pPr>
            <w:r>
              <w:rPr>
                <w:rFonts w:ascii="Arial" w:cs="Arial" w:eastAsia="Arial" w:hAnsi="Arial"/>
                <w:sz w:val="13"/>
                <w:szCs w:val="13"/>
                <w:color w:val="auto"/>
              </w:rPr>
              <w:t>Change in unrealized gains (losses) on investments</w:t>
            </w:r>
          </w:p>
        </w:tc>
        <w:tc>
          <w:tcPr>
            <w:tcW w:w="34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(3,841)</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2,320</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4"/>
        </w:trPr>
        <w:tc>
          <w:tcPr>
            <w:tcW w:w="7280" w:type="dxa"/>
            <w:vAlign w:val="bottom"/>
            <w:tcBorders>
              <w:bottom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Change in fair value of loans held for sale</w:t>
            </w: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7280" w:type="dxa"/>
            <w:vAlign w:val="bottom"/>
          </w:tcPr>
          <w:p>
            <w:pPr>
              <w:ind w:left="100"/>
              <w:spacing w:after="0" w:line="121" w:lineRule="exact"/>
              <w:rPr>
                <w:sz w:val="20"/>
                <w:szCs w:val="20"/>
                <w:color w:val="auto"/>
              </w:rPr>
            </w:pPr>
            <w:r>
              <w:rPr>
                <w:rFonts w:ascii="Arial" w:cs="Arial" w:eastAsia="Arial" w:hAnsi="Arial"/>
                <w:sz w:val="13"/>
                <w:szCs w:val="13"/>
                <w:color w:val="auto"/>
              </w:rPr>
              <w:t>Value of restricted shares withheld for payment of taxes</w:t>
            </w:r>
          </w:p>
        </w:tc>
        <w:tc>
          <w:tcPr>
            <w:tcW w:w="340" w:type="dxa"/>
            <w:vAlign w:val="bottom"/>
            <w:tcBorders>
              <w:bottom w:val="single" w:sz="8" w:color="auto"/>
            </w:tcBorders>
          </w:tcPr>
          <w:p>
            <w:pPr>
              <w:jc w:val="right"/>
              <w:ind w:right="173"/>
              <w:spacing w:after="0" w:line="121" w:lineRule="exact"/>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(44)</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(163)</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5"/>
        </w:trPr>
        <w:tc>
          <w:tcPr>
            <w:tcW w:w="7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7280" w:type="dxa"/>
            <w:vAlign w:val="bottom"/>
          </w:tcPr>
          <w:p>
            <w:pPr>
              <w:spacing w:after="0"/>
              <w:rPr>
                <w:sz w:val="20"/>
                <w:szCs w:val="20"/>
                <w:color w:val="auto"/>
              </w:rPr>
            </w:pPr>
            <w:r>
              <w:rPr>
                <w:rFonts w:ascii="Arial" w:cs="Arial" w:eastAsia="Arial" w:hAnsi="Arial"/>
                <w:sz w:val="13"/>
                <w:szCs w:val="13"/>
                <w:b w:val="1"/>
                <w:bCs w:val="1"/>
                <w:color w:val="auto"/>
              </w:rPr>
              <w:t>Cash paid during the period for:</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5"/>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Taxes</w:t>
            </w: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15,920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11,998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7280" w:type="dxa"/>
            <w:vAlign w:val="bottom"/>
          </w:tcPr>
          <w:p>
            <w:pPr>
              <w:ind w:left="100"/>
              <w:spacing w:after="0" w:line="144" w:lineRule="exact"/>
              <w:rPr>
                <w:sz w:val="20"/>
                <w:szCs w:val="20"/>
                <w:color w:val="auto"/>
              </w:rPr>
            </w:pPr>
            <w:r>
              <w:rPr>
                <w:rFonts w:ascii="Arial" w:cs="Arial" w:eastAsia="Arial" w:hAnsi="Arial"/>
                <w:sz w:val="13"/>
                <w:szCs w:val="13"/>
                <w:color w:val="auto"/>
              </w:rPr>
              <w:t>Interest</w:t>
            </w:r>
          </w:p>
        </w:tc>
        <w:tc>
          <w:tcPr>
            <w:tcW w:w="34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7,211</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13,849</w:t>
            </w:r>
          </w:p>
        </w:tc>
      </w:tr>
      <w:tr>
        <w:trPr>
          <w:trHeight w:val="20"/>
        </w:trPr>
        <w:tc>
          <w:tcPr>
            <w:tcW w:w="7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See Notes to Consolidated Financial Statements</w:t>
      </w:r>
    </w:p>
    <w:p>
      <w:pPr>
        <w:spacing w:after="0" w:line="168"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205105</wp:posOffset>
            </wp:positionV>
            <wp:extent cx="718121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0760"/>
          </w:cols>
          <w:pgMar w:left="320" w:top="245" w:right="819" w:bottom="1440" w:gutter="0" w:footer="0" w:header="0"/>
        </w:sectPr>
      </w:pPr>
    </w:p>
    <w:bookmarkStart w:id="63" w:name="page64"/>
    <w:bookmarkEnd w:id="63"/>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367030</wp:posOffset>
            </wp:positionH>
            <wp:positionV relativeFrom="page">
              <wp:posOffset>102870</wp:posOffset>
            </wp:positionV>
            <wp:extent cx="7037070"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070" cy="13970"/>
                    </a:xfrm>
                    <a:prstGeom prst="rect">
                      <a:avLst/>
                    </a:prstGeom>
                    <a:noFill/>
                  </pic:spPr>
                </pic:pic>
              </a:graphicData>
            </a:graphic>
          </wp:anchor>
        </w:drawing>
        <w:t>Capital Bancorp, Inc. and Subsidiaries</w:t>
      </w:r>
    </w:p>
    <w:p>
      <w:pPr>
        <w:ind w:left="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2540</wp:posOffset>
            </wp:positionV>
            <wp:extent cx="7037070"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07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Nature of Business and Basis of Presentation</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Nature of Business</w:t>
      </w:r>
    </w:p>
    <w:p>
      <w:pPr>
        <w:spacing w:after="0" w:line="204"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5"/>
          <w:szCs w:val="15"/>
          <w:color w:val="auto"/>
        </w:rPr>
        <w:t>Capital Bancorp, Inc. is a Maryland corporation and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of those commercial and real estate loan customers. The Company originates residential mortgages for sale in the secondary market through Capital Bank Home Loans, its residential mortgage banking arm, and issues credit cards through OpenSky</w:t>
      </w:r>
      <w:r>
        <w:rPr>
          <w:rFonts w:ascii="Arial" w:cs="Arial" w:eastAsia="Arial" w:hAnsi="Arial"/>
          <w:sz w:val="19"/>
          <w:szCs w:val="19"/>
          <w:color w:val="auto"/>
          <w:vertAlign w:val="superscript"/>
        </w:rPr>
        <w:t>®</w:t>
      </w:r>
      <w:r>
        <w:rPr>
          <w:rFonts w:ascii="Arial" w:cs="Arial" w:eastAsia="Arial" w:hAnsi="Arial"/>
          <w:sz w:val="15"/>
          <w:szCs w:val="15"/>
          <w:color w:val="auto"/>
        </w:rPr>
        <w:t>, a secured, digitally-driven, nationwide credit card platform.</w:t>
      </w:r>
    </w:p>
    <w:p>
      <w:pPr>
        <w:spacing w:after="0" w:line="109"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Company formed Church Street Capital, LLC (“Church Street Capital”) in 2014 to provide short-term secured real estate financing to Washington, D.C. area investors and developers that may not meet all Bank credit criteria.</w:t>
      </w:r>
    </w:p>
    <w:p>
      <w:pPr>
        <w:spacing w:after="0" w:line="166"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Basis of Presentation</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a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Significant Accounting Policies:</w:t>
      </w:r>
    </w:p>
    <w:p>
      <w:pPr>
        <w:spacing w:after="0" w:line="202"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The preparation of consolidated financial statements in accordance with GAAP requires estimates and judgments that affect the reported amounts of assets, liabilities, revenues and expenses and related disclosures of contingent assets and liabilities. The basis of the estimates is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Estimates are evaluated on an ongoing basis. Actual results may differ from these estimates under different assumptions or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Cash and cash equivalents</w:t>
      </w:r>
    </w:p>
    <w:p>
      <w:pPr>
        <w:spacing w:after="0" w:line="186"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For purposes of reporting cash flows, cash and cash equivalents include cash on hand, amounts due from banks, interest bearing deposits with banks and federal funds sold. Generally, federal funds are sold for one-day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64" w:name="page65"/>
    <w:bookmarkEnd w:id="64"/>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Nature of Business and Basis of Presentation (continued)</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Investment securities</w:t>
      </w:r>
    </w:p>
    <w:p>
      <w:pPr>
        <w:spacing w:after="0" w:line="186"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will be charged to income.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Loans held for sale</w:t>
      </w:r>
    </w:p>
    <w:p>
      <w:pPr>
        <w:spacing w:after="0" w:line="186"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intangible asset recorded for the value of such servicing. Interest on loans held for sale is credited to income based on the principal amounts outstanding.</w:t>
      </w:r>
    </w:p>
    <w:p>
      <w:pPr>
        <w:spacing w:after="0" w:line="171" w:lineRule="exact"/>
        <w:rPr>
          <w:sz w:val="20"/>
          <w:szCs w:val="20"/>
          <w:color w:val="auto"/>
        </w:rPr>
      </w:pPr>
    </w:p>
    <w:p>
      <w:pPr>
        <w:jc w:val="both"/>
        <w:ind w:firstLine="268"/>
        <w:spacing w:after="0" w:line="179" w:lineRule="exact"/>
        <w:rPr>
          <w:sz w:val="20"/>
          <w:szCs w:val="20"/>
          <w:color w:val="auto"/>
        </w:rPr>
      </w:pPr>
      <w:r>
        <w:rPr>
          <w:rFonts w:ascii="Arial" w:cs="Arial" w:eastAsia="Arial" w:hAnsi="Arial"/>
          <w:sz w:val="15"/>
          <w:szCs w:val="15"/>
          <w:color w:val="auto"/>
        </w:rPr>
        <w:t>Upon sale and delivery, loans are legally isolated from the Company and the Company has no ability to restrict or constrain the ability of third</w:t>
      </w:r>
      <w:r>
        <w:rPr>
          <w:rFonts w:ascii="MS PGothic" w:cs="MS PGothic" w:eastAsia="MS PGothic" w:hAnsi="MS PGothic"/>
          <w:sz w:val="15"/>
          <w:szCs w:val="15"/>
          <w:color w:val="auto"/>
        </w:rPr>
        <w:t>‑</w:t>
      </w:r>
      <w:r>
        <w:rPr>
          <w:rFonts w:ascii="Arial" w:cs="Arial" w:eastAsia="Arial" w:hAnsi="Arial"/>
          <w:sz w:val="15"/>
          <w:szCs w:val="15"/>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5"/>
          <w:szCs w:val="15"/>
          <w:color w:val="auto"/>
        </w:rPr>
        <w:t>‑</w:t>
      </w:r>
      <w:r>
        <w:rPr>
          <w:rFonts w:ascii="Arial" w:cs="Arial" w:eastAsia="Arial" w:hAnsi="Arial"/>
          <w:sz w:val="15"/>
          <w:szCs w:val="15"/>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79"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Company elected to measure loans held for sale at fair value to better align reported results with the underlying economic changes in value of the loans on the Company’s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Portfolio loans and the allowance for loan losses</w:t>
      </w:r>
    </w:p>
    <w:p>
      <w:pPr>
        <w:spacing w:after="0" w:line="186"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Loans are stated at the principal amount outstanding, adjusted for deferred origination fees, deferred origination costs, discounts on loans acquired, and the allowance for loan losses. Interest is accrued based on the loan principal balances and stated interest rates. Origination fees and costs are recognized as an adjustment to the related loan yield using approximate interest methods.</w:t>
      </w:r>
    </w:p>
    <w:p>
      <w:pPr>
        <w:spacing w:after="0" w:line="171"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Company has provided short-term deferrals of loan principal and/or interest payments for customers who have been affected by the COVID-19 pandemic. Customers receiving payment deferrals must meet certain criteria, such as being in good standing and not more than 30 days past due prior to the pandemic. In most cases, the deferred principal and/or interest amounts will be collected at the end of the life of the loan and will not accrue additional interest. The granting of a deferral of principal and/or interest under the Coronavirus Aid, Relief, and Economic Security (“CARES”) Act, which was enacted on March 27, 2020, and based on interagency guidelines, does not subject the loan to the past due, non-accrual, or troubled debt restructurings (“TDR”) policies described below. Upon exiting the loan modification deferral program, the measurement of loan delinquency will resume based on the number of days of delinquency as at the date of modification. The following discussions of past due, non-accrual and TDR policies remain valid for situations not covered by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65" w:name="page66"/>
    <w:bookmarkEnd w:id="65"/>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Nature of Business and Basis of Presentation (continued)</w:t>
      </w:r>
    </w:p>
    <w:p>
      <w:pPr>
        <w:spacing w:after="0" w:line="204" w:lineRule="exact"/>
        <w:rPr>
          <w:sz w:val="20"/>
          <w:szCs w:val="20"/>
          <w:color w:val="auto"/>
        </w:rPr>
      </w:pPr>
    </w:p>
    <w:p>
      <w:pPr>
        <w:ind w:right="280" w:firstLine="268"/>
        <w:spacing w:after="0" w:line="258" w:lineRule="auto"/>
        <w:rPr>
          <w:sz w:val="20"/>
          <w:szCs w:val="20"/>
          <w:color w:val="auto"/>
        </w:rPr>
      </w:pPr>
      <w:r>
        <w:rPr>
          <w:rFonts w:ascii="Arial" w:cs="Arial" w:eastAsia="Arial" w:hAnsi="Arial"/>
          <w:sz w:val="15"/>
          <w:szCs w:val="15"/>
          <w:color w:val="auto"/>
        </w:rPr>
        <w:t>Outstanding portfolio loans deferred due to COVID-19, which decreased by 86.9% percent from $30.5 million at December 31, 2020 to $4.0 million at December 31, 2021, are shown in the table below:</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4220" w:type="dxa"/>
            <w:vAlign w:val="bottom"/>
          </w:tcPr>
          <w:p>
            <w:pPr>
              <w:ind w:left="280"/>
              <w:spacing w:after="0"/>
              <w:rPr>
                <w:sz w:val="20"/>
                <w:szCs w:val="20"/>
                <w:color w:val="auto"/>
              </w:rPr>
            </w:pPr>
            <w:r>
              <w:rPr>
                <w:rFonts w:ascii="Arial" w:cs="Arial" w:eastAsia="Arial" w:hAnsi="Arial"/>
                <w:sz w:val="13"/>
                <w:szCs w:val="13"/>
                <w:b w:val="1"/>
                <w:bCs w:val="1"/>
                <w:color w:val="auto"/>
              </w:rPr>
              <w:t xml:space="preserve">Loan Modifications </w:t>
            </w:r>
            <w:r>
              <w:rPr>
                <w:rFonts w:ascii="Arial" w:cs="Arial" w:eastAsia="Arial" w:hAnsi="Arial"/>
                <w:sz w:val="17"/>
                <w:szCs w:val="17"/>
                <w:b w:val="1"/>
                <w:bCs w:val="1"/>
                <w:color w:val="auto"/>
                <w:vertAlign w:val="superscript"/>
              </w:rPr>
              <w:t>(1)</w:t>
            </w: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280"/>
              <w:spacing w:after="0"/>
              <w:rPr>
                <w:sz w:val="20"/>
                <w:szCs w:val="20"/>
                <w:color w:val="auto"/>
              </w:rPr>
            </w:pPr>
            <w:r>
              <w:rPr>
                <w:rFonts w:ascii="Arial" w:cs="Arial" w:eastAsia="Arial" w:hAnsi="Arial"/>
                <w:sz w:val="13"/>
                <w:szCs w:val="13"/>
                <w:color w:val="auto"/>
              </w:rPr>
              <w:t>(dollars in millions)</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33"/>
              <w:spacing w:after="0"/>
              <w:rPr>
                <w:sz w:val="20"/>
                <w:szCs w:val="20"/>
                <w:color w:val="auto"/>
              </w:rPr>
            </w:pPr>
            <w:r>
              <w:rPr>
                <w:rFonts w:ascii="Arial" w:cs="Arial" w:eastAsia="Arial" w:hAnsi="Arial"/>
                <w:sz w:val="13"/>
                <w:szCs w:val="13"/>
                <w:b w:val="1"/>
                <w:bCs w:val="1"/>
                <w:color w:val="auto"/>
              </w:rPr>
              <w:t>2021</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3"/>
                <w:szCs w:val="13"/>
                <w:b w:val="1"/>
                <w:bCs w:val="1"/>
                <w:color w:val="auto"/>
              </w:rPr>
              <w:t>Deferred Loans</w:t>
            </w: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Deferred Loans</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22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Sector</w:t>
            </w:r>
          </w:p>
        </w:tc>
        <w:tc>
          <w:tcPr>
            <w:tcW w:w="620" w:type="dxa"/>
            <w:vAlign w:val="bottom"/>
          </w:tcPr>
          <w:p>
            <w:pPr>
              <w:spacing w:after="0"/>
              <w:rPr>
                <w:sz w:val="11"/>
                <w:szCs w:val="11"/>
                <w:color w:val="auto"/>
              </w:rPr>
            </w:pPr>
          </w:p>
        </w:tc>
        <w:tc>
          <w:tcPr>
            <w:tcW w:w="1060" w:type="dxa"/>
            <w:vAlign w:val="bottom"/>
          </w:tcPr>
          <w:p>
            <w:pPr>
              <w:jc w:val="right"/>
              <w:spacing w:after="0" w:line="127" w:lineRule="exact"/>
              <w:rPr>
                <w:sz w:val="20"/>
                <w:szCs w:val="20"/>
                <w:color w:val="auto"/>
              </w:rPr>
            </w:pPr>
            <w:r>
              <w:rPr>
                <w:rFonts w:ascii="Arial" w:cs="Arial" w:eastAsia="Arial" w:hAnsi="Arial"/>
                <w:sz w:val="13"/>
                <w:szCs w:val="13"/>
                <w:b w:val="1"/>
                <w:bCs w:val="1"/>
                <w:color w:val="auto"/>
              </w:rPr>
              <w:t>Total Loans</w:t>
            </w:r>
          </w:p>
        </w:tc>
        <w:tc>
          <w:tcPr>
            <w:tcW w:w="400" w:type="dxa"/>
            <w:vAlign w:val="bottom"/>
          </w:tcPr>
          <w:p>
            <w:pPr>
              <w:spacing w:after="0"/>
              <w:rPr>
                <w:sz w:val="11"/>
                <w:szCs w:val="11"/>
                <w:color w:val="auto"/>
              </w:rPr>
            </w:pPr>
          </w:p>
        </w:tc>
        <w:tc>
          <w:tcPr>
            <w:tcW w:w="12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Balance</w:t>
            </w:r>
          </w:p>
        </w:tc>
        <w:tc>
          <w:tcPr>
            <w:tcW w:w="920" w:type="dxa"/>
            <w:vAlign w:val="bottom"/>
          </w:tcPr>
          <w:p>
            <w:pPr>
              <w:jc w:val="right"/>
              <w:spacing w:after="0" w:line="127" w:lineRule="exact"/>
              <w:rPr>
                <w:sz w:val="20"/>
                <w:szCs w:val="20"/>
                <w:color w:val="auto"/>
              </w:rPr>
            </w:pPr>
            <w:r>
              <w:rPr>
                <w:rFonts w:ascii="Arial" w:cs="Arial" w:eastAsia="Arial" w:hAnsi="Arial"/>
                <w:sz w:val="13"/>
                <w:szCs w:val="13"/>
                <w:b w:val="1"/>
                <w:bCs w:val="1"/>
                <w:color w:val="auto"/>
              </w:rPr>
              <w:t># of Loans</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tcPr>
          <w:p>
            <w:pPr>
              <w:ind w:left="20"/>
              <w:spacing w:after="0" w:line="127" w:lineRule="exact"/>
              <w:rPr>
                <w:sz w:val="20"/>
                <w:szCs w:val="20"/>
                <w:color w:val="auto"/>
              </w:rPr>
            </w:pPr>
            <w:r>
              <w:rPr>
                <w:rFonts w:ascii="Arial" w:cs="Arial" w:eastAsia="Arial" w:hAnsi="Arial"/>
                <w:sz w:val="13"/>
                <w:szCs w:val="13"/>
                <w:color w:val="auto"/>
                <w:w w:val="93"/>
              </w:rPr>
              <w:t># of Loa</w:t>
            </w:r>
          </w:p>
        </w:tc>
        <w:tc>
          <w:tcPr>
            <w:tcW w:w="0" w:type="dxa"/>
            <w:vAlign w:val="bottom"/>
          </w:tcPr>
          <w:p>
            <w:pPr>
              <w:spacing w:after="0"/>
              <w:rPr>
                <w:sz w:val="1"/>
                <w:szCs w:val="1"/>
                <w:color w:val="auto"/>
              </w:rPr>
            </w:pPr>
          </w:p>
        </w:tc>
      </w:tr>
      <w:tr>
        <w:trPr>
          <w:trHeight w:val="178"/>
        </w:trPr>
        <w:tc>
          <w:tcPr>
            <w:tcW w:w="42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4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Deferred</w:t>
            </w:r>
          </w:p>
        </w:tc>
        <w:tc>
          <w:tcPr>
            <w:tcW w:w="640" w:type="dxa"/>
            <w:vAlign w:val="bottom"/>
          </w:tcPr>
          <w:p>
            <w:pPr>
              <w:spacing w:after="0"/>
              <w:rPr>
                <w:sz w:val="15"/>
                <w:szCs w:val="15"/>
                <w:color w:val="auto"/>
              </w:rPr>
            </w:pPr>
          </w:p>
        </w:tc>
        <w:tc>
          <w:tcPr>
            <w:tcW w:w="1260" w:type="dxa"/>
            <w:vAlign w:val="bottom"/>
          </w:tcPr>
          <w:p>
            <w:pPr>
              <w:jc w:val="right"/>
              <w:ind w:right="433"/>
              <w:spacing w:after="0"/>
              <w:rPr>
                <w:sz w:val="20"/>
                <w:szCs w:val="20"/>
                <w:color w:val="auto"/>
              </w:rPr>
            </w:pPr>
            <w:r>
              <w:rPr>
                <w:rFonts w:ascii="Arial" w:cs="Arial" w:eastAsia="Arial" w:hAnsi="Arial"/>
                <w:sz w:val="13"/>
                <w:szCs w:val="13"/>
                <w:color w:val="auto"/>
              </w:rPr>
              <w:t>Balance</w:t>
            </w:r>
          </w:p>
        </w:tc>
        <w:tc>
          <w:tcPr>
            <w:tcW w:w="480" w:type="dxa"/>
            <w:vAlign w:val="bottom"/>
          </w:tcPr>
          <w:p>
            <w:pPr>
              <w:ind w:left="120"/>
              <w:spacing w:after="0"/>
              <w:rPr>
                <w:sz w:val="20"/>
                <w:szCs w:val="20"/>
                <w:color w:val="auto"/>
              </w:rPr>
            </w:pPr>
            <w:r>
              <w:rPr>
                <w:rFonts w:ascii="Arial" w:cs="Arial" w:eastAsia="Arial" w:hAnsi="Arial"/>
                <w:sz w:val="13"/>
                <w:szCs w:val="13"/>
                <w:color w:val="auto"/>
              </w:rPr>
              <w:t>Defer</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Accommodation &amp; Food Services</w:t>
            </w:r>
          </w:p>
        </w:tc>
        <w:tc>
          <w:tcPr>
            <w:tcW w:w="620" w:type="dxa"/>
            <w:vAlign w:val="bottom"/>
            <w:shd w:val="clear" w:color="auto" w:fill="CCEEFF"/>
          </w:tcPr>
          <w:p>
            <w:pPr>
              <w:jc w:val="right"/>
              <w:ind w:right="193"/>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94.5</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2.4</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14.7</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20" w:type="dxa"/>
            <w:vAlign w:val="bottom"/>
          </w:tcPr>
          <w:p>
            <w:pPr>
              <w:ind w:left="280"/>
              <w:spacing w:after="0"/>
              <w:rPr>
                <w:sz w:val="20"/>
                <w:szCs w:val="20"/>
                <w:color w:val="auto"/>
              </w:rPr>
            </w:pPr>
            <w:r>
              <w:rPr>
                <w:rFonts w:ascii="Arial" w:cs="Arial" w:eastAsia="Arial" w:hAnsi="Arial"/>
                <w:sz w:val="13"/>
                <w:szCs w:val="13"/>
                <w:color w:val="auto"/>
              </w:rPr>
              <w:t>Real Estate and Rental Leasing</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560.2</w:t>
            </w:r>
          </w:p>
        </w:tc>
        <w:tc>
          <w:tcPr>
            <w:tcW w:w="400" w:type="dxa"/>
            <w:vAlign w:val="bottom"/>
          </w:tcPr>
          <w:p>
            <w:pPr>
              <w:spacing w:after="0"/>
              <w:rPr>
                <w:sz w:val="15"/>
                <w:szCs w:val="15"/>
                <w:color w:val="auto"/>
              </w:rPr>
            </w:pP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1.3</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473"/>
              <w:spacing w:after="0"/>
              <w:rPr>
                <w:sz w:val="20"/>
                <w:szCs w:val="20"/>
                <w:color w:val="auto"/>
              </w:rPr>
            </w:pPr>
            <w:r>
              <w:rPr>
                <w:rFonts w:ascii="Arial" w:cs="Arial" w:eastAsia="Arial" w:hAnsi="Arial"/>
                <w:sz w:val="13"/>
                <w:szCs w:val="13"/>
                <w:color w:val="auto"/>
              </w:rPr>
              <w:t>5.5</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Services Including Private Households</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173.2</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0.3</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1.1</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20" w:type="dxa"/>
            <w:vAlign w:val="bottom"/>
          </w:tcPr>
          <w:p>
            <w:pPr>
              <w:ind w:left="280"/>
              <w:spacing w:after="0"/>
              <w:rPr>
                <w:sz w:val="20"/>
                <w:szCs w:val="20"/>
                <w:color w:val="auto"/>
              </w:rPr>
            </w:pPr>
            <w:r>
              <w:rPr>
                <w:rFonts w:ascii="Arial" w:cs="Arial" w:eastAsia="Arial" w:hAnsi="Arial"/>
                <w:sz w:val="13"/>
                <w:szCs w:val="13"/>
                <w:color w:val="auto"/>
              </w:rPr>
              <w:t>Educational Services</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15.1</w:t>
            </w:r>
          </w:p>
        </w:tc>
        <w:tc>
          <w:tcPr>
            <w:tcW w:w="400" w:type="dxa"/>
            <w:vAlign w:val="bottom"/>
          </w:tcPr>
          <w:p>
            <w:pPr>
              <w:spacing w:after="0"/>
              <w:rPr>
                <w:sz w:val="15"/>
                <w:szCs w:val="15"/>
                <w:color w:val="auto"/>
              </w:rPr>
            </w:pP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5"/>
                <w:szCs w:val="15"/>
                <w:color w:val="auto"/>
              </w:rPr>
            </w:pPr>
          </w:p>
        </w:tc>
        <w:tc>
          <w:tcPr>
            <w:tcW w:w="1260" w:type="dxa"/>
            <w:vAlign w:val="bottom"/>
          </w:tcPr>
          <w:p>
            <w:pPr>
              <w:jc w:val="right"/>
              <w:ind w:right="473"/>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Construction</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263.1</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20" w:type="dxa"/>
            <w:vAlign w:val="bottom"/>
          </w:tcPr>
          <w:p>
            <w:pPr>
              <w:ind w:left="280"/>
              <w:spacing w:after="0"/>
              <w:rPr>
                <w:sz w:val="20"/>
                <w:szCs w:val="20"/>
                <w:color w:val="auto"/>
              </w:rPr>
            </w:pPr>
            <w:r>
              <w:rPr>
                <w:rFonts w:ascii="Arial" w:cs="Arial" w:eastAsia="Arial" w:hAnsi="Arial"/>
                <w:sz w:val="13"/>
                <w:szCs w:val="13"/>
                <w:color w:val="auto"/>
              </w:rPr>
              <w:t>Professional, Scientific, and Technical Services</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43.4</w:t>
            </w:r>
          </w:p>
        </w:tc>
        <w:tc>
          <w:tcPr>
            <w:tcW w:w="400" w:type="dxa"/>
            <w:vAlign w:val="bottom"/>
          </w:tcPr>
          <w:p>
            <w:pPr>
              <w:spacing w:after="0"/>
              <w:rPr>
                <w:sz w:val="15"/>
                <w:szCs w:val="15"/>
                <w:color w:val="auto"/>
              </w:rPr>
            </w:pP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5"/>
                <w:szCs w:val="15"/>
                <w:color w:val="auto"/>
              </w:rPr>
            </w:pPr>
          </w:p>
        </w:tc>
        <w:tc>
          <w:tcPr>
            <w:tcW w:w="1260" w:type="dxa"/>
            <w:vAlign w:val="bottom"/>
          </w:tcPr>
          <w:p>
            <w:pPr>
              <w:jc w:val="right"/>
              <w:ind w:right="473"/>
              <w:spacing w:after="0"/>
              <w:rPr>
                <w:sz w:val="20"/>
                <w:szCs w:val="20"/>
                <w:color w:val="auto"/>
              </w:rPr>
            </w:pPr>
            <w:r>
              <w:rPr>
                <w:rFonts w:ascii="Arial" w:cs="Arial" w:eastAsia="Arial" w:hAnsi="Arial"/>
                <w:sz w:val="13"/>
                <w:szCs w:val="13"/>
                <w:color w:val="auto"/>
              </w:rPr>
              <w:t>1.4</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Arts, Entertainment &amp; Recreation</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32.7</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0.7</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20" w:type="dxa"/>
            <w:vAlign w:val="bottom"/>
          </w:tcPr>
          <w:p>
            <w:pPr>
              <w:ind w:left="280"/>
              <w:spacing w:after="0"/>
              <w:rPr>
                <w:sz w:val="20"/>
                <w:szCs w:val="20"/>
                <w:color w:val="auto"/>
              </w:rPr>
            </w:pPr>
            <w:r>
              <w:rPr>
                <w:rFonts w:ascii="Arial" w:cs="Arial" w:eastAsia="Arial" w:hAnsi="Arial"/>
                <w:sz w:val="13"/>
                <w:szCs w:val="13"/>
                <w:color w:val="auto"/>
              </w:rPr>
              <w:t>Retail Trade</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19.6</w:t>
            </w:r>
          </w:p>
        </w:tc>
        <w:tc>
          <w:tcPr>
            <w:tcW w:w="400" w:type="dxa"/>
            <w:vAlign w:val="bottom"/>
          </w:tcPr>
          <w:p>
            <w:pPr>
              <w:spacing w:after="0"/>
              <w:rPr>
                <w:sz w:val="15"/>
                <w:szCs w:val="15"/>
                <w:color w:val="auto"/>
              </w:rPr>
            </w:pP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5"/>
                <w:szCs w:val="15"/>
                <w:color w:val="auto"/>
              </w:rPr>
            </w:pPr>
          </w:p>
        </w:tc>
        <w:tc>
          <w:tcPr>
            <w:tcW w:w="1260" w:type="dxa"/>
            <w:vAlign w:val="bottom"/>
          </w:tcPr>
          <w:p>
            <w:pPr>
              <w:jc w:val="right"/>
              <w:ind w:right="473"/>
              <w:spacing w:after="0"/>
              <w:rPr>
                <w:sz w:val="20"/>
                <w:szCs w:val="20"/>
                <w:color w:val="auto"/>
              </w:rPr>
            </w:pPr>
            <w:r>
              <w:rPr>
                <w:rFonts w:ascii="Arial" w:cs="Arial" w:eastAsia="Arial" w:hAnsi="Arial"/>
                <w:sz w:val="13"/>
                <w:szCs w:val="13"/>
                <w:color w:val="auto"/>
              </w:rPr>
              <w:t>0.3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Healthcare &amp; Social Assistance</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79.1</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0.9</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20" w:type="dxa"/>
            <w:vAlign w:val="bottom"/>
          </w:tcPr>
          <w:p>
            <w:pPr>
              <w:ind w:left="280"/>
              <w:spacing w:after="0"/>
              <w:rPr>
                <w:sz w:val="20"/>
                <w:szCs w:val="20"/>
                <w:color w:val="auto"/>
              </w:rPr>
            </w:pPr>
            <w:r>
              <w:rPr>
                <w:rFonts w:ascii="Arial" w:cs="Arial" w:eastAsia="Arial" w:hAnsi="Arial"/>
                <w:sz w:val="13"/>
                <w:szCs w:val="13"/>
                <w:color w:val="auto"/>
              </w:rPr>
              <w:t>Wholesale Trade</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21.6</w:t>
            </w:r>
          </w:p>
        </w:tc>
        <w:tc>
          <w:tcPr>
            <w:tcW w:w="400" w:type="dxa"/>
            <w:vAlign w:val="bottom"/>
          </w:tcPr>
          <w:p>
            <w:pPr>
              <w:spacing w:after="0"/>
              <w:rPr>
                <w:sz w:val="15"/>
                <w:szCs w:val="15"/>
                <w:color w:val="auto"/>
              </w:rPr>
            </w:pP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5"/>
                <w:szCs w:val="15"/>
                <w:color w:val="auto"/>
              </w:rPr>
            </w:pPr>
          </w:p>
        </w:tc>
        <w:tc>
          <w:tcPr>
            <w:tcW w:w="1260" w:type="dxa"/>
            <w:vAlign w:val="bottom"/>
          </w:tcPr>
          <w:p>
            <w:pPr>
              <w:jc w:val="right"/>
              <w:ind w:right="473"/>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80"/>
              <w:spacing w:after="0" w:line="180" w:lineRule="exact"/>
              <w:rPr>
                <w:sz w:val="20"/>
                <w:szCs w:val="20"/>
                <w:color w:val="auto"/>
              </w:rPr>
            </w:pPr>
            <w:r>
              <w:rPr>
                <w:rFonts w:ascii="Arial" w:cs="Arial" w:eastAsia="Arial" w:hAnsi="Arial"/>
                <w:sz w:val="13"/>
                <w:szCs w:val="13"/>
                <w:color w:val="auto"/>
              </w:rPr>
              <w:t xml:space="preserve">All other </w:t>
            </w:r>
            <w:r>
              <w:rPr>
                <w:rFonts w:ascii="Arial" w:cs="Arial" w:eastAsia="Arial" w:hAnsi="Arial"/>
                <w:sz w:val="17"/>
                <w:szCs w:val="17"/>
                <w:color w:val="auto"/>
                <w:vertAlign w:val="superscript"/>
              </w:rPr>
              <w:t>(1)</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340.2</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5.9</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280"/>
              <w:spacing w:after="0"/>
              <w:rPr>
                <w:sz w:val="20"/>
                <w:szCs w:val="20"/>
                <w:color w:val="auto"/>
              </w:rPr>
            </w:pPr>
            <w:r>
              <w:rPr>
                <w:rFonts w:ascii="Arial" w:cs="Arial" w:eastAsia="Arial" w:hAnsi="Arial"/>
                <w:sz w:val="13"/>
                <w:szCs w:val="13"/>
                <w:color w:val="auto"/>
              </w:rPr>
              <w:t>Total</w:t>
            </w:r>
          </w:p>
        </w:tc>
        <w:tc>
          <w:tcPr>
            <w:tcW w:w="6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1,642.7</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4.0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w:t>
            </w:r>
          </w:p>
        </w:tc>
        <w:tc>
          <w:tcPr>
            <w:tcW w:w="2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color w:val="auto"/>
              </w:rPr>
              <w:t>30.5</w:t>
            </w:r>
          </w:p>
        </w:tc>
        <w:tc>
          <w:tcPr>
            <w:tcW w:w="4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280"/>
              <w:spacing w:after="0" w:line="159" w:lineRule="exact"/>
              <w:rPr>
                <w:sz w:val="20"/>
                <w:szCs w:val="20"/>
                <w:color w:val="auto"/>
              </w:rPr>
            </w:pPr>
            <w:r>
              <w:rPr>
                <w:rFonts w:ascii="Arial" w:cs="Arial" w:eastAsia="Arial" w:hAnsi="Arial"/>
                <w:sz w:val="15"/>
                <w:szCs w:val="15"/>
                <w:color w:val="auto"/>
              </w:rPr>
              <w:t>_______________</w:t>
            </w: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2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80" w:hanging="118"/>
        <w:spacing w:after="0"/>
        <w:tabs>
          <w:tab w:leader="none" w:pos="680" w:val="left"/>
        </w:tabs>
        <w:numPr>
          <w:ilvl w:val="0"/>
          <w:numId w:val="19"/>
        </w:numPr>
        <w:rPr>
          <w:rFonts w:ascii="Arial" w:cs="Arial" w:eastAsia="Arial" w:hAnsi="Arial"/>
          <w:sz w:val="14"/>
          <w:szCs w:val="14"/>
          <w:color w:val="auto"/>
          <w:vertAlign w:val="superscript"/>
        </w:rPr>
      </w:pPr>
      <w:r>
        <w:rPr>
          <w:rFonts w:ascii="Arial" w:cs="Arial" w:eastAsia="Arial" w:hAnsi="Arial"/>
          <w:sz w:val="9"/>
          <w:szCs w:val="9"/>
          <w:color w:val="auto"/>
        </w:rPr>
        <w:t>Excludes the minor modifications and deferrals made for OpenSky</w:t>
      </w:r>
      <w:r>
        <w:rPr>
          <w:rFonts w:ascii="Arial" w:cs="Arial" w:eastAsia="Arial" w:hAnsi="Arial"/>
          <w:sz w:val="11"/>
          <w:szCs w:val="11"/>
          <w:color w:val="auto"/>
          <w:vertAlign w:val="superscript"/>
        </w:rPr>
        <w:t>®</w:t>
      </w:r>
      <w:r>
        <w:rPr>
          <w:rFonts w:ascii="Arial" w:cs="Arial" w:eastAsia="Arial" w:hAnsi="Arial"/>
          <w:sz w:val="9"/>
          <w:szCs w:val="9"/>
          <w:color w:val="auto"/>
        </w:rPr>
        <w:t xml:space="preserve"> secured card customers.</w:t>
      </w:r>
    </w:p>
    <w:p>
      <w:pPr>
        <w:spacing w:after="0" w:line="235"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The Company generally discontinues the accrual of interest when any portion of the principal and interest is 90 days past due and collateral is insufficient to discharge the debt in full. Generally, interest payments on nonaccrual loans are recorded as a reduction of the principal balance.</w:t>
      </w:r>
    </w:p>
    <w:p>
      <w:pPr>
        <w:spacing w:after="0" w:line="166" w:lineRule="exact"/>
        <w:rPr>
          <w:sz w:val="20"/>
          <w:szCs w:val="20"/>
          <w:color w:val="auto"/>
        </w:rPr>
      </w:pPr>
    </w:p>
    <w:p>
      <w:pPr>
        <w:jc w:val="both"/>
        <w:ind w:right="80" w:firstLine="268"/>
        <w:spacing w:after="0" w:line="251" w:lineRule="auto"/>
        <w:rPr>
          <w:sz w:val="20"/>
          <w:szCs w:val="20"/>
          <w:color w:val="auto"/>
        </w:rPr>
      </w:pPr>
      <w:r>
        <w:rPr>
          <w:rFonts w:ascii="Arial" w:cs="Arial" w:eastAsia="Arial" w:hAnsi="Arial"/>
          <w:sz w:val="15"/>
          <w:szCs w:val="15"/>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status. If collection of principal is evaluated as doubtful, all payments are applied to principal. A modification of a loan is considered a TDR when a borrower is experiencing financial difficulty and the modification constitutes a concession. The Company may consider interest rate reductions, changes to payment terms, extensions of maturities and/or principal reductions.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Loans are generally charged-off in part or in full when management determines the loan to be uncollectible. Factors for charge-off that may be considered include:</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repayments deemed to be projected beyond reasonable time frames, client bankruptcy and lack of assets, and/or collateral deficiencies.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66" w:name="page67"/>
    <w:bookmarkEnd w:id="66"/>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Nature of Business and Basis of Presentation (continued)</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for qualitative factors. There may be an unallocated component of the allowance, which reflects the margin of the imprecision inherent in the underlying assumptions used in the method for estimating specific and general losses in the portfolio. Actual loan performance may differ from those estimates. A loss is recognized as a charge to the allowance when management believes that collection of the loan is unlikely. Collections of loans previously charged off are added to the allowance at the time of recovery.</w:t>
      </w:r>
    </w:p>
    <w:p>
      <w:pPr>
        <w:spacing w:after="0" w:line="159"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5"/>
          <w:szCs w:val="15"/>
          <w:color w:val="auto"/>
        </w:rPr>
        <w:t xml:space="preserve">The components of the allowance for loan losses represent an estimation done pursuant to Accounting Standards Codification (“ASC”) Topic 450, </w:t>
      </w:r>
      <w:r>
        <w:rPr>
          <w:rFonts w:ascii="Arial" w:cs="Arial" w:eastAsia="Arial" w:hAnsi="Arial"/>
          <w:sz w:val="15"/>
          <w:szCs w:val="15"/>
          <w:i w:val="1"/>
          <w:iCs w:val="1"/>
          <w:color w:val="auto"/>
        </w:rPr>
        <w:t>“Contingencies,”</w:t>
      </w:r>
      <w:r>
        <w:rPr>
          <w:rFonts w:ascii="Arial" w:cs="Arial" w:eastAsia="Arial" w:hAnsi="Arial"/>
          <w:sz w:val="15"/>
          <w:szCs w:val="15"/>
          <w:color w:val="auto"/>
        </w:rPr>
        <w:t xml:space="preserve"> or ASC Topic 310,</w:t>
      </w:r>
      <w:r>
        <w:rPr>
          <w:rFonts w:ascii="Arial" w:cs="Arial" w:eastAsia="Arial" w:hAnsi="Arial"/>
          <w:sz w:val="15"/>
          <w:szCs w:val="15"/>
          <w:i w:val="1"/>
          <w:iCs w:val="1"/>
          <w:color w:val="auto"/>
        </w:rPr>
        <w:t>“Receivables.”</w:t>
      </w:r>
      <w:r>
        <w:rPr>
          <w:rFonts w:ascii="Arial" w:cs="Arial" w:eastAsia="Arial" w:hAnsi="Arial"/>
          <w:sz w:val="15"/>
          <w:szCs w:val="15"/>
          <w:color w:val="auto"/>
        </w:rPr>
        <w:t xml:space="preserve"> Specific allowances are established in cases where management has identified significant conditions or circumstances related to a specific credit that management believes indicate the probability that a loss may be incurred. The process for determining an appropriate allowance for loan losses is based on a comprehensive, well-documented, and consistently applied analysis of the loan portfolio. The analysis considers significant factors that affect the collectibility of the portfolio and supports the loan losses estimated by this process. It is important to recognize that the related process, methodology, and underlying assumptions require a substantial degree of judgment.</w:t>
      </w:r>
    </w:p>
    <w:p>
      <w:pPr>
        <w:spacing w:after="0" w:line="170"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Management believes that the allowance for loan losses is adequate; however, determination of the allowance is inherently subjective and requires significant estimates. While management uses available information to recognize losses on loans, future additions to the allowance may be necessary based on changes in economic conditions. Evaluation of the potential effects of these factors on estimated losses involves a high degree of uncertainty, including the strength and timing of economic cycles and concerns over the effects of a prolonged economic downturn in the current cycle. In addition, various banking agencies, as an integral part of their examination process, and independent consultants engaged by the Bank, periodically review the Bank’s loan portfolio and allowance for loan losses. Such review may result in recognition of additions to the allowance based on their evaluation of information available to them at the time of their examination. The review of the adequacy of the allowance for loan losses includes an assessment of the fair value adjustment for acquired loans in accordance with generally accepted accounting principles.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Premises and equipment</w:t>
      </w:r>
    </w:p>
    <w:p>
      <w:pPr>
        <w:spacing w:after="0" w:line="186"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expenses. Expenditures for maintenance, repairs and minor replacements are charged to noninterest expenses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67" w:name="page68"/>
    <w:bookmarkEnd w:id="67"/>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Nature of Business and Basis of Presentation (continued)</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Leases</w:t>
      </w:r>
    </w:p>
    <w:p>
      <w:pPr>
        <w:spacing w:after="0" w:line="170"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5"/>
          <w:szCs w:val="15"/>
          <w:color w:val="auto"/>
        </w:rPr>
        <w:t xml:space="preserve">The Company accounts for leases as detailed in Accounting Standards Update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(“ASU 2016-02”). ASU 2016-02 applies a right-of-use (“ROU”) model that requires a lessee to record, for all leases with a lease term of more than 12 months, an asset representing its right to use the underlying asset and a liability to make lease payments. As provided by ASU 2016-02, the Company elected not to apply the recognition requirements of ASC 842 to short-term leases, defined as leases with a term of 12 months or less, and to recognize the lease payments in net income for short-term leases on a straight-line basis over the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Derivative Financial Instruments</w:t>
      </w:r>
    </w:p>
    <w:p>
      <w:pPr>
        <w:spacing w:after="0" w:line="186"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Company enters into commitments to fund residential mortgage loans (interest rate locks) with the intention of selling them in the secondary market. The Company also enters into forward sales agreements for certain funded loans and loan commitments. Unfunded commitments intended for loans held for sale and forward sales agreements are recorded at fair value with changes in fair value recorded as a component of mortgage banking revenue. Loans originated and intended for sale in the secondary market are carried at fair value. For pipeline loans which are not pre-sold to an investor, the Company manages the interest rate risk on rate lock commitments by entering into forward sale contracts of mortgage backed securities,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75"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Company has determined these derivative financial instruments do not meet the hedging criteria required by FASB ASC 815 and has not designated these derivative financial instruments as hedges. Accordingly, changes in fair value are recognized currently in income.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Fair Value Measurements</w:t>
      </w:r>
    </w:p>
    <w:p>
      <w:pPr>
        <w:spacing w:after="0" w:line="186" w:lineRule="exact"/>
        <w:rPr>
          <w:sz w:val="20"/>
          <w:szCs w:val="20"/>
          <w:color w:val="auto"/>
        </w:rPr>
      </w:pPr>
    </w:p>
    <w:p>
      <w:pPr>
        <w:jc w:val="both"/>
        <w:ind w:right="40" w:firstLine="268"/>
        <w:spacing w:after="0" w:line="250" w:lineRule="auto"/>
        <w:rPr>
          <w:sz w:val="20"/>
          <w:szCs w:val="20"/>
          <w:color w:val="auto"/>
        </w:rPr>
      </w:pPr>
      <w:r>
        <w:rPr>
          <w:rFonts w:ascii="Arial" w:cs="Arial" w:eastAsia="Arial" w:hAnsi="Arial"/>
          <w:sz w:val="15"/>
          <w:szCs w:val="15"/>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strive to maximize the use of observable inputs and minimize the use of unobservable inputs.</w:t>
      </w:r>
    </w:p>
    <w:p>
      <w:pPr>
        <w:spacing w:after="0" w:line="175" w:lineRule="exact"/>
        <w:rPr>
          <w:sz w:val="20"/>
          <w:szCs w:val="20"/>
          <w:color w:val="auto"/>
        </w:rPr>
      </w:pPr>
    </w:p>
    <w:p>
      <w:pPr>
        <w:jc w:val="both"/>
        <w:ind w:right="40" w:firstLine="268"/>
        <w:spacing w:after="0" w:line="252" w:lineRule="auto"/>
        <w:rPr>
          <w:sz w:val="20"/>
          <w:szCs w:val="20"/>
          <w:color w:val="auto"/>
        </w:rPr>
      </w:pPr>
      <w:r>
        <w:rPr>
          <w:rFonts w:ascii="Arial" w:cs="Arial" w:eastAsia="Arial" w:hAnsi="Arial"/>
          <w:sz w:val="15"/>
          <w:szCs w:val="15"/>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71" w:lineRule="exact"/>
        <w:rPr>
          <w:sz w:val="20"/>
          <w:szCs w:val="20"/>
          <w:color w:val="auto"/>
        </w:rPr>
      </w:pPr>
    </w:p>
    <w:p>
      <w:pPr>
        <w:jc w:val="both"/>
        <w:ind w:right="40" w:firstLine="268"/>
        <w:spacing w:after="0" w:line="258" w:lineRule="auto"/>
        <w:rPr>
          <w:sz w:val="20"/>
          <w:szCs w:val="20"/>
          <w:color w:val="auto"/>
        </w:rPr>
      </w:pPr>
      <w:r>
        <w:rPr>
          <w:rFonts w:ascii="Arial" w:cs="Arial" w:eastAsia="Arial" w:hAnsi="Arial"/>
          <w:sz w:val="15"/>
          <w:szCs w:val="15"/>
          <w:color w:val="auto"/>
        </w:rPr>
        <w:t>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See Note 17 -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68" w:name="page69"/>
    <w:bookmarkEnd w:id="68"/>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Nature of Business and Basis of Presentation (continued)</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Bank-owned life insurance</w:t>
      </w:r>
    </w:p>
    <w:p>
      <w:pPr>
        <w:spacing w:after="0" w:line="186"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The Company had $35.5 million in bank-owned life insurance at December 31, 2021. The Company recognized income, which is included in other noninterest income, of $506 thousand for the year ended December 31, 2021. The Company had no bank-owned life insurance during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Income Taxes</w:t>
      </w:r>
    </w:p>
    <w:p>
      <w:pPr>
        <w:spacing w:after="0" w:line="170" w:lineRule="exact"/>
        <w:rPr>
          <w:sz w:val="20"/>
          <w:szCs w:val="20"/>
          <w:color w:val="auto"/>
        </w:rPr>
      </w:pPr>
    </w:p>
    <w:p>
      <w:pPr>
        <w:jc w:val="both"/>
        <w:ind w:right="80" w:firstLine="268"/>
        <w:spacing w:after="0" w:line="254" w:lineRule="auto"/>
        <w:rPr>
          <w:sz w:val="20"/>
          <w:szCs w:val="20"/>
          <w:color w:val="auto"/>
        </w:rPr>
      </w:pPr>
      <w:r>
        <w:rPr>
          <w:rFonts w:ascii="Arial" w:cs="Arial" w:eastAsia="Arial" w:hAnsi="Arial"/>
          <w:sz w:val="15"/>
          <w:szCs w:val="15"/>
          <w:color w:val="auto"/>
        </w:rPr>
        <w:t>The Company employs the asset and liability method of accounting for income taxes as required by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deferred tax assets and liabilities are determined based on differences between the financial statement carrying amounts and the tax basis of existing assets and liabilities (i.e. temporary timing differences) and are measured at the enacted rates that will be in effect when these differences reverse. The Company utilizes statutory requirements for its income tax accounting, and limits risks associated with potentially problematic tax positions that may incur challenge upon audit, where an adverse outcome is more likely than not. Therefore, no provisions are necessary for either uncertain tax positions nor accompanying potential tax penalties and interest for underpayments of income taxes in the Company’s tax reserves. In accordance with ASC Topic 740, the Company may establish a valuation allowance against deferred tax assets in those cases where realization is less than certain.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Earnings per share</w:t>
      </w:r>
    </w:p>
    <w:p>
      <w:pPr>
        <w:spacing w:after="0" w:line="186" w:lineRule="exact"/>
        <w:rPr>
          <w:sz w:val="20"/>
          <w:szCs w:val="20"/>
          <w:color w:val="auto"/>
        </w:rPr>
      </w:pPr>
    </w:p>
    <w:p>
      <w:pPr>
        <w:jc w:val="both"/>
        <w:ind w:right="80" w:firstLine="268"/>
        <w:spacing w:after="0" w:line="252" w:lineRule="auto"/>
        <w:rPr>
          <w:sz w:val="20"/>
          <w:szCs w:val="20"/>
          <w:color w:val="auto"/>
        </w:rPr>
      </w:pPr>
      <w:r>
        <w:rPr>
          <w:rFonts w:ascii="Arial" w:cs="Arial" w:eastAsia="Arial" w:hAnsi="Arial"/>
          <w:sz w:val="15"/>
          <w:szCs w:val="15"/>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December 31, 2021 and 2020, there were 1,129 and 504,861 stock options, respectively, that were not included in the calculation as their effect would have been anti-dilutive.</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is a reconciliation of the numerators and denominators used in computing basic and diluted earnings per common share:</w:t>
      </w:r>
    </w:p>
    <w:p>
      <w:pPr>
        <w:spacing w:after="0" w:line="31"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39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ind w:left="160"/>
              <w:spacing w:after="0"/>
              <w:rPr>
                <w:sz w:val="20"/>
                <w:szCs w:val="20"/>
                <w:color w:val="auto"/>
              </w:rPr>
            </w:pPr>
            <w:r>
              <w:rPr>
                <w:rFonts w:ascii="Arial" w:cs="Arial" w:eastAsia="Arial" w:hAnsi="Arial"/>
                <w:sz w:val="12"/>
                <w:szCs w:val="12"/>
                <w:b w:val="1"/>
                <w:bCs w:val="1"/>
                <w:color w:val="auto"/>
              </w:rPr>
              <w:t>For the Years Ended December 31,</w:t>
            </w: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83"/>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03"/>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Income</w:t>
            </w:r>
          </w:p>
        </w:tc>
        <w:tc>
          <w:tcPr>
            <w:tcW w:w="1280" w:type="dxa"/>
            <w:vAlign w:val="bottom"/>
            <w:gridSpan w:val="2"/>
          </w:tcPr>
          <w:p>
            <w:pPr>
              <w:ind w:left="480"/>
              <w:spacing w:after="0" w:line="92" w:lineRule="exact"/>
              <w:rPr>
                <w:sz w:val="20"/>
                <w:szCs w:val="20"/>
                <w:color w:val="auto"/>
              </w:rPr>
            </w:pPr>
            <w:r>
              <w:rPr>
                <w:rFonts w:ascii="Arial" w:cs="Arial" w:eastAsia="Arial" w:hAnsi="Arial"/>
                <w:sz w:val="10"/>
                <w:szCs w:val="10"/>
                <w:b w:val="1"/>
                <w:bCs w:val="1"/>
                <w:color w:val="auto"/>
              </w:rPr>
              <w:t>Weighted</w:t>
            </w:r>
          </w:p>
        </w:tc>
        <w:tc>
          <w:tcPr>
            <w:tcW w:w="380" w:type="dxa"/>
            <w:vAlign w:val="bottom"/>
          </w:tcPr>
          <w:p>
            <w:pPr>
              <w:spacing w:after="0"/>
              <w:rPr>
                <w:sz w:val="7"/>
                <w:szCs w:val="7"/>
                <w:color w:val="auto"/>
              </w:rPr>
            </w:pPr>
          </w:p>
        </w:tc>
        <w:tc>
          <w:tcPr>
            <w:tcW w:w="640" w:type="dxa"/>
            <w:vAlign w:val="bottom"/>
          </w:tcPr>
          <w:p>
            <w:pPr>
              <w:jc w:val="right"/>
              <w:ind w:right="83"/>
              <w:spacing w:after="0" w:line="92" w:lineRule="exact"/>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tcPr>
          <w:p>
            <w:pPr>
              <w:ind w:left="480"/>
              <w:spacing w:after="0" w:line="92" w:lineRule="exact"/>
              <w:rPr>
                <w:sz w:val="20"/>
                <w:szCs w:val="20"/>
                <w:color w:val="auto"/>
              </w:rPr>
            </w:pPr>
            <w:r>
              <w:rPr>
                <w:rFonts w:ascii="Arial" w:cs="Arial" w:eastAsia="Arial" w:hAnsi="Arial"/>
                <w:sz w:val="10"/>
                <w:szCs w:val="10"/>
                <w:color w:val="auto"/>
              </w:rPr>
              <w:t>Weighted</w:t>
            </w:r>
          </w:p>
        </w:tc>
        <w:tc>
          <w:tcPr>
            <w:tcW w:w="380" w:type="dxa"/>
            <w:vAlign w:val="bottom"/>
          </w:tcPr>
          <w:p>
            <w:pPr>
              <w:spacing w:after="0"/>
              <w:rPr>
                <w:sz w:val="7"/>
                <w:szCs w:val="7"/>
                <w:color w:val="auto"/>
              </w:rPr>
            </w:pPr>
          </w:p>
        </w:tc>
        <w:tc>
          <w:tcPr>
            <w:tcW w:w="420" w:type="dxa"/>
            <w:vAlign w:val="bottom"/>
          </w:tcPr>
          <w:p>
            <w:pPr>
              <w:jc w:val="right"/>
              <w:spacing w:after="0" w:line="92" w:lineRule="exact"/>
              <w:rPr>
                <w:sz w:val="20"/>
                <w:szCs w:val="20"/>
                <w:color w:val="auto"/>
              </w:rPr>
            </w:pPr>
            <w:r>
              <w:rPr>
                <w:rFonts w:ascii="Arial" w:cs="Arial" w:eastAsia="Arial" w:hAnsi="Arial"/>
                <w:sz w:val="10"/>
                <w:szCs w:val="10"/>
                <w:color w:val="auto"/>
              </w:rPr>
              <w:t>Per Shar</w:t>
            </w:r>
          </w:p>
        </w:tc>
        <w:tc>
          <w:tcPr>
            <w:tcW w:w="0" w:type="dxa"/>
            <w:vAlign w:val="bottom"/>
          </w:tcPr>
          <w:p>
            <w:pPr>
              <w:spacing w:after="0"/>
              <w:rPr>
                <w:sz w:val="1"/>
                <w:szCs w:val="1"/>
                <w:color w:val="auto"/>
              </w:rPr>
            </w:pPr>
          </w:p>
        </w:tc>
      </w:tr>
      <w:tr>
        <w:trPr>
          <w:trHeight w:val="141"/>
        </w:trPr>
        <w:tc>
          <w:tcPr>
            <w:tcW w:w="3920" w:type="dxa"/>
            <w:vAlign w:val="bottom"/>
          </w:tcPr>
          <w:p>
            <w:pPr>
              <w:ind w:left="280"/>
              <w:spacing w:after="0"/>
              <w:rPr>
                <w:sz w:val="20"/>
                <w:szCs w:val="20"/>
                <w:color w:val="auto"/>
              </w:rPr>
            </w:pPr>
            <w:r>
              <w:rPr>
                <w:rFonts w:ascii="Arial" w:cs="Arial" w:eastAsia="Arial" w:hAnsi="Arial"/>
                <w:sz w:val="9"/>
                <w:szCs w:val="9"/>
                <w:i w:val="1"/>
                <w:iCs w:val="1"/>
                <w:color w:val="auto"/>
              </w:rPr>
              <w:t>(dollars in thousands)</w:t>
            </w: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Average Shares</w:t>
            </w:r>
          </w:p>
        </w:tc>
        <w:tc>
          <w:tcPr>
            <w:tcW w:w="1120" w:type="dxa"/>
            <w:vAlign w:val="bottom"/>
            <w:gridSpan w:val="3"/>
          </w:tcPr>
          <w:p>
            <w:pPr>
              <w:ind w:left="320"/>
              <w:spacing w:after="0"/>
              <w:rPr>
                <w:sz w:val="20"/>
                <w:szCs w:val="20"/>
                <w:color w:val="auto"/>
              </w:rPr>
            </w:pPr>
            <w:r>
              <w:rPr>
                <w:rFonts w:ascii="Arial" w:cs="Arial" w:eastAsia="Arial" w:hAnsi="Arial"/>
                <w:sz w:val="10"/>
                <w:szCs w:val="10"/>
                <w:b w:val="1"/>
                <w:bCs w:val="1"/>
                <w:color w:val="auto"/>
              </w:rPr>
              <w:t>Amount</w:t>
            </w:r>
          </w:p>
        </w:tc>
        <w:tc>
          <w:tcPr>
            <w:tcW w:w="46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Arial" w:cs="Arial" w:eastAsia="Arial" w:hAnsi="Arial"/>
                <w:sz w:val="10"/>
                <w:szCs w:val="10"/>
                <w:color w:val="auto"/>
              </w:rPr>
              <w:t>Income</w:t>
            </w:r>
          </w:p>
        </w:tc>
        <w:tc>
          <w:tcPr>
            <w:tcW w:w="1280" w:type="dxa"/>
            <w:vAlign w:val="bottom"/>
            <w:gridSpan w:val="2"/>
          </w:tcPr>
          <w:p>
            <w:pPr>
              <w:ind w:left="180"/>
              <w:spacing w:after="0"/>
              <w:rPr>
                <w:sz w:val="20"/>
                <w:szCs w:val="20"/>
                <w:color w:val="auto"/>
              </w:rPr>
            </w:pPr>
            <w:r>
              <w:rPr>
                <w:rFonts w:ascii="Arial" w:cs="Arial" w:eastAsia="Arial" w:hAnsi="Arial"/>
                <w:sz w:val="10"/>
                <w:szCs w:val="10"/>
                <w:color w:val="auto"/>
              </w:rPr>
              <w:t>Average Shares</w:t>
            </w:r>
          </w:p>
        </w:tc>
        <w:tc>
          <w:tcPr>
            <w:tcW w:w="800" w:type="dxa"/>
            <w:vAlign w:val="bottom"/>
            <w:gridSpan w:val="2"/>
          </w:tcPr>
          <w:p>
            <w:pPr>
              <w:jc w:val="right"/>
              <w:ind w:right="63"/>
              <w:spacing w:after="0"/>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141"/>
        </w:trPr>
        <w:tc>
          <w:tcPr>
            <w:tcW w:w="39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Basic EPS</w:t>
            </w:r>
          </w:p>
        </w:tc>
        <w:tc>
          <w:tcPr>
            <w:tcW w:w="4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120"/>
              <w:spacing w:after="0"/>
              <w:rPr>
                <w:sz w:val="20"/>
                <w:szCs w:val="20"/>
                <w:color w:val="auto"/>
              </w:rPr>
            </w:pPr>
            <w:r>
              <w:rPr>
                <w:rFonts w:ascii="Arial" w:cs="Arial" w:eastAsia="Arial" w:hAnsi="Arial"/>
                <w:sz w:val="12"/>
                <w:szCs w:val="12"/>
                <w:color w:val="auto"/>
              </w:rPr>
              <w:t>Net income available to common stockholders</w:t>
            </w:r>
          </w:p>
        </w:tc>
        <w:tc>
          <w:tcPr>
            <w:tcW w:w="46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b w:val="1"/>
                <w:bCs w:val="1"/>
                <w:color w:val="auto"/>
              </w:rPr>
              <w:t>39,978</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13,798,620</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b w:val="1"/>
                <w:bCs w:val="1"/>
                <w:color w:val="auto"/>
              </w:rPr>
              <w:t>2.90</w:t>
            </w:r>
          </w:p>
        </w:tc>
        <w:tc>
          <w:tcPr>
            <w:tcW w:w="100" w:type="dxa"/>
            <w:vAlign w:val="bottom"/>
          </w:tcPr>
          <w:p>
            <w:pPr>
              <w:spacing w:after="0"/>
              <w:rPr>
                <w:sz w:val="13"/>
                <w:szCs w:val="13"/>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25,823</w:t>
            </w: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13,793,256</w:t>
            </w: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7"/>
        </w:trPr>
        <w:tc>
          <w:tcPr>
            <w:tcW w:w="3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Effect of dilutive securities</w:t>
            </w:r>
          </w:p>
        </w:tc>
        <w:tc>
          <w:tcPr>
            <w:tcW w:w="4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282,783</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6,920</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ind w:left="280"/>
              <w:spacing w:after="0"/>
              <w:rPr>
                <w:sz w:val="20"/>
                <w:szCs w:val="20"/>
                <w:color w:val="auto"/>
              </w:rPr>
            </w:pPr>
            <w:r>
              <w:rPr>
                <w:rFonts w:ascii="Arial" w:cs="Arial" w:eastAsia="Arial" w:hAnsi="Arial"/>
                <w:sz w:val="12"/>
                <w:szCs w:val="12"/>
                <w:color w:val="auto"/>
              </w:rPr>
              <w:t>Dilutive EPS per common share</w:t>
            </w:r>
          </w:p>
        </w:tc>
        <w:tc>
          <w:tcPr>
            <w:tcW w:w="4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39,978</w:t>
            </w:r>
          </w:p>
        </w:tc>
        <w:tc>
          <w:tcPr>
            <w:tcW w:w="2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14,081,403</w:t>
            </w: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2.84</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25,823</w:t>
            </w:r>
          </w:p>
        </w:tc>
        <w:tc>
          <w:tcPr>
            <w:tcW w:w="1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13,800,176</w:t>
            </w:r>
          </w:p>
        </w:tc>
        <w:tc>
          <w:tcPr>
            <w:tcW w:w="16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Comprehensive income</w:t>
      </w:r>
    </w:p>
    <w:p>
      <w:pPr>
        <w:spacing w:after="0" w:line="186" w:lineRule="exact"/>
        <w:rPr>
          <w:sz w:val="20"/>
          <w:szCs w:val="20"/>
          <w:color w:val="auto"/>
        </w:rPr>
      </w:pPr>
    </w:p>
    <w:p>
      <w:pPr>
        <w:ind w:right="80" w:firstLine="268"/>
        <w:spacing w:after="0" w:line="258" w:lineRule="auto"/>
        <w:rPr>
          <w:sz w:val="20"/>
          <w:szCs w:val="20"/>
          <w:color w:val="auto"/>
        </w:rPr>
      </w:pPr>
      <w:r>
        <w:rPr>
          <w:rFonts w:ascii="Arial" w:cs="Arial" w:eastAsia="Arial" w:hAnsi="Arial"/>
          <w:sz w:val="15"/>
          <w:szCs w:val="15"/>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69" w:name="page70"/>
    <w:bookmarkEnd w:id="69"/>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Nature of Business and Basis of Presentation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Company's only component of other comprehensive income is unrealized gains and losses on investment securities available for sale, net of income taxes.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Information concerning the Company's accumulated other comprehensive income (loss) as of December 31, 2021 and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132715</wp:posOffset>
            </wp:positionV>
            <wp:extent cx="245173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51735" cy="6985"/>
                    </a:xfrm>
                    <a:prstGeom prst="rect">
                      <a:avLst/>
                    </a:prstGeom>
                    <a:noFill/>
                  </pic:spPr>
                </pic:pic>
              </a:graphicData>
            </a:graphic>
          </wp:anchor>
        </w:drawing>
      </w:r>
    </w:p>
    <w:p>
      <w:pPr>
        <w:spacing w:after="0" w:line="197" w:lineRule="exact"/>
        <w:rPr>
          <w:sz w:val="20"/>
          <w:szCs w:val="20"/>
          <w:color w:val="auto"/>
        </w:rPr>
      </w:pPr>
    </w:p>
    <w:p>
      <w:pPr>
        <w:ind w:left="8240"/>
        <w:spacing w:after="0"/>
        <w:rPr>
          <w:sz w:val="20"/>
          <w:szCs w:val="20"/>
          <w:color w:val="auto"/>
        </w:rPr>
      </w:pPr>
      <w:r>
        <w:rPr>
          <w:rFonts w:ascii="Arial" w:cs="Arial" w:eastAsia="Arial" w:hAnsi="Arial"/>
          <w:sz w:val="13"/>
          <w:szCs w:val="13"/>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(in thousands)</w:t>
            </w:r>
          </w:p>
        </w:tc>
        <w:tc>
          <w:tcPr>
            <w:tcW w:w="4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3"/>
                <w:szCs w:val="13"/>
                <w:b w:val="1"/>
                <w:bCs w:val="1"/>
                <w:color w:val="auto"/>
              </w:rPr>
              <w:t>2020</w:t>
            </w: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on securities available for sale</w:t>
            </w: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3"/>
                <w:szCs w:val="13"/>
                <w:b w:val="1"/>
                <w:bCs w:val="1"/>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(1,504)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2,337</w:t>
            </w:r>
          </w:p>
        </w:tc>
      </w:tr>
      <w:tr>
        <w:trPr>
          <w:trHeight w:val="17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tax benefit (expense)</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w:t>
            </w:r>
          </w:p>
        </w:tc>
      </w:tr>
      <w:tr>
        <w:trPr>
          <w:trHeight w:val="196"/>
        </w:trPr>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accumulated comprehensive income (loss)</w:t>
            </w:r>
          </w:p>
        </w:tc>
        <w:tc>
          <w:tcPr>
            <w:tcW w:w="4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Recently issued accounting pronouncements:</w:t>
      </w:r>
    </w:p>
    <w:p>
      <w:pPr>
        <w:spacing w:after="0" w:line="202" w:lineRule="exact"/>
        <w:rPr>
          <w:sz w:val="20"/>
          <w:szCs w:val="20"/>
          <w:color w:val="auto"/>
        </w:rPr>
      </w:pPr>
    </w:p>
    <w:p>
      <w:pPr>
        <w:jc w:val="both"/>
        <w:ind w:firstLine="268"/>
        <w:spacing w:after="0" w:line="270" w:lineRule="auto"/>
        <w:rPr>
          <w:sz w:val="20"/>
          <w:szCs w:val="20"/>
          <w:color w:val="auto"/>
        </w:rPr>
      </w:pPr>
      <w:r>
        <w:rPr>
          <w:rFonts w:ascii="Arial" w:cs="Arial" w:eastAsia="Arial" w:hAnsi="Arial"/>
          <w:sz w:val="14"/>
          <w:szCs w:val="14"/>
          <w:color w:val="auto"/>
        </w:rPr>
        <w:t>In June 2016, the FASB issued guidance to change the accounting for loan losses and modify the impairment model for certain debt securities. In October 2019, the FASB voted to delay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loan losses. The Company engaged a consultant to assist with the implementation of this ASU and has completed various milestones so as to ensure the timely implementation of the ASU. The Company plans to begin running parallel models during the first quarter of 2022 so as to refine assumptions, establish policy, complete model validation and identify expected financial statement impact. The Company will apply the amendments to the ASU through a cumulative-effect adjustment to retained earnings as of the beginning of the year of adoption. While early adoption was permitted, the Company did not elect that option. In addition to its allowance for loan losses, the Company will also record an allowance for credit losses on held-to-maturity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160"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In March 2020, the FASB released ASU 2020-04 - Reference Rate Reform, Topic 848, which provides temporary guidance to ease the potential accounting burden in accounting for, or recognizing the effects from, reference rate reform on financial reporting. The new standard is a result of London Interbank Offered Rate (“LIBOR”) likely being discontinued as an available benchmark rate. The standard is elective and provides optional expedients and exceptions for applying GAAP to contracts, hedging relationships, or other transactions that reference LIBOR, or another reference rate expected to be discontinued. The amendments in the update are effective for all entities between March 12, 2020 and December 31, 2022. The Company is currently evaluating products and preparing to offer new rates. The adoption of this guidance is not expected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70" w:name="page71"/>
    <w:bookmarkEnd w:id="70"/>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Nature of Business and Basis of Presentation (continued)</w:t>
      </w:r>
    </w:p>
    <w:p>
      <w:pPr>
        <w:spacing w:after="0" w:line="204" w:lineRule="exact"/>
        <w:rPr>
          <w:sz w:val="20"/>
          <w:szCs w:val="20"/>
          <w:color w:val="auto"/>
        </w:rPr>
      </w:pPr>
    </w:p>
    <w:p>
      <w:pPr>
        <w:jc w:val="both"/>
        <w:ind w:firstLine="268"/>
        <w:spacing w:after="0" w:line="249" w:lineRule="auto"/>
        <w:rPr>
          <w:sz w:val="20"/>
          <w:szCs w:val="20"/>
          <w:color w:val="auto"/>
        </w:rPr>
      </w:pPr>
      <w:r>
        <w:rPr>
          <w:rFonts w:ascii="Arial" w:cs="Arial" w:eastAsia="Arial" w:hAnsi="Arial"/>
          <w:sz w:val="15"/>
          <w:szCs w:val="15"/>
          <w:color w:val="auto"/>
        </w:rPr>
        <w:t>In March 2020, various regulatory agencies, including the Board of Governors of the Federal Reserve System and the Federal Deposit Insurance Corporation (“agencies”), issued an interagency statement on loan modifications and reporting for financial institutions working with customers affected by COVID-19. The interagency statement was effective immediately and impacted accounting for loan modifications. Under ASC 310-40, “Receivables - Troubled Debt Restructurings by Creditors,” a restructuring of debt constitutes a TDR if the creditor, for economic or legal reasons related to the debtor’s financial difficulties, grants a concession to the debtor that it would not otherwise consider. The agencies confirmed with the FASB that short-term modifications made on a good faith basis in response to COVID-19 to borrowers who were current prior to any relief, are not to be considered TDRs. Such modifications include short-term (e.g., six months) modifications that include payment deferrals of (i) principal and interest, (ii) interest only and (iii) principal only, fee waivers, extensions of repayment terms, or other delays in payment that are deemed insignificant. Borrowers considered current were those that were less than 30 days past due on their contractual payments at the time a modification program was implemented. As of December 31, 2021, the Company had offered payment deferrals for commercial and consumer customers for up to six months. The loan modifications offered to borrowers provided the borrower with payment relief in the form of reduced or deferred payments for up to 90 days (six months in selected instances) during which time interest is continuing to accrue. It is not expected that this interagency guidance will have a material impact on the Company’s financial statements; however, this impact cannot be quantified at this time.</w:t>
      </w:r>
    </w:p>
    <w:p>
      <w:pPr>
        <w:spacing w:after="0" w:line="180"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Reclassifications:</w:t>
      </w:r>
    </w:p>
    <w:p>
      <w:pPr>
        <w:spacing w:after="0" w:line="202"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Certain reclassifications have been made to the amounts reported in prior periods to conform to the current period presentation. The reclassifications had no effect on net income or total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Cash and Cash Equivalents</w:t>
      </w:r>
    </w:p>
    <w:p>
      <w:pPr>
        <w:spacing w:after="0" w:line="20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Cash and cash equivalents include cash and due from banks, interest bearing deposits and federal funds sold. The Bank is required by regulations to maintain an average cash reserve balance based on a percentage of deposits. At December 31, 2021 and 2020, the requirements were satisfied by amounts on deposit with the Federal Reserve Bank and cash on hand.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Investment Securities</w:t>
      </w:r>
    </w:p>
    <w:p>
      <w:pPr>
        <w:spacing w:after="0" w:line="204"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The investment securities portfolio consists primarily of U.S. government sponsored entity securities, asset-backed securities, securities issued by states, counties and municipalities, corporate bonds and mortgage backed securities (“MBS”). The asset-backed securities are comprised of student loan collateral issued by the Federal Family Education Loan Program (“FFELP”) which includes a minimum of a 97% government repayment guarantee, as well as additional support in excess of the government guaranteed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71" w:name="page72"/>
    <w:bookmarkEnd w:id="71"/>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Investment Securities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amortized cost and estimated fair value of investment securities available for sale at December 31, 2021 and 2020 are summarized as follows:</w:t>
      </w:r>
    </w:p>
    <w:p>
      <w:pPr>
        <w:spacing w:after="0" w:line="239"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Amortized</w:t>
            </w:r>
          </w:p>
        </w:tc>
        <w:tc>
          <w:tcPr>
            <w:tcW w:w="520" w:type="dxa"/>
            <w:vAlign w:val="bottom"/>
          </w:tcPr>
          <w:p>
            <w:pPr>
              <w:spacing w:after="0"/>
              <w:rPr>
                <w:sz w:val="12"/>
                <w:szCs w:val="12"/>
                <w:color w:val="auto"/>
              </w:rPr>
            </w:pPr>
          </w:p>
        </w:tc>
        <w:tc>
          <w:tcPr>
            <w:tcW w:w="1300" w:type="dxa"/>
            <w:vAlign w:val="bottom"/>
            <w:gridSpan w:val="2"/>
          </w:tcPr>
          <w:p>
            <w:pPr>
              <w:ind w:left="180"/>
              <w:spacing w:after="0"/>
              <w:rPr>
                <w:sz w:val="20"/>
                <w:szCs w:val="20"/>
                <w:color w:val="auto"/>
              </w:rPr>
            </w:pPr>
            <w:r>
              <w:rPr>
                <w:rFonts w:ascii="Arial" w:cs="Arial" w:eastAsia="Arial" w:hAnsi="Arial"/>
                <w:sz w:val="12"/>
                <w:szCs w:val="12"/>
                <w:b w:val="1"/>
                <w:bCs w:val="1"/>
                <w:color w:val="auto"/>
              </w:rPr>
              <w:t>Unrealized</w:t>
            </w:r>
          </w:p>
        </w:tc>
        <w:tc>
          <w:tcPr>
            <w:tcW w:w="500" w:type="dxa"/>
            <w:vAlign w:val="bottom"/>
          </w:tcPr>
          <w:p>
            <w:pPr>
              <w:spacing w:after="0"/>
              <w:rPr>
                <w:sz w:val="12"/>
                <w:szCs w:val="12"/>
                <w:color w:val="auto"/>
              </w:rPr>
            </w:pPr>
          </w:p>
        </w:tc>
        <w:tc>
          <w:tcPr>
            <w:tcW w:w="1320" w:type="dxa"/>
            <w:vAlign w:val="bottom"/>
            <w:gridSpan w:val="2"/>
          </w:tcPr>
          <w:p>
            <w:pPr>
              <w:ind w:left="180"/>
              <w:spacing w:after="0"/>
              <w:rPr>
                <w:sz w:val="20"/>
                <w:szCs w:val="20"/>
                <w:color w:val="auto"/>
              </w:rPr>
            </w:pPr>
            <w:r>
              <w:rPr>
                <w:rFonts w:ascii="Arial" w:cs="Arial" w:eastAsia="Arial" w:hAnsi="Arial"/>
                <w:sz w:val="12"/>
                <w:szCs w:val="12"/>
                <w:b w:val="1"/>
                <w:bCs w:val="1"/>
                <w:color w:val="auto"/>
              </w:rPr>
              <w:t>Unrealized</w:t>
            </w:r>
          </w:p>
        </w:tc>
        <w:tc>
          <w:tcPr>
            <w:tcW w:w="540" w:type="dxa"/>
            <w:vAlign w:val="bottom"/>
          </w:tcPr>
          <w:p>
            <w:pPr>
              <w:spacing w:after="0"/>
              <w:rPr>
                <w:sz w:val="12"/>
                <w:szCs w:val="12"/>
                <w:color w:val="auto"/>
              </w:rPr>
            </w:pPr>
          </w:p>
        </w:tc>
        <w:tc>
          <w:tcPr>
            <w:tcW w:w="1000" w:type="dxa"/>
            <w:vAlign w:val="bottom"/>
          </w:tcPr>
          <w:p>
            <w:pPr>
              <w:jc w:val="right"/>
              <w:ind w:right="374"/>
              <w:spacing w:after="0"/>
              <w:rPr>
                <w:sz w:val="20"/>
                <w:szCs w:val="20"/>
                <w:color w:val="auto"/>
              </w:rPr>
            </w:pPr>
            <w:r>
              <w:rPr>
                <w:rFonts w:ascii="Arial" w:cs="Arial" w:eastAsia="Arial" w:hAnsi="Arial"/>
                <w:sz w:val="12"/>
                <w:szCs w:val="12"/>
                <w:b w:val="1"/>
                <w:bCs w:val="1"/>
                <w:color w:val="auto"/>
              </w:rPr>
              <w:t>Fair</w:t>
            </w:r>
          </w:p>
        </w:tc>
      </w:tr>
      <w:tr>
        <w:trPr>
          <w:trHeight w:val="145"/>
        </w:trPr>
        <w:tc>
          <w:tcPr>
            <w:tcW w:w="4080" w:type="dxa"/>
            <w:vAlign w:val="bottom"/>
            <w:gridSpan w:val="2"/>
          </w:tcPr>
          <w:p>
            <w:pPr>
              <w:ind w:left="280"/>
              <w:spacing w:after="0"/>
              <w:rPr>
                <w:sz w:val="20"/>
                <w:szCs w:val="20"/>
                <w:color w:val="auto"/>
              </w:rPr>
            </w:pPr>
            <w:r>
              <w:rPr>
                <w:rFonts w:ascii="Arial" w:cs="Arial" w:eastAsia="Arial" w:hAnsi="Arial"/>
                <w:sz w:val="9"/>
                <w:szCs w:val="9"/>
                <w:color w:val="auto"/>
              </w:rPr>
              <w:t>(in thousands)</w:t>
            </w:r>
          </w:p>
        </w:tc>
        <w:tc>
          <w:tcPr>
            <w:tcW w:w="520" w:type="dxa"/>
            <w:vAlign w:val="bottom"/>
          </w:tcPr>
          <w:p>
            <w:pPr>
              <w:spacing w:after="0"/>
              <w:rPr>
                <w:sz w:val="12"/>
                <w:szCs w:val="12"/>
                <w:color w:val="auto"/>
              </w:rPr>
            </w:pPr>
          </w:p>
        </w:tc>
        <w:tc>
          <w:tcPr>
            <w:tcW w:w="130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520" w:type="dxa"/>
            <w:vAlign w:val="bottom"/>
          </w:tcPr>
          <w:p>
            <w:pPr>
              <w:spacing w:after="0"/>
              <w:rPr>
                <w:sz w:val="12"/>
                <w:szCs w:val="12"/>
                <w:color w:val="auto"/>
              </w:rPr>
            </w:pPr>
          </w:p>
        </w:tc>
        <w:tc>
          <w:tcPr>
            <w:tcW w:w="1300" w:type="dxa"/>
            <w:vAlign w:val="bottom"/>
            <w:gridSpan w:val="2"/>
          </w:tcPr>
          <w:p>
            <w:pPr>
              <w:ind w:left="180"/>
              <w:spacing w:after="0"/>
              <w:rPr>
                <w:sz w:val="20"/>
                <w:szCs w:val="20"/>
                <w:color w:val="auto"/>
              </w:rPr>
            </w:pPr>
            <w:r>
              <w:rPr>
                <w:rFonts w:ascii="Arial" w:cs="Arial" w:eastAsia="Arial" w:hAnsi="Arial"/>
                <w:sz w:val="12"/>
                <w:szCs w:val="12"/>
                <w:b w:val="1"/>
                <w:bCs w:val="1"/>
                <w:color w:val="auto"/>
              </w:rPr>
              <w:t>Gains</w:t>
            </w:r>
          </w:p>
        </w:tc>
        <w:tc>
          <w:tcPr>
            <w:tcW w:w="500" w:type="dxa"/>
            <w:vAlign w:val="bottom"/>
          </w:tcPr>
          <w:p>
            <w:pPr>
              <w:spacing w:after="0"/>
              <w:rPr>
                <w:sz w:val="12"/>
                <w:szCs w:val="12"/>
                <w:color w:val="auto"/>
              </w:rPr>
            </w:pPr>
          </w:p>
        </w:tc>
        <w:tc>
          <w:tcPr>
            <w:tcW w:w="1320" w:type="dxa"/>
            <w:vAlign w:val="bottom"/>
            <w:gridSpan w:val="2"/>
          </w:tcPr>
          <w:p>
            <w:pPr>
              <w:ind w:left="160"/>
              <w:spacing w:after="0"/>
              <w:rPr>
                <w:sz w:val="20"/>
                <w:szCs w:val="20"/>
                <w:color w:val="auto"/>
              </w:rPr>
            </w:pPr>
            <w:r>
              <w:rPr>
                <w:rFonts w:ascii="Arial" w:cs="Arial" w:eastAsia="Arial" w:hAnsi="Arial"/>
                <w:sz w:val="12"/>
                <w:szCs w:val="12"/>
                <w:b w:val="1"/>
                <w:bCs w:val="1"/>
                <w:color w:val="auto"/>
              </w:rPr>
              <w:t>Losses</w:t>
            </w:r>
          </w:p>
        </w:tc>
        <w:tc>
          <w:tcPr>
            <w:tcW w:w="540" w:type="dxa"/>
            <w:vAlign w:val="bottom"/>
          </w:tcPr>
          <w:p>
            <w:pPr>
              <w:spacing w:after="0"/>
              <w:rPr>
                <w:sz w:val="12"/>
                <w:szCs w:val="12"/>
                <w:color w:val="auto"/>
              </w:rPr>
            </w:pPr>
          </w:p>
        </w:tc>
        <w:tc>
          <w:tcPr>
            <w:tcW w:w="1000" w:type="dxa"/>
            <w:vAlign w:val="bottom"/>
          </w:tcPr>
          <w:p>
            <w:pPr>
              <w:jc w:val="right"/>
              <w:ind w:right="454"/>
              <w:spacing w:after="0"/>
              <w:rPr>
                <w:sz w:val="20"/>
                <w:szCs w:val="20"/>
                <w:color w:val="auto"/>
              </w:rPr>
            </w:pPr>
            <w:r>
              <w:rPr>
                <w:rFonts w:ascii="Arial" w:cs="Arial" w:eastAsia="Arial" w:hAnsi="Arial"/>
                <w:sz w:val="12"/>
                <w:szCs w:val="12"/>
                <w:b w:val="1"/>
                <w:bCs w:val="1"/>
                <w:color w:val="auto"/>
              </w:rPr>
              <w:t>Value</w:t>
            </w:r>
          </w:p>
        </w:tc>
      </w:tr>
      <w:tr>
        <w:trPr>
          <w:trHeight w:val="158"/>
        </w:trPr>
        <w:tc>
          <w:tcPr>
            <w:tcW w:w="39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December 31, 2021</w:t>
            </w:r>
          </w:p>
        </w:tc>
        <w:tc>
          <w:tcPr>
            <w:tcW w:w="1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120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CCEEFF"/>
            </w:tcBorders>
          </w:tcPr>
          <w:p>
            <w:pPr>
              <w:spacing w:after="0"/>
              <w:rPr>
                <w:sz w:val="13"/>
                <w:szCs w:val="13"/>
                <w:color w:val="auto"/>
              </w:rPr>
            </w:pPr>
          </w:p>
        </w:tc>
        <w:tc>
          <w:tcPr>
            <w:tcW w:w="122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CCEEFF"/>
            </w:tcBorders>
          </w:tcPr>
          <w:p>
            <w:pPr>
              <w:spacing w:after="0"/>
              <w:rPr>
                <w:sz w:val="13"/>
                <w:szCs w:val="13"/>
                <w:color w:val="auto"/>
              </w:rPr>
            </w:pPr>
          </w:p>
        </w:tc>
      </w:tr>
      <w:tr>
        <w:trPr>
          <w:trHeight w:val="171"/>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U.S Treasuries</w:t>
            </w:r>
          </w:p>
        </w:tc>
        <w:tc>
          <w:tcPr>
            <w:tcW w:w="52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132,452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(1,496)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131,0</w:t>
            </w:r>
          </w:p>
        </w:tc>
      </w:tr>
      <w:tr>
        <w:trPr>
          <w:trHeight w:val="178"/>
        </w:trPr>
        <w:tc>
          <w:tcPr>
            <w:tcW w:w="4080" w:type="dxa"/>
            <w:vAlign w:val="bottom"/>
            <w:gridSpan w:val="2"/>
          </w:tcPr>
          <w:p>
            <w:pPr>
              <w:ind w:left="120"/>
              <w:spacing w:after="0"/>
              <w:rPr>
                <w:sz w:val="20"/>
                <w:szCs w:val="20"/>
                <w:color w:val="auto"/>
              </w:rPr>
            </w:pPr>
            <w:r>
              <w:rPr>
                <w:rFonts w:ascii="Arial" w:cs="Arial" w:eastAsia="Arial" w:hAnsi="Arial"/>
                <w:sz w:val="13"/>
                <w:szCs w:val="13"/>
                <w:color w:val="auto"/>
              </w:rPr>
              <w:t>Asset-backed securities</w:t>
            </w:r>
          </w:p>
        </w:tc>
        <w:tc>
          <w:tcPr>
            <w:tcW w:w="5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10,093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59</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(12)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10,1</w:t>
            </w:r>
          </w:p>
        </w:tc>
      </w:tr>
      <w:tr>
        <w:trPr>
          <w:trHeight w:val="180"/>
        </w:trPr>
        <w:tc>
          <w:tcPr>
            <w:tcW w:w="40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Municipal</w:t>
            </w: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10,825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10,4</w:t>
            </w:r>
          </w:p>
        </w:tc>
      </w:tr>
      <w:tr>
        <w:trPr>
          <w:trHeight w:val="178"/>
        </w:trPr>
        <w:tc>
          <w:tcPr>
            <w:tcW w:w="4080" w:type="dxa"/>
            <w:vAlign w:val="bottom"/>
            <w:gridSpan w:val="2"/>
          </w:tcPr>
          <w:p>
            <w:pPr>
              <w:ind w:left="380"/>
              <w:spacing w:after="0"/>
              <w:rPr>
                <w:sz w:val="20"/>
                <w:szCs w:val="20"/>
                <w:color w:val="auto"/>
              </w:rPr>
            </w:pPr>
            <w:r>
              <w:rPr>
                <w:rFonts w:ascii="Arial" w:cs="Arial" w:eastAsia="Arial" w:hAnsi="Arial"/>
                <w:sz w:val="13"/>
                <w:szCs w:val="13"/>
                <w:color w:val="auto"/>
              </w:rPr>
              <w:t>Corporate</w:t>
            </w:r>
          </w:p>
        </w:tc>
        <w:tc>
          <w:tcPr>
            <w:tcW w:w="5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5,000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(66)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4,9</w:t>
            </w:r>
          </w:p>
        </w:tc>
      </w:tr>
      <w:tr>
        <w:trPr>
          <w:trHeight w:val="179"/>
        </w:trPr>
        <w:tc>
          <w:tcPr>
            <w:tcW w:w="40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Mortgage-backed securities</w:t>
            </w:r>
          </w:p>
        </w:tc>
        <w:tc>
          <w:tcPr>
            <w:tcW w:w="5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27,589</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514</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27,9</w:t>
            </w:r>
          </w:p>
        </w:tc>
      </w:tr>
      <w:tr>
        <w:trPr>
          <w:trHeight w:val="170"/>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185,959</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661</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(2,165)</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184,4</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2"/>
        </w:trPr>
        <w:tc>
          <w:tcPr>
            <w:tcW w:w="3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78"/>
        </w:trPr>
        <w:tc>
          <w:tcPr>
            <w:tcW w:w="39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December 31, 2020</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r>
      <w:tr>
        <w:trPr>
          <w:trHeight w:val="171"/>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Asset-backed securities</w:t>
            </w:r>
          </w:p>
        </w:tc>
        <w:tc>
          <w:tcPr>
            <w:tcW w:w="5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r>
      <w:tr>
        <w:trPr>
          <w:trHeight w:val="177"/>
        </w:trPr>
        <w:tc>
          <w:tcPr>
            <w:tcW w:w="4080" w:type="dxa"/>
            <w:vAlign w:val="bottom"/>
            <w:gridSpan w:val="2"/>
          </w:tcPr>
          <w:p>
            <w:pPr>
              <w:ind w:left="380"/>
              <w:spacing w:after="0"/>
              <w:rPr>
                <w:sz w:val="20"/>
                <w:szCs w:val="20"/>
                <w:color w:val="auto"/>
              </w:rPr>
            </w:pPr>
            <w:r>
              <w:rPr>
                <w:rFonts w:ascii="Arial" w:cs="Arial" w:eastAsia="Arial" w:hAnsi="Arial"/>
                <w:sz w:val="13"/>
                <w:szCs w:val="13"/>
                <w:color w:val="auto"/>
              </w:rPr>
              <w:t>Municipal</w:t>
            </w:r>
          </w:p>
        </w:tc>
        <w:tc>
          <w:tcPr>
            <w:tcW w:w="5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10,836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10,9</w:t>
            </w:r>
          </w:p>
        </w:tc>
      </w:tr>
      <w:tr>
        <w:trPr>
          <w:trHeight w:val="181"/>
        </w:trPr>
        <w:tc>
          <w:tcPr>
            <w:tcW w:w="40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Corporate</w:t>
            </w: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77"/>
        </w:trPr>
        <w:tc>
          <w:tcPr>
            <w:tcW w:w="4080" w:type="dxa"/>
            <w:vAlign w:val="bottom"/>
            <w:tcBorders>
              <w:bottom w:val="single" w:sz="8" w:color="CCEEFF"/>
            </w:tcBorders>
            <w:gridSpan w:val="2"/>
          </w:tcPr>
          <w:p>
            <w:pPr>
              <w:ind w:left="380"/>
              <w:spacing w:after="0"/>
              <w:rPr>
                <w:sz w:val="20"/>
                <w:szCs w:val="20"/>
                <w:color w:val="auto"/>
              </w:rPr>
            </w:pPr>
            <w:r>
              <w:rPr>
                <w:rFonts w:ascii="Arial" w:cs="Arial" w:eastAsia="Arial" w:hAnsi="Arial"/>
                <w:sz w:val="13"/>
                <w:szCs w:val="13"/>
                <w:color w:val="auto"/>
              </w:rPr>
              <w:t>Mortgage-backed securities</w:t>
            </w:r>
          </w:p>
        </w:tc>
        <w:tc>
          <w:tcPr>
            <w:tcW w:w="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70,016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2,208</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w:t>
            </w:r>
          </w:p>
        </w:tc>
      </w:tr>
      <w:tr>
        <w:trPr>
          <w:trHeight w:val="195"/>
        </w:trPr>
        <w:tc>
          <w:tcPr>
            <w:tcW w:w="3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97,450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2,388</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Proceeds from the sale of securities during the years ended December 31, 2021 and 2020 were $66.5 million and $1.0 million respectively, and resulted in gains of $694.2 thousand and losses of $540.8 thousand for December 31, 2021 and gains of $20 thousand and no losses for the same period in 2020.</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Information related to unrealized losses in the investment portfolio as of December 31, 2021 and 2020 are as follows:</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2"/>
                <w:szCs w:val="12"/>
                <w:b w:val="1"/>
                <w:bCs w:val="1"/>
                <w:color w:val="auto"/>
              </w:rPr>
              <w:t>Less than 12 months</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2"/>
                <w:szCs w:val="12"/>
                <w:b w:val="1"/>
                <w:bCs w:val="1"/>
                <w:color w:val="auto"/>
              </w:rPr>
              <w:t>12 months or longer</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800" w:type="dxa"/>
            <w:vAlign w:val="bottom"/>
            <w:tcBorders>
              <w:bottom w:val="single" w:sz="8" w:color="auto"/>
            </w:tcBorders>
          </w:tcPr>
          <w:p>
            <w:pPr>
              <w:spacing w:after="0"/>
              <w:rPr>
                <w:sz w:val="13"/>
                <w:szCs w:val="13"/>
                <w:color w:val="auto"/>
              </w:rPr>
            </w:pPr>
          </w:p>
        </w:tc>
      </w:tr>
      <w:tr>
        <w:trPr>
          <w:trHeight w:val="14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ind w:left="240"/>
              <w:spacing w:after="0"/>
              <w:rPr>
                <w:sz w:val="20"/>
                <w:szCs w:val="20"/>
                <w:color w:val="auto"/>
              </w:rPr>
            </w:pPr>
            <w:r>
              <w:rPr>
                <w:rFonts w:ascii="Arial" w:cs="Arial" w:eastAsia="Arial" w:hAnsi="Arial"/>
                <w:sz w:val="12"/>
                <w:szCs w:val="12"/>
                <w:b w:val="1"/>
                <w:bCs w:val="1"/>
                <w:color w:val="auto"/>
              </w:rPr>
              <w:t>Fair</w:t>
            </w:r>
          </w:p>
        </w:tc>
        <w:tc>
          <w:tcPr>
            <w:tcW w:w="42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b w:val="1"/>
                <w:bCs w:val="1"/>
                <w:color w:val="auto"/>
              </w:rPr>
              <w:t>Unrealized</w:t>
            </w:r>
          </w:p>
        </w:tc>
        <w:tc>
          <w:tcPr>
            <w:tcW w:w="400" w:type="dxa"/>
            <w:vAlign w:val="bottom"/>
          </w:tcPr>
          <w:p>
            <w:pPr>
              <w:spacing w:after="0"/>
              <w:rPr>
                <w:sz w:val="12"/>
                <w:szCs w:val="12"/>
                <w:color w:val="auto"/>
              </w:rPr>
            </w:pPr>
          </w:p>
        </w:tc>
        <w:tc>
          <w:tcPr>
            <w:tcW w:w="920" w:type="dxa"/>
            <w:vAlign w:val="bottom"/>
            <w:gridSpan w:val="2"/>
          </w:tcPr>
          <w:p>
            <w:pPr>
              <w:ind w:left="240"/>
              <w:spacing w:after="0"/>
              <w:rPr>
                <w:sz w:val="20"/>
                <w:szCs w:val="20"/>
                <w:color w:val="auto"/>
              </w:rPr>
            </w:pPr>
            <w:r>
              <w:rPr>
                <w:rFonts w:ascii="Arial" w:cs="Arial" w:eastAsia="Arial" w:hAnsi="Arial"/>
                <w:sz w:val="12"/>
                <w:szCs w:val="12"/>
                <w:b w:val="1"/>
                <w:bCs w:val="1"/>
                <w:color w:val="auto"/>
              </w:rPr>
              <w:t>Fair</w:t>
            </w:r>
          </w:p>
        </w:tc>
        <w:tc>
          <w:tcPr>
            <w:tcW w:w="40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Unrealized</w:t>
            </w:r>
          </w:p>
        </w:tc>
        <w:tc>
          <w:tcPr>
            <w:tcW w:w="420" w:type="dxa"/>
            <w:vAlign w:val="bottom"/>
          </w:tcPr>
          <w:p>
            <w:pPr>
              <w:spacing w:after="0"/>
              <w:rPr>
                <w:sz w:val="12"/>
                <w:szCs w:val="12"/>
                <w:color w:val="auto"/>
              </w:rPr>
            </w:pPr>
          </w:p>
        </w:tc>
        <w:tc>
          <w:tcPr>
            <w:tcW w:w="840" w:type="dxa"/>
            <w:vAlign w:val="bottom"/>
          </w:tcPr>
          <w:p>
            <w:pPr>
              <w:jc w:val="right"/>
              <w:ind w:right="320"/>
              <w:spacing w:after="0"/>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b w:val="1"/>
                <w:bCs w:val="1"/>
                <w:color w:val="auto"/>
              </w:rPr>
              <w:t>Unrealized</w:t>
            </w:r>
          </w:p>
        </w:tc>
      </w:tr>
      <w:tr>
        <w:trPr>
          <w:trHeight w:val="145"/>
        </w:trPr>
        <w:tc>
          <w:tcPr>
            <w:tcW w:w="2940" w:type="dxa"/>
            <w:vAlign w:val="bottom"/>
            <w:gridSpan w:val="2"/>
          </w:tcPr>
          <w:p>
            <w:pPr>
              <w:ind w:left="280"/>
              <w:spacing w:after="0"/>
              <w:rPr>
                <w:sz w:val="20"/>
                <w:szCs w:val="20"/>
                <w:color w:val="auto"/>
              </w:rPr>
            </w:pPr>
            <w:r>
              <w:rPr>
                <w:rFonts w:ascii="Arial" w:cs="Arial" w:eastAsia="Arial" w:hAnsi="Arial"/>
                <w:sz w:val="9"/>
                <w:szCs w:val="9"/>
                <w:color w:val="auto"/>
              </w:rPr>
              <w:t>(in thousands)</w:t>
            </w:r>
          </w:p>
        </w:tc>
        <w:tc>
          <w:tcPr>
            <w:tcW w:w="42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Value</w:t>
            </w:r>
          </w:p>
        </w:tc>
        <w:tc>
          <w:tcPr>
            <w:tcW w:w="42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Losses</w:t>
            </w:r>
          </w:p>
        </w:tc>
        <w:tc>
          <w:tcPr>
            <w:tcW w:w="40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Value</w:t>
            </w:r>
          </w:p>
        </w:tc>
        <w:tc>
          <w:tcPr>
            <w:tcW w:w="40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Losses</w:t>
            </w:r>
          </w:p>
        </w:tc>
        <w:tc>
          <w:tcPr>
            <w:tcW w:w="420" w:type="dxa"/>
            <w:vAlign w:val="bottom"/>
          </w:tcPr>
          <w:p>
            <w:pPr>
              <w:spacing w:after="0"/>
              <w:rPr>
                <w:sz w:val="12"/>
                <w:szCs w:val="12"/>
                <w:color w:val="auto"/>
              </w:rPr>
            </w:pPr>
          </w:p>
        </w:tc>
        <w:tc>
          <w:tcPr>
            <w:tcW w:w="840" w:type="dxa"/>
            <w:vAlign w:val="bottom"/>
          </w:tcPr>
          <w:p>
            <w:pPr>
              <w:jc w:val="right"/>
              <w:ind w:right="400"/>
              <w:spacing w:after="0"/>
              <w:rPr>
                <w:sz w:val="20"/>
                <w:szCs w:val="20"/>
                <w:color w:val="auto"/>
              </w:rPr>
            </w:pPr>
            <w:r>
              <w:rPr>
                <w:rFonts w:ascii="Arial" w:cs="Arial" w:eastAsia="Arial" w:hAnsi="Arial"/>
                <w:sz w:val="12"/>
                <w:szCs w:val="12"/>
                <w:b w:val="1"/>
                <w:bCs w:val="1"/>
                <w:color w:val="auto"/>
              </w:rPr>
              <w:t>Value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ind w:right="260"/>
              <w:spacing w:after="0"/>
              <w:rPr>
                <w:sz w:val="20"/>
                <w:szCs w:val="20"/>
                <w:color w:val="auto"/>
              </w:rPr>
            </w:pPr>
            <w:r>
              <w:rPr>
                <w:rFonts w:ascii="Arial" w:cs="Arial" w:eastAsia="Arial" w:hAnsi="Arial"/>
                <w:sz w:val="12"/>
                <w:szCs w:val="12"/>
                <w:b w:val="1"/>
                <w:bCs w:val="1"/>
                <w:color w:val="auto"/>
              </w:rPr>
              <w:t>Losses</w:t>
            </w:r>
          </w:p>
        </w:tc>
      </w:tr>
      <w:tr>
        <w:trPr>
          <w:trHeight w:val="158"/>
        </w:trPr>
        <w:tc>
          <w:tcPr>
            <w:tcW w:w="28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CCEEFF"/>
            </w:tcBorders>
          </w:tcPr>
          <w:p>
            <w:pPr>
              <w:spacing w:after="0"/>
              <w:rPr>
                <w:sz w:val="13"/>
                <w:szCs w:val="13"/>
                <w:color w:val="auto"/>
              </w:rPr>
            </w:pPr>
          </w:p>
        </w:tc>
        <w:tc>
          <w:tcPr>
            <w:tcW w:w="92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CCEEFF"/>
            </w:tcBorders>
          </w:tcPr>
          <w:p>
            <w:pPr>
              <w:spacing w:after="0"/>
              <w:rPr>
                <w:sz w:val="13"/>
                <w:szCs w:val="13"/>
                <w:color w:val="auto"/>
              </w:rPr>
            </w:pPr>
          </w:p>
        </w:tc>
      </w:tr>
      <w:tr>
        <w:trPr>
          <w:trHeight w:val="149"/>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Treasuries</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110,191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(1,496)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110,191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(1,49</w:t>
            </w:r>
          </w:p>
        </w:tc>
      </w:tr>
      <w:tr>
        <w:trPr>
          <w:trHeight w:val="157"/>
        </w:trPr>
        <w:tc>
          <w:tcPr>
            <w:tcW w:w="2940" w:type="dxa"/>
            <w:vAlign w:val="bottom"/>
            <w:gridSpan w:val="2"/>
          </w:tcPr>
          <w:p>
            <w:pPr>
              <w:ind w:left="20"/>
              <w:spacing w:after="0"/>
              <w:rPr>
                <w:sz w:val="20"/>
                <w:szCs w:val="20"/>
                <w:color w:val="auto"/>
              </w:rPr>
            </w:pPr>
            <w:r>
              <w:rPr>
                <w:rFonts w:ascii="Arial" w:cs="Arial" w:eastAsia="Arial" w:hAnsi="Arial"/>
                <w:sz w:val="12"/>
                <w:szCs w:val="12"/>
                <w:color w:val="auto"/>
              </w:rPr>
              <w:t>Asset-backed securities</w:t>
            </w:r>
          </w:p>
        </w:tc>
        <w:tc>
          <w:tcPr>
            <w:tcW w:w="4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2,115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(12)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2,115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r>
        <w:trPr>
          <w:trHeight w:val="157"/>
        </w:trPr>
        <w:tc>
          <w:tcPr>
            <w:tcW w:w="29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Municipal</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5,750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3,019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8,769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(39</w:t>
            </w:r>
          </w:p>
        </w:tc>
      </w:tr>
      <w:tr>
        <w:trPr>
          <w:trHeight w:val="157"/>
        </w:trPr>
        <w:tc>
          <w:tcPr>
            <w:tcW w:w="2940" w:type="dxa"/>
            <w:vAlign w:val="bottom"/>
            <w:gridSpan w:val="2"/>
          </w:tcPr>
          <w:p>
            <w:pPr>
              <w:ind w:left="280"/>
              <w:spacing w:after="0"/>
              <w:rPr>
                <w:sz w:val="20"/>
                <w:szCs w:val="20"/>
                <w:color w:val="auto"/>
              </w:rPr>
            </w:pPr>
            <w:r>
              <w:rPr>
                <w:rFonts w:ascii="Arial" w:cs="Arial" w:eastAsia="Arial" w:hAnsi="Arial"/>
                <w:sz w:val="12"/>
                <w:szCs w:val="12"/>
                <w:color w:val="auto"/>
              </w:rPr>
              <w:t>Corporate</w:t>
            </w: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4,448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(52)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486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(14)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4,934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(6</w:t>
            </w:r>
          </w:p>
        </w:tc>
      </w:tr>
      <w:tr>
        <w:trPr>
          <w:trHeight w:val="15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Mortgage-backed securities</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14,114</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(189)</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2,124</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16,238</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w:t>
            </w:r>
          </w:p>
        </w:tc>
      </w:tr>
      <w:tr>
        <w:trPr>
          <w:trHeight w:val="14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134,503</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(1,985)</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7,744</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(180)</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142,247</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(2,16</w:t>
            </w: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41"/>
        </w:trPr>
        <w:tc>
          <w:tcPr>
            <w:tcW w:w="2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78"/>
        </w:trPr>
        <w:tc>
          <w:tcPr>
            <w:tcW w:w="28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r>
      <w:tr>
        <w:trPr>
          <w:trHeight w:val="149"/>
        </w:trPr>
        <w:tc>
          <w:tcPr>
            <w:tcW w:w="29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Municipal</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7"/>
        </w:trPr>
        <w:tc>
          <w:tcPr>
            <w:tcW w:w="2940" w:type="dxa"/>
            <w:vAlign w:val="bottom"/>
            <w:gridSpan w:val="2"/>
          </w:tcPr>
          <w:p>
            <w:pPr>
              <w:ind w:left="280"/>
              <w:spacing w:after="0"/>
              <w:rPr>
                <w:sz w:val="20"/>
                <w:szCs w:val="20"/>
                <w:color w:val="auto"/>
              </w:rPr>
            </w:pPr>
            <w:r>
              <w:rPr>
                <w:rFonts w:ascii="Arial" w:cs="Arial" w:eastAsia="Arial" w:hAnsi="Arial"/>
                <w:sz w:val="12"/>
                <w:szCs w:val="12"/>
                <w:color w:val="auto"/>
              </w:rPr>
              <w:t>Corporate</w:t>
            </w: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1,994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2,238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5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Mortgage-backed securities</w:t>
            </w: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2,410</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2,410</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4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7,555</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244</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7,799</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right="80" w:firstLine="268"/>
        <w:spacing w:after="0" w:line="252" w:lineRule="auto"/>
        <w:rPr>
          <w:sz w:val="20"/>
          <w:szCs w:val="20"/>
          <w:color w:val="auto"/>
        </w:rPr>
      </w:pPr>
      <w:r>
        <w:rPr>
          <w:rFonts w:ascii="Arial" w:cs="Arial" w:eastAsia="Arial" w:hAnsi="Arial"/>
          <w:sz w:val="15"/>
          <w:szCs w:val="15"/>
          <w:color w:val="auto"/>
        </w:rPr>
        <w:t>At December 31, 2021, there was one asset-backed security, two municipal securities, one corporate security, and one mortgage-backed security that have been in a loss position for greater than twelve months. Management believes that all unrealized losses have resulted from temporary changes in interest rates and current market conditions and not as a result of credit deterioration. Management has the ability and the intent to hold these investment securities until maturity or until they recover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72" w:name="page73"/>
    <w:bookmarkEnd w:id="72"/>
    <w:p>
      <w:pPr>
        <w:ind w:left="2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64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2540</wp:posOffset>
            </wp:positionV>
            <wp:extent cx="4455795"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Note 3 - Investment Securities (continued)</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There were no pledged securities at December 31, 2021. A summary of pledged securities at December 31, 2020 is shown below:</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157"/>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20" w:type="dxa"/>
            <w:vAlign w:val="bottom"/>
            <w:gridSpan w:val="3"/>
          </w:tcPr>
          <w:p>
            <w:pPr>
              <w:jc w:val="right"/>
              <w:ind w:right="193"/>
              <w:spacing w:after="0"/>
              <w:rPr>
                <w:sz w:val="20"/>
                <w:szCs w:val="20"/>
                <w:color w:val="auto"/>
              </w:rPr>
            </w:pPr>
            <w:r>
              <w:rPr>
                <w:rFonts w:ascii="Arial" w:cs="Arial" w:eastAsia="Arial" w:hAnsi="Arial"/>
                <w:sz w:val="12"/>
                <w:szCs w:val="12"/>
                <w:b w:val="1"/>
                <w:bCs w:val="1"/>
                <w:color w:val="auto"/>
              </w:rPr>
              <w:t>December 31,</w:t>
            </w:r>
          </w:p>
        </w:tc>
        <w:tc>
          <w:tcPr>
            <w:tcW w:w="1340" w:type="dxa"/>
            <w:vAlign w:val="bottom"/>
          </w:tcPr>
          <w:p>
            <w:pPr>
              <w:spacing w:after="0"/>
              <w:rPr>
                <w:sz w:val="13"/>
                <w:szCs w:val="13"/>
                <w:color w:val="auto"/>
              </w:rPr>
            </w:pPr>
          </w:p>
        </w:tc>
      </w:tr>
      <w:tr>
        <w:trPr>
          <w:trHeight w:val="158"/>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40" w:type="dxa"/>
            <w:vAlign w:val="bottom"/>
            <w:gridSpan w:val="2"/>
          </w:tcPr>
          <w:p>
            <w:pPr>
              <w:jc w:val="right"/>
              <w:ind w:right="453"/>
              <w:spacing w:after="0"/>
              <w:rPr>
                <w:sz w:val="20"/>
                <w:szCs w:val="20"/>
                <w:color w:val="auto"/>
              </w:rPr>
            </w:pPr>
            <w:r>
              <w:rPr>
                <w:rFonts w:ascii="Arial" w:cs="Arial" w:eastAsia="Arial" w:hAnsi="Arial"/>
                <w:sz w:val="12"/>
                <w:szCs w:val="12"/>
                <w:b w:val="1"/>
                <w:bCs w:val="1"/>
                <w:color w:val="auto"/>
              </w:rPr>
              <w:t>2020</w:t>
            </w:r>
          </w:p>
        </w:tc>
        <w:tc>
          <w:tcPr>
            <w:tcW w:w="1340" w:type="dxa"/>
            <w:vAlign w:val="bottom"/>
          </w:tcPr>
          <w:p>
            <w:pPr>
              <w:spacing w:after="0"/>
              <w:rPr>
                <w:sz w:val="13"/>
                <w:szCs w:val="13"/>
                <w:color w:val="auto"/>
              </w:rPr>
            </w:pPr>
          </w:p>
        </w:tc>
      </w:tr>
      <w:tr>
        <w:trPr>
          <w:trHeight w:val="125"/>
        </w:trPr>
        <w:tc>
          <w:tcPr>
            <w:tcW w:w="6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80" w:type="dxa"/>
            <w:vAlign w:val="bottom"/>
          </w:tcPr>
          <w:p>
            <w:pPr>
              <w:jc w:val="right"/>
              <w:ind w:right="677"/>
              <w:spacing w:after="0" w:line="125" w:lineRule="exact"/>
              <w:rPr>
                <w:sz w:val="20"/>
                <w:szCs w:val="20"/>
                <w:color w:val="auto"/>
              </w:rPr>
            </w:pPr>
            <w:r>
              <w:rPr>
                <w:rFonts w:ascii="Arial" w:cs="Arial" w:eastAsia="Arial" w:hAnsi="Arial"/>
                <w:sz w:val="12"/>
                <w:szCs w:val="12"/>
                <w:color w:val="auto"/>
              </w:rPr>
              <w:t>Amortized</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jc w:val="right"/>
              <w:ind w:right="637"/>
              <w:spacing w:after="0" w:line="125" w:lineRule="exact"/>
              <w:rPr>
                <w:sz w:val="20"/>
                <w:szCs w:val="20"/>
                <w:color w:val="auto"/>
              </w:rPr>
            </w:pPr>
            <w:r>
              <w:rPr>
                <w:rFonts w:ascii="Arial" w:cs="Arial" w:eastAsia="Arial" w:hAnsi="Arial"/>
                <w:sz w:val="12"/>
                <w:szCs w:val="12"/>
                <w:color w:val="auto"/>
              </w:rPr>
              <w:t>Fair</w:t>
            </w:r>
          </w:p>
        </w:tc>
      </w:tr>
      <w:tr>
        <w:trPr>
          <w:trHeight w:val="142"/>
        </w:trPr>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(in thousands)</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957"/>
              <w:spacing w:after="0"/>
              <w:rPr>
                <w:sz w:val="20"/>
                <w:szCs w:val="20"/>
                <w:color w:val="auto"/>
              </w:rPr>
            </w:pPr>
            <w:r>
              <w:rPr>
                <w:rFonts w:ascii="Arial" w:cs="Arial" w:eastAsia="Arial" w:hAnsi="Arial"/>
                <w:sz w:val="12"/>
                <w:szCs w:val="12"/>
                <w:color w:val="auto"/>
              </w:rPr>
              <w:t>Cost</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37"/>
              <w:spacing w:after="0"/>
              <w:rPr>
                <w:sz w:val="20"/>
                <w:szCs w:val="20"/>
                <w:color w:val="auto"/>
              </w:rPr>
            </w:pPr>
            <w:r>
              <w:rPr>
                <w:rFonts w:ascii="Arial" w:cs="Arial" w:eastAsia="Arial" w:hAnsi="Arial"/>
                <w:sz w:val="12"/>
                <w:szCs w:val="12"/>
                <w:color w:val="auto"/>
              </w:rPr>
              <w:t>Value</w:t>
            </w:r>
          </w:p>
        </w:tc>
      </w:tr>
      <w:tr>
        <w:trPr>
          <w:trHeight w:val="168"/>
        </w:trPr>
        <w:tc>
          <w:tcPr>
            <w:tcW w:w="66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Federal Home Loan Bank (“FHLB”) advances</w:t>
            </w:r>
          </w:p>
        </w:tc>
        <w:tc>
          <w:tcPr>
            <w:tcW w:w="6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70"/>
        </w:trPr>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1,142</w:t>
            </w:r>
          </w:p>
        </w:tc>
        <w:tc>
          <w:tcPr>
            <w:tcW w:w="840" w:type="dxa"/>
            <w:vAlign w:val="bottom"/>
            <w:gridSpan w:val="2"/>
          </w:tcPr>
          <w:p>
            <w:pPr>
              <w:jc w:val="right"/>
              <w:ind w:right="313"/>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ind w:left="80" w:right="80" w:firstLine="268"/>
        <w:spacing w:after="0" w:line="253" w:lineRule="auto"/>
        <w:rPr>
          <w:sz w:val="20"/>
          <w:szCs w:val="20"/>
          <w:color w:val="auto"/>
        </w:rPr>
      </w:pPr>
      <w:r>
        <w:rPr>
          <w:rFonts w:ascii="Arial" w:cs="Arial" w:eastAsia="Arial" w:hAnsi="Arial"/>
          <w:sz w:val="15"/>
          <w:szCs w:val="15"/>
          <w:color w:val="auto"/>
        </w:rPr>
        <w:t>Contractual maturities of U.S. government-sponsored agencies, asset-backed, municipal, corporate and mortgage-backed securities at December 31, 2021 and 2020 are shown below. Actual maturities may differ from contractual maturities because borrowers may have the right to call or prepay obligations with or without call or prepayment penalties.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2"/>
                <w:szCs w:val="12"/>
                <w:b w:val="1"/>
                <w:bCs w:val="1"/>
                <w:color w:val="auto"/>
              </w:rPr>
              <w:t>For the Years Ended December 31,</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2021</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right"/>
              <w:ind w:right="520"/>
              <w:spacing w:after="0" w:line="114" w:lineRule="exact"/>
              <w:rPr>
                <w:sz w:val="20"/>
                <w:szCs w:val="20"/>
                <w:color w:val="auto"/>
              </w:rPr>
            </w:pPr>
            <w:r>
              <w:rPr>
                <w:rFonts w:ascii="Arial" w:cs="Arial" w:eastAsia="Arial" w:hAnsi="Arial"/>
                <w:sz w:val="12"/>
                <w:szCs w:val="12"/>
                <w:b w:val="1"/>
                <w:bCs w:val="1"/>
                <w:color w:val="auto"/>
              </w:rPr>
              <w:t>Amortized</w:t>
            </w:r>
          </w:p>
        </w:tc>
        <w:tc>
          <w:tcPr>
            <w:tcW w:w="1280" w:type="dxa"/>
            <w:vAlign w:val="bottom"/>
            <w:gridSpan w:val="2"/>
          </w:tcPr>
          <w:p>
            <w:pPr>
              <w:ind w:left="340"/>
              <w:spacing w:after="0" w:line="114" w:lineRule="exact"/>
              <w:rPr>
                <w:sz w:val="20"/>
                <w:szCs w:val="20"/>
                <w:color w:val="auto"/>
              </w:rPr>
            </w:pPr>
            <w:r>
              <w:rPr>
                <w:rFonts w:ascii="Arial" w:cs="Arial" w:eastAsia="Arial" w:hAnsi="Arial"/>
                <w:sz w:val="12"/>
                <w:szCs w:val="12"/>
                <w:b w:val="1"/>
                <w:bCs w:val="1"/>
                <w:color w:val="auto"/>
              </w:rPr>
              <w:t>Fair</w:t>
            </w:r>
          </w:p>
        </w:tc>
        <w:tc>
          <w:tcPr>
            <w:tcW w:w="1280" w:type="dxa"/>
            <w:vAlign w:val="bottom"/>
            <w:gridSpan w:val="2"/>
          </w:tcPr>
          <w:p>
            <w:pPr>
              <w:jc w:val="right"/>
              <w:ind w:right="560"/>
              <w:spacing w:after="0" w:line="114" w:lineRule="exact"/>
              <w:rPr>
                <w:sz w:val="20"/>
                <w:szCs w:val="20"/>
                <w:color w:val="auto"/>
              </w:rPr>
            </w:pPr>
            <w:r>
              <w:rPr>
                <w:rFonts w:ascii="Arial" w:cs="Arial" w:eastAsia="Arial" w:hAnsi="Arial"/>
                <w:sz w:val="12"/>
                <w:szCs w:val="12"/>
                <w:color w:val="auto"/>
              </w:rPr>
              <w:t>Amortized</w:t>
            </w:r>
          </w:p>
        </w:tc>
        <w:tc>
          <w:tcPr>
            <w:tcW w:w="1160" w:type="dxa"/>
            <w:vAlign w:val="bottom"/>
          </w:tcPr>
          <w:p>
            <w:pPr>
              <w:jc w:val="right"/>
              <w:ind w:right="535"/>
              <w:spacing w:after="0" w:line="114" w:lineRule="exact"/>
              <w:rPr>
                <w:sz w:val="20"/>
                <w:szCs w:val="20"/>
                <w:color w:val="auto"/>
              </w:rPr>
            </w:pPr>
            <w:r>
              <w:rPr>
                <w:rFonts w:ascii="Arial" w:cs="Arial" w:eastAsia="Arial" w:hAnsi="Arial"/>
                <w:sz w:val="12"/>
                <w:szCs w:val="12"/>
                <w:color w:val="auto"/>
              </w:rPr>
              <w:t>Fair</w:t>
            </w:r>
          </w:p>
        </w:tc>
        <w:tc>
          <w:tcPr>
            <w:tcW w:w="0" w:type="dxa"/>
            <w:vAlign w:val="bottom"/>
          </w:tcPr>
          <w:p>
            <w:pPr>
              <w:spacing w:after="0"/>
              <w:rPr>
                <w:sz w:val="1"/>
                <w:szCs w:val="1"/>
                <w:color w:val="auto"/>
              </w:rPr>
            </w:pPr>
          </w:p>
        </w:tc>
      </w:tr>
      <w:tr>
        <w:trPr>
          <w:trHeight w:val="145"/>
        </w:trPr>
        <w:tc>
          <w:tcPr>
            <w:tcW w:w="3740" w:type="dxa"/>
            <w:vAlign w:val="bottom"/>
            <w:gridSpan w:val="2"/>
          </w:tcPr>
          <w:p>
            <w:pPr>
              <w:spacing w:after="0"/>
              <w:rPr>
                <w:sz w:val="20"/>
                <w:szCs w:val="20"/>
                <w:color w:val="auto"/>
              </w:rPr>
            </w:pPr>
            <w:r>
              <w:rPr>
                <w:rFonts w:ascii="Arial" w:cs="Arial" w:eastAsia="Arial" w:hAnsi="Arial"/>
                <w:sz w:val="9"/>
                <w:szCs w:val="9"/>
                <w:b w:val="1"/>
                <w:bCs w:val="1"/>
                <w:color w:val="auto"/>
              </w:rPr>
              <w:t>housands)</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Cost</w:t>
            </w:r>
          </w:p>
        </w:tc>
        <w:tc>
          <w:tcPr>
            <w:tcW w:w="1280" w:type="dxa"/>
            <w:vAlign w:val="bottom"/>
            <w:gridSpan w:val="2"/>
          </w:tcPr>
          <w:p>
            <w:pPr>
              <w:ind w:left="440"/>
              <w:spacing w:after="0"/>
              <w:rPr>
                <w:sz w:val="20"/>
                <w:szCs w:val="20"/>
                <w:color w:val="auto"/>
              </w:rPr>
            </w:pPr>
            <w:r>
              <w:rPr>
                <w:rFonts w:ascii="Arial" w:cs="Arial" w:eastAsia="Arial" w:hAnsi="Arial"/>
                <w:sz w:val="12"/>
                <w:szCs w:val="12"/>
                <w:b w:val="1"/>
                <w:bCs w:val="1"/>
                <w:color w:val="auto"/>
              </w:rPr>
              <w:t>Value</w:t>
            </w:r>
          </w:p>
        </w:tc>
        <w:tc>
          <w:tcPr>
            <w:tcW w:w="1280" w:type="dxa"/>
            <w:vAlign w:val="bottom"/>
            <w:gridSpan w:val="2"/>
          </w:tcPr>
          <w:p>
            <w:pPr>
              <w:jc w:val="right"/>
              <w:ind w:right="580"/>
              <w:spacing w:after="0"/>
              <w:rPr>
                <w:sz w:val="20"/>
                <w:szCs w:val="20"/>
                <w:color w:val="auto"/>
              </w:rPr>
            </w:pPr>
            <w:r>
              <w:rPr>
                <w:rFonts w:ascii="Arial" w:cs="Arial" w:eastAsia="Arial" w:hAnsi="Arial"/>
                <w:sz w:val="12"/>
                <w:szCs w:val="12"/>
                <w:color w:val="auto"/>
              </w:rPr>
              <w:t>Cost</w:t>
            </w:r>
          </w:p>
        </w:tc>
        <w:tc>
          <w:tcPr>
            <w:tcW w:w="1160" w:type="dxa"/>
            <w:vAlign w:val="bottom"/>
          </w:tcPr>
          <w:p>
            <w:pPr>
              <w:jc w:val="right"/>
              <w:ind w:right="355"/>
              <w:spacing w:after="0"/>
              <w:rPr>
                <w:sz w:val="20"/>
                <w:szCs w:val="20"/>
                <w:color w:val="auto"/>
              </w:rPr>
            </w:pPr>
            <w:r>
              <w:rPr>
                <w:rFonts w:ascii="Arial" w:cs="Arial" w:eastAsia="Arial" w:hAnsi="Arial"/>
                <w:sz w:val="12"/>
                <w:szCs w:val="12"/>
                <w:color w:val="auto"/>
              </w:rPr>
              <w:t>Value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gridSpan w:val="2"/>
          </w:tcPr>
          <w:p>
            <w:pPr>
              <w:spacing w:after="0"/>
              <w:rPr>
                <w:sz w:val="20"/>
                <w:szCs w:val="20"/>
                <w:color w:val="auto"/>
              </w:rPr>
            </w:pPr>
            <w:r>
              <w:rPr>
                <w:rFonts w:ascii="Arial" w:cs="Arial" w:eastAsia="Arial" w:hAnsi="Arial"/>
                <w:sz w:val="13"/>
                <w:szCs w:val="13"/>
                <w:color w:val="auto"/>
              </w:rPr>
              <w:t>er one to five years</w:t>
            </w:r>
          </w:p>
        </w:tc>
        <w:tc>
          <w:tcPr>
            <w:tcW w:w="2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continue"/>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58,602$</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57,650</w:t>
            </w: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3740" w:type="dxa"/>
            <w:vAlign w:val="bottom"/>
            <w:gridSpan w:val="2"/>
          </w:tcPr>
          <w:p>
            <w:pPr>
              <w:spacing w:after="0"/>
              <w:rPr>
                <w:sz w:val="20"/>
                <w:szCs w:val="20"/>
                <w:color w:val="auto"/>
              </w:rPr>
            </w:pPr>
            <w:r>
              <w:rPr>
                <w:rFonts w:ascii="Arial" w:cs="Arial" w:eastAsia="Arial" w:hAnsi="Arial"/>
                <w:sz w:val="13"/>
                <w:szCs w:val="13"/>
                <w:color w:val="auto"/>
              </w:rPr>
              <w:t>er five to ten years</w:t>
            </w: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78,850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78,285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5,500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5,524</w:t>
            </w:r>
          </w:p>
        </w:tc>
        <w:tc>
          <w:tcPr>
            <w:tcW w:w="0" w:type="dxa"/>
            <w:vAlign w:val="bottom"/>
          </w:tcPr>
          <w:p>
            <w:pPr>
              <w:spacing w:after="0"/>
              <w:rPr>
                <w:sz w:val="1"/>
                <w:szCs w:val="1"/>
                <w:color w:val="auto"/>
              </w:rPr>
            </w:pPr>
          </w:p>
        </w:tc>
      </w:tr>
      <w:tr>
        <w:trPr>
          <w:trHeight w:val="178"/>
        </w:trPr>
        <w:tc>
          <w:tcPr>
            <w:tcW w:w="3740" w:type="dxa"/>
            <w:vAlign w:val="bottom"/>
            <w:gridSpan w:val="2"/>
          </w:tcPr>
          <w:p>
            <w:pPr>
              <w:spacing w:after="0"/>
              <w:rPr>
                <w:sz w:val="20"/>
                <w:szCs w:val="20"/>
                <w:color w:val="auto"/>
              </w:rPr>
            </w:pPr>
            <w:r>
              <w:rPr>
                <w:rFonts w:ascii="Arial" w:cs="Arial" w:eastAsia="Arial" w:hAnsi="Arial"/>
                <w:sz w:val="13"/>
                <w:szCs w:val="13"/>
                <w:color w:val="auto"/>
              </w:rPr>
              <w:t>er ten years</w:t>
            </w: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10,825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10,474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11,095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11,170</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3660" w:type="dxa"/>
            <w:vAlign w:val="bottom"/>
          </w:tcPr>
          <w:p>
            <w:pPr>
              <w:ind w:left="20"/>
              <w:spacing w:after="0" w:line="184" w:lineRule="exact"/>
              <w:rPr>
                <w:sz w:val="20"/>
                <w:szCs w:val="20"/>
                <w:color w:val="auto"/>
              </w:rPr>
            </w:pPr>
            <w:r>
              <w:rPr>
                <w:rFonts w:ascii="Arial" w:cs="Arial" w:eastAsia="Arial" w:hAnsi="Arial"/>
                <w:sz w:val="13"/>
                <w:szCs w:val="13"/>
                <w:color w:val="auto"/>
              </w:rPr>
              <w:t>Asset-backed securities</w:t>
            </w:r>
            <w:r>
              <w:rPr>
                <w:rFonts w:ascii="Arial" w:cs="Arial" w:eastAsia="Arial" w:hAnsi="Arial"/>
                <w:sz w:val="17"/>
                <w:szCs w:val="17"/>
                <w:color w:val="auto"/>
                <w:vertAlign w:val="superscript"/>
              </w:rPr>
              <w:t>(1)</w:t>
            </w: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10,093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10,140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10,839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10,881</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3660" w:type="dxa"/>
            <w:vAlign w:val="bottom"/>
            <w:shd w:val="clear" w:color="auto" w:fill="CCEEFF"/>
          </w:tcPr>
          <w:p>
            <w:pPr>
              <w:spacing w:after="0" w:line="179" w:lineRule="exact"/>
              <w:rPr>
                <w:sz w:val="20"/>
                <w:szCs w:val="20"/>
                <w:color w:val="auto"/>
              </w:rPr>
            </w:pPr>
            <w:r>
              <w:rPr>
                <w:rFonts w:ascii="Arial" w:cs="Arial" w:eastAsia="Arial" w:hAnsi="Arial"/>
                <w:sz w:val="13"/>
                <w:szCs w:val="13"/>
                <w:color w:val="auto"/>
              </w:rPr>
              <w:t>rtgage-backed securities</w:t>
            </w:r>
            <w:r>
              <w:rPr>
                <w:rFonts w:ascii="Arial" w:cs="Arial" w:eastAsia="Arial" w:hAnsi="Arial"/>
                <w:sz w:val="17"/>
                <w:szCs w:val="17"/>
                <w:color w:val="auto"/>
                <w:vertAlign w:val="superscript"/>
              </w:rPr>
              <w:t>(1)</w:t>
            </w:r>
          </w:p>
        </w:tc>
        <w:tc>
          <w:tcPr>
            <w:tcW w:w="2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27,589</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27,906</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70,016</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72,212</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185,959$</w:t>
            </w:r>
          </w:p>
        </w:tc>
        <w:tc>
          <w:tcPr>
            <w:tcW w:w="10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184,455</w:t>
            </w: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3"/>
                <w:szCs w:val="13"/>
                <w:color w:val="auto"/>
              </w:rPr>
              <w:t>97,450$</w:t>
            </w:r>
          </w:p>
        </w:tc>
        <w:tc>
          <w:tcPr>
            <w:tcW w:w="100" w:type="dxa"/>
            <w:vAlign w:val="bottom"/>
          </w:tcPr>
          <w:p>
            <w:pPr>
              <w:spacing w:after="0"/>
              <w:rPr>
                <w:sz w:val="12"/>
                <w:szCs w:val="12"/>
                <w:color w:val="auto"/>
              </w:rPr>
            </w:pPr>
          </w:p>
        </w:tc>
        <w:tc>
          <w:tcPr>
            <w:tcW w:w="1160" w:type="dxa"/>
            <w:vAlign w:val="bottom"/>
          </w:tcPr>
          <w:p>
            <w:pPr>
              <w:jc w:val="right"/>
              <w:spacing w:after="0" w:line="145" w:lineRule="exact"/>
              <w:rPr>
                <w:sz w:val="20"/>
                <w:szCs w:val="20"/>
                <w:color w:val="auto"/>
              </w:rPr>
            </w:pPr>
            <w:r>
              <w:rPr>
                <w:rFonts w:ascii="Arial" w:cs="Arial" w:eastAsia="Arial" w:hAnsi="Arial"/>
                <w:sz w:val="13"/>
                <w:szCs w:val="13"/>
                <w:color w:val="auto"/>
              </w:rPr>
              <w:t>99,787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-679450</wp:posOffset>
            </wp:positionV>
            <wp:extent cx="6985000" cy="1206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85000" cy="12065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-445135</wp:posOffset>
            </wp:positionV>
            <wp:extent cx="6985000" cy="1136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85000" cy="113665"/>
                    </a:xfrm>
                    <a:prstGeom prst="rect">
                      <a:avLst/>
                    </a:prstGeom>
                    <a:noFill/>
                  </pic:spPr>
                </pic:pic>
              </a:graphicData>
            </a:graphic>
          </wp:anchor>
        </w:drawing>
      </w:r>
    </w:p>
    <w:p>
      <w:pPr>
        <w:ind w:left="11100"/>
        <w:spacing w:after="0"/>
        <w:rPr>
          <w:sz w:val="20"/>
          <w:szCs w:val="20"/>
          <w:color w:val="auto"/>
        </w:rPr>
      </w:pP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-41910</wp:posOffset>
            </wp:positionV>
            <wp:extent cx="3176270" cy="28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76270" cy="28575"/>
                    </a:xfrm>
                    <a:prstGeom prst="rect">
                      <a:avLst/>
                    </a:prstGeom>
                    <a:noFill/>
                  </pic:spPr>
                </pic:pic>
              </a:graphicData>
            </a:graphic>
          </wp:anchor>
        </w:drawing>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Mortgage-backed and Asset-backed securities are due in monthly installments.</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Note 4 - SBA-PPP Loans</w:t>
      </w:r>
    </w:p>
    <w:p>
      <w:pPr>
        <w:spacing w:after="0" w:line="204" w:lineRule="exact"/>
        <w:rPr>
          <w:sz w:val="20"/>
          <w:szCs w:val="20"/>
          <w:color w:val="auto"/>
        </w:rPr>
      </w:pPr>
    </w:p>
    <w:p>
      <w:pPr>
        <w:jc w:val="both"/>
        <w:ind w:left="80" w:right="80" w:firstLine="268"/>
        <w:spacing w:after="0" w:line="253" w:lineRule="auto"/>
        <w:rPr>
          <w:sz w:val="20"/>
          <w:szCs w:val="20"/>
          <w:color w:val="auto"/>
        </w:rPr>
      </w:pPr>
      <w:r>
        <w:rPr>
          <w:rFonts w:ascii="Arial" w:cs="Arial" w:eastAsia="Arial" w:hAnsi="Arial"/>
          <w:sz w:val="15"/>
          <w:szCs w:val="15"/>
          <w:color w:val="auto"/>
        </w:rPr>
        <w:t>Pursuant to the CARES Act and the Consolidated Appropriations Act, 2021, the SBA-PPP provides forgivable loans to small businesses to enable them to maintain payroll, hire back employees who have been laid off, and cover applicable overhead. SBA-PPP loans have an interest rate of 1%, have 2 and 5 year terms, and carry a 100% guarantee of the SBA. The PPP Extension Act of 2021 extended the program through May 31, 2021.</w:t>
      </w:r>
    </w:p>
    <w:p>
      <w:pPr>
        <w:spacing w:after="0" w:line="171" w:lineRule="exact"/>
        <w:rPr>
          <w:sz w:val="20"/>
          <w:szCs w:val="20"/>
          <w:color w:val="auto"/>
        </w:rPr>
      </w:pPr>
    </w:p>
    <w:p>
      <w:pPr>
        <w:jc w:val="both"/>
        <w:ind w:left="80" w:right="80" w:firstLine="268"/>
        <w:spacing w:after="0" w:line="253" w:lineRule="auto"/>
        <w:rPr>
          <w:sz w:val="20"/>
          <w:szCs w:val="20"/>
          <w:color w:val="auto"/>
        </w:rPr>
      </w:pPr>
      <w:r>
        <w:rPr>
          <w:rFonts w:ascii="Arial" w:cs="Arial" w:eastAsia="Arial" w:hAnsi="Arial"/>
          <w:sz w:val="15"/>
          <w:szCs w:val="15"/>
          <w:color w:val="auto"/>
        </w:rPr>
        <w:t>The allowance for loan losses for SBA-PPP loans was separately evaluated given the explicit government guarantee. This analysis, which incorporated historical experience with similar SBA guarantees and underwriting, concluded that the likelihood of loss was remote and therefore no allowance for loan losses was assigned to these loans.</w:t>
      </w:r>
    </w:p>
    <w:p>
      <w:pPr>
        <w:spacing w:after="0" w:line="171" w:lineRule="exact"/>
        <w:rPr>
          <w:sz w:val="20"/>
          <w:szCs w:val="20"/>
          <w:color w:val="auto"/>
        </w:rPr>
      </w:pPr>
    </w:p>
    <w:p>
      <w:pPr>
        <w:jc w:val="both"/>
        <w:ind w:left="80" w:right="80" w:firstLine="268"/>
        <w:spacing w:after="0" w:line="252" w:lineRule="auto"/>
        <w:rPr>
          <w:sz w:val="20"/>
          <w:szCs w:val="20"/>
          <w:color w:val="auto"/>
        </w:rPr>
      </w:pPr>
      <w:r>
        <w:rPr>
          <w:rFonts w:ascii="Arial" w:cs="Arial" w:eastAsia="Arial" w:hAnsi="Arial"/>
          <w:sz w:val="15"/>
          <w:szCs w:val="15"/>
          <w:color w:val="auto"/>
        </w:rPr>
        <w:t>At December 31, 2021, SBA-PPP loans receivable, which totaled $111.5 million, are all rated as pass credits, not past due, nonaccrual, TDR, or otherwise impaired. Earned fees for the years ended December 31, 2021 and 2020 are $5.7 million and $2.8 million, respectively. Unearned net fees associated with the SBA-PPP loans amounted to $3.2 million and $3.9 million at December 31, 2021 and 2020, respectively. There were no outstanding commitments to extend additional SBA-PPP loans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205105</wp:posOffset>
            </wp:positionV>
            <wp:extent cx="718121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440"/>
          </w:cols>
          <w:pgMar w:left="220" w:top="167" w:right="239" w:bottom="1440" w:gutter="0" w:footer="0" w:header="0"/>
        </w:sectPr>
      </w:pPr>
    </w:p>
    <w:bookmarkStart w:id="73" w:name="page74"/>
    <w:bookmarkEnd w:id="73"/>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Portfolio Loans Receivable</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Major categories of portfolio loans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2"/>
                <w:szCs w:val="12"/>
                <w:b w:val="1"/>
                <w:bCs w:val="1"/>
                <w:color w:val="auto"/>
              </w:rPr>
              <w:t>December 31,</w:t>
            </w:r>
          </w:p>
        </w:tc>
        <w:tc>
          <w:tcPr>
            <w:tcW w:w="1360" w:type="dxa"/>
            <w:vAlign w:val="bottom"/>
            <w:tcBorders>
              <w:bottom w:val="single" w:sz="8" w:color="auto"/>
            </w:tcBorders>
          </w:tcPr>
          <w:p>
            <w:pPr>
              <w:spacing w:after="0"/>
              <w:rPr>
                <w:sz w:val="13"/>
                <w:szCs w:val="13"/>
                <w:color w:val="auto"/>
              </w:rPr>
            </w:pPr>
          </w:p>
        </w:tc>
      </w:tr>
      <w:tr>
        <w:trPr>
          <w:trHeight w:val="16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thousands)</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53"/>
              <w:spacing w:after="0"/>
              <w:rPr>
                <w:sz w:val="20"/>
                <w:szCs w:val="20"/>
                <w:color w:val="auto"/>
              </w:rPr>
            </w:pPr>
            <w:r>
              <w:rPr>
                <w:rFonts w:ascii="Arial" w:cs="Arial" w:eastAsia="Arial" w:hAnsi="Arial"/>
                <w:sz w:val="13"/>
                <w:szCs w:val="13"/>
                <w:b w:val="1"/>
                <w:bCs w:val="1"/>
                <w:color w:val="auto"/>
              </w:rPr>
              <w:t>2020</w:t>
            </w:r>
          </w:p>
        </w:tc>
      </w:tr>
      <w:tr>
        <w:trPr>
          <w:trHeight w:val="171"/>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Real estate:</w:t>
            </w:r>
          </w:p>
        </w:tc>
        <w:tc>
          <w:tcPr>
            <w:tcW w:w="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78"/>
        </w:trPr>
        <w:tc>
          <w:tcPr>
            <w:tcW w:w="7300" w:type="dxa"/>
            <w:vAlign w:val="bottom"/>
            <w:gridSpan w:val="2"/>
          </w:tcPr>
          <w:p>
            <w:pPr>
              <w:ind w:left="120"/>
              <w:spacing w:after="0"/>
              <w:rPr>
                <w:sz w:val="20"/>
                <w:szCs w:val="20"/>
                <w:color w:val="auto"/>
              </w:rPr>
            </w:pPr>
            <w:r>
              <w:rPr>
                <w:rFonts w:ascii="Arial" w:cs="Arial" w:eastAsia="Arial" w:hAnsi="Arial"/>
                <w:sz w:val="13"/>
                <w:szCs w:val="13"/>
                <w:color w:val="auto"/>
              </w:rPr>
              <w:t>Residential</w:t>
            </w:r>
          </w:p>
        </w:tc>
        <w:tc>
          <w:tcPr>
            <w:tcW w:w="440" w:type="dxa"/>
            <w:vAlign w:val="bottom"/>
          </w:tcPr>
          <w:p>
            <w:pPr>
              <w:jc w:val="right"/>
              <w:ind w:right="293"/>
              <w:spacing w:after="0"/>
              <w:rPr>
                <w:sz w:val="20"/>
                <w:szCs w:val="20"/>
                <w:color w:val="auto"/>
              </w:rPr>
            </w:pPr>
            <w:r>
              <w:rPr>
                <w:rFonts w:ascii="Arial" w:cs="Arial" w:eastAsia="Arial" w:hAnsi="Arial"/>
                <w:sz w:val="13"/>
                <w:szCs w:val="13"/>
                <w:b w:val="1"/>
                <w:bCs w:val="1"/>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401,607</w:t>
            </w:r>
          </w:p>
        </w:tc>
        <w:tc>
          <w:tcPr>
            <w:tcW w:w="100" w:type="dxa"/>
            <w:vAlign w:val="bottom"/>
          </w:tcPr>
          <w:p>
            <w:pPr>
              <w:spacing w:after="0"/>
              <w:rPr>
                <w:sz w:val="15"/>
                <w:szCs w:val="15"/>
                <w:color w:val="auto"/>
              </w:rPr>
            </w:pPr>
          </w:p>
        </w:tc>
        <w:tc>
          <w:tcPr>
            <w:tcW w:w="58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437,860</w:t>
            </w:r>
          </w:p>
        </w:tc>
      </w:tr>
      <w:tr>
        <w:trPr>
          <w:trHeight w:val="180"/>
        </w:trPr>
        <w:tc>
          <w:tcPr>
            <w:tcW w:w="73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Commercial</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556,339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392,550</w:t>
            </w:r>
          </w:p>
        </w:tc>
      </w:tr>
      <w:tr>
        <w:trPr>
          <w:trHeight w:val="178"/>
        </w:trPr>
        <w:tc>
          <w:tcPr>
            <w:tcW w:w="7300" w:type="dxa"/>
            <w:vAlign w:val="bottom"/>
            <w:gridSpan w:val="2"/>
          </w:tcPr>
          <w:p>
            <w:pPr>
              <w:ind w:left="120"/>
              <w:spacing w:after="0"/>
              <w:rPr>
                <w:sz w:val="20"/>
                <w:szCs w:val="20"/>
                <w:color w:val="auto"/>
              </w:rPr>
            </w:pPr>
            <w:r>
              <w:rPr>
                <w:rFonts w:ascii="Arial" w:cs="Arial" w:eastAsia="Arial" w:hAnsi="Arial"/>
                <w:sz w:val="13"/>
                <w:szCs w:val="13"/>
                <w:color w:val="auto"/>
              </w:rPr>
              <w:t>Construction</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255,147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224,904</w:t>
            </w:r>
          </w:p>
        </w:tc>
      </w:tr>
      <w:tr>
        <w:trPr>
          <w:trHeight w:val="18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175,956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157,127</w:t>
            </w:r>
          </w:p>
        </w:tc>
      </w:tr>
      <w:tr>
        <w:trPr>
          <w:trHeight w:val="178"/>
        </w:trPr>
        <w:tc>
          <w:tcPr>
            <w:tcW w:w="7300" w:type="dxa"/>
            <w:vAlign w:val="bottom"/>
            <w:gridSpan w:val="2"/>
          </w:tcPr>
          <w:p>
            <w:pPr>
              <w:ind w:left="20"/>
              <w:spacing w:after="0"/>
              <w:rPr>
                <w:sz w:val="20"/>
                <w:szCs w:val="20"/>
                <w:color w:val="auto"/>
              </w:rPr>
            </w:pPr>
            <w:r>
              <w:rPr>
                <w:rFonts w:ascii="Arial" w:cs="Arial" w:eastAsia="Arial" w:hAnsi="Arial"/>
                <w:sz w:val="13"/>
                <w:szCs w:val="13"/>
                <w:color w:val="auto"/>
              </w:rPr>
              <w:t>Credit card, net of reserve</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141,120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102,186</w:t>
            </w:r>
          </w:p>
        </w:tc>
      </w:tr>
      <w:tr>
        <w:trPr>
          <w:trHeight w:val="17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consumer</w:t>
            </w:r>
          </w:p>
        </w:tc>
        <w:tc>
          <w:tcPr>
            <w:tcW w:w="4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1,649</w:t>
            </w:r>
          </w:p>
        </w:tc>
      </w:tr>
      <w:tr>
        <w:trPr>
          <w:trHeight w:val="170"/>
        </w:trPr>
        <w:tc>
          <w:tcPr>
            <w:tcW w:w="7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1,531,202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1,316,276</w:t>
            </w:r>
          </w:p>
        </w:tc>
      </w:tr>
      <w:tr>
        <w:trPr>
          <w:trHeight w:val="18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Deferred origination fees, net</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(7,220)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r>
      <w:tr>
        <w:trPr>
          <w:trHeight w:val="178"/>
        </w:trPr>
        <w:tc>
          <w:tcPr>
            <w:tcW w:w="73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Allowance for loan losses</w:t>
            </w: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(25,181)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(23,434)</w:t>
            </w:r>
          </w:p>
        </w:tc>
      </w:tr>
      <w:tr>
        <w:trPr>
          <w:trHeight w:val="196"/>
        </w:trPr>
        <w:tc>
          <w:tcPr>
            <w:tcW w:w="7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Portfolio loans receivable, net</w:t>
            </w:r>
          </w:p>
        </w:tc>
        <w:tc>
          <w:tcPr>
            <w:tcW w:w="4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b w:val="1"/>
                <w:bCs w:val="1"/>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1,498,801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1,292,068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Company makes loans to customers located primarily in the Washington, D.C. metropolitan area. Although the loan portfolio is diversified, its performance will be influenced by the regional economy. The Company’s portfolio loan categories are described below.</w:t>
      </w:r>
    </w:p>
    <w:p>
      <w:pPr>
        <w:spacing w:after="0" w:line="150"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5"/>
          <w:szCs w:val="15"/>
          <w:i w:val="1"/>
          <w:iCs w:val="1"/>
          <w:color w:val="auto"/>
        </w:rPr>
        <w:t>Residential Real Estate Loans</w:t>
      </w:r>
      <w:r>
        <w:rPr>
          <w:rFonts w:ascii="Arial" w:cs="Arial" w:eastAsia="Arial" w:hAnsi="Arial"/>
          <w:sz w:val="15"/>
          <w:szCs w:val="15"/>
          <w:color w:val="auto"/>
        </w:rPr>
        <w:t>. One-to-four family mortgage loans are primarily on owner-occupied primary residences and, to a lesser extent, investor owned</w:t>
      </w:r>
      <w:r>
        <w:rPr>
          <w:rFonts w:ascii="Arial" w:cs="Arial" w:eastAsia="Arial" w:hAnsi="Arial"/>
          <w:sz w:val="15"/>
          <w:szCs w:val="15"/>
          <w:i w:val="1"/>
          <w:iCs w:val="1"/>
          <w:color w:val="auto"/>
        </w:rPr>
        <w:t xml:space="preserve"> </w:t>
      </w:r>
      <w:r>
        <w:rPr>
          <w:rFonts w:ascii="Arial" w:cs="Arial" w:eastAsia="Arial" w:hAnsi="Arial"/>
          <w:sz w:val="15"/>
          <w:szCs w:val="15"/>
          <w:color w:val="auto"/>
        </w:rPr>
        <w:t>residences. Residential loans are originated through the commercial sales teams and Capital Bank Home Loan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15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i w:val="1"/>
          <w:iCs w:val="1"/>
          <w:color w:val="auto"/>
        </w:rPr>
        <w:t>Commercial Real Estate Loans</w:t>
      </w:r>
      <w:r>
        <w:rPr>
          <w:rFonts w:ascii="Arial" w:cs="Arial" w:eastAsia="Arial" w:hAnsi="Arial"/>
          <w:sz w:val="15"/>
          <w:szCs w:val="15"/>
          <w:color w:val="auto"/>
        </w:rPr>
        <w:t>. Commercial real estate loans are originated on owner-occupied and non-owner-occupied properties. These loans may be more</w:t>
      </w:r>
      <w:r>
        <w:rPr>
          <w:rFonts w:ascii="Arial" w:cs="Arial" w:eastAsia="Arial" w:hAnsi="Arial"/>
          <w:sz w:val="15"/>
          <w:szCs w:val="15"/>
          <w:i w:val="1"/>
          <w:iCs w:val="1"/>
          <w:color w:val="auto"/>
        </w:rPr>
        <w:t xml:space="preserve"> </w:t>
      </w:r>
      <w:r>
        <w:rPr>
          <w:rFonts w:ascii="Arial" w:cs="Arial" w:eastAsia="Arial" w:hAnsi="Arial"/>
          <w:sz w:val="15"/>
          <w:szCs w:val="15"/>
          <w:color w:val="auto"/>
        </w:rPr>
        <w:t>adversely affected by conditions in the real estate markets or in the general economy. Commercial loans that are secured by owner-occupied commercial real estate and primarily collateralized by operating cash flows are also included in this category of loans. As of December 31, 2021, there were approximately $302.5 million of owner-occupied commercial real estate loans, representing approximately 19.8% of the portfolio loan total. Commercial real estate loan terms are generally extended for 10 years or less and typically amortize over 25 years or less. The interest rates on commercial real estate loans have initial fixed rate terms that normally adjust at 5 years and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generally diverse in terms and type. This diversity helps reduce the exposure to adverse economic events that affect any single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74" w:name="page75"/>
    <w:bookmarkEnd w:id="74"/>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Portfolio Loans Receivable (continued)</w:t>
      </w:r>
    </w:p>
    <w:p>
      <w:pPr>
        <w:spacing w:after="0" w:line="188"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5"/>
          <w:szCs w:val="15"/>
          <w:i w:val="1"/>
          <w:iCs w:val="1"/>
          <w:color w:val="auto"/>
        </w:rPr>
        <w:t>Construction Loans</w:t>
      </w:r>
      <w:r>
        <w:rPr>
          <w:rFonts w:ascii="Arial" w:cs="Arial" w:eastAsia="Arial" w:hAnsi="Arial"/>
          <w:sz w:val="15"/>
          <w:szCs w:val="15"/>
          <w:color w:val="auto"/>
        </w:rPr>
        <w:t>. Construction loans are offered within the Company’s Washington, D.C. and Baltimore, Maryland metropolitan operating areas to builders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construction of single-family homes and condominium and townhouse conversions or renovations and, to a lesser extent, to individuals. Construction loans typically have terms of 12 to 18 months. The Company often transitions the end purchaser to permanent financing or re-underwriting and selling into the secondary market through Capital Bank Home Loans. According to underwriting standards, the ratio of loan principal to collateral value, as established by an independent appraisal, should not exceed 75% for investor-owned and 80% for owner-occupied properties. Semi-annual stress testing of the construction loan portfolio is conducted, and underlying real estate conditions are closely monitored as well as the borrower’s trends of sales valuations as compared to underwriting valuations.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borrowers’ progress in construction buildout is monitored including for adherence to construction milestones and completion timelines.</w:t>
      </w:r>
    </w:p>
    <w:p>
      <w:pPr>
        <w:spacing w:after="0" w:line="170"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5"/>
          <w:szCs w:val="15"/>
          <w:i w:val="1"/>
          <w:iCs w:val="1"/>
          <w:color w:val="auto"/>
        </w:rPr>
        <w:t>Commercial Business Loans</w:t>
      </w:r>
      <w:r>
        <w:rPr>
          <w:rFonts w:ascii="Arial" w:cs="Arial" w:eastAsia="Arial" w:hAnsi="Arial"/>
          <w:sz w:val="15"/>
          <w:szCs w:val="15"/>
          <w:color w:val="auto"/>
        </w:rPr>
        <w:t>. In addition to other loan products, general commercial loans, including commercial lines of credit, working capital loans, term loans,</w:t>
      </w:r>
      <w:r>
        <w:rPr>
          <w:rFonts w:ascii="Arial" w:cs="Arial" w:eastAsia="Arial" w:hAnsi="Arial"/>
          <w:sz w:val="15"/>
          <w:szCs w:val="15"/>
          <w:i w:val="1"/>
          <w:iCs w:val="1"/>
          <w:color w:val="auto"/>
        </w:rPr>
        <w:t xml:space="preserve"> </w:t>
      </w:r>
      <w:r>
        <w:rPr>
          <w:rFonts w:ascii="Arial" w:cs="Arial" w:eastAsia="Arial" w:hAnsi="Arial"/>
          <w:sz w:val="15"/>
          <w:szCs w:val="15"/>
          <w:color w:val="auto"/>
        </w:rPr>
        <w:t>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and personal guaranties from the borrower or other principal are generally obtained.</w:t>
      </w:r>
    </w:p>
    <w:p>
      <w:pPr>
        <w:spacing w:after="0" w:line="154" w:lineRule="exact"/>
        <w:rPr>
          <w:sz w:val="20"/>
          <w:szCs w:val="20"/>
          <w:color w:val="auto"/>
        </w:rPr>
      </w:pPr>
    </w:p>
    <w:p>
      <w:pPr>
        <w:jc w:val="both"/>
        <w:ind w:firstLine="268"/>
        <w:spacing w:after="0" w:line="244" w:lineRule="auto"/>
        <w:rPr>
          <w:sz w:val="20"/>
          <w:szCs w:val="20"/>
          <w:color w:val="auto"/>
        </w:rPr>
      </w:pPr>
      <w:r>
        <w:rPr>
          <w:rFonts w:ascii="Arial" w:cs="Arial" w:eastAsia="Arial" w:hAnsi="Arial"/>
          <w:sz w:val="15"/>
          <w:szCs w:val="15"/>
          <w:i w:val="1"/>
          <w:iCs w:val="1"/>
          <w:color w:val="auto"/>
        </w:rPr>
        <w:t>Credit Cards</w:t>
      </w:r>
      <w:r>
        <w:rPr>
          <w:rFonts w:ascii="Arial" w:cs="Arial" w:eastAsia="Arial" w:hAnsi="Arial"/>
          <w:sz w:val="15"/>
          <w:szCs w:val="15"/>
          <w:color w:val="auto"/>
        </w:rPr>
        <w:t>. Through the OpenSky</w:t>
      </w:r>
      <w:r>
        <w:rPr>
          <w:rFonts w:ascii="Arial" w:cs="Arial" w:eastAsia="Arial" w:hAnsi="Arial"/>
          <w:sz w:val="19"/>
          <w:szCs w:val="19"/>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credit card division, the Company offers secured, partially secured, and unsecured credit cards on a nationwide basis to under-banked populations and those looking to rebuild their credit scores through a fully digital and mobile platform. The secured lines of credit are secured by a noninterest 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repayments, but ultimately determined on a case-by-case basis). Partially secured and unsecured credit cards are only extended to existing unsecured card customers who have demonstrated sound credit behaviors. Approximately $126.6 million and $98.5 million of the credit card balances were secured by savings deposits held by the Bank as of December 31, 2021 and 2020, respectively, with $16.7 million and $5.7 million of the credit card balances not secured by savings deposits as of December 31, 2021 and 2020, respectively.</w:t>
      </w:r>
    </w:p>
    <w:p>
      <w:pPr>
        <w:spacing w:after="0" w:line="162" w:lineRule="exact"/>
        <w:rPr>
          <w:sz w:val="20"/>
          <w:szCs w:val="20"/>
          <w:color w:val="auto"/>
        </w:rPr>
      </w:pPr>
    </w:p>
    <w:p>
      <w:pPr>
        <w:jc w:val="both"/>
        <w:ind w:firstLine="268"/>
        <w:spacing w:after="0" w:line="280" w:lineRule="auto"/>
        <w:rPr>
          <w:sz w:val="20"/>
          <w:szCs w:val="20"/>
          <w:color w:val="auto"/>
        </w:rPr>
      </w:pPr>
      <w:r>
        <w:rPr>
          <w:rFonts w:ascii="Arial" w:cs="Arial" w:eastAsia="Arial" w:hAnsi="Arial"/>
          <w:sz w:val="15"/>
          <w:szCs w:val="15"/>
          <w:i w:val="1"/>
          <w:iCs w:val="1"/>
          <w:color w:val="auto"/>
        </w:rPr>
        <w:t>Other Consumer Loans</w:t>
      </w:r>
      <w:r>
        <w:rPr>
          <w:rFonts w:ascii="Arial" w:cs="Arial" w:eastAsia="Arial" w:hAnsi="Arial"/>
          <w:sz w:val="15"/>
          <w:szCs w:val="15"/>
          <w:color w:val="auto"/>
        </w:rPr>
        <w:t>. To a limited extent and typically as an accommodation to existing customers, personal consumer loans such as term loans, car loans or boat</w:t>
      </w:r>
      <w:r>
        <w:rPr>
          <w:rFonts w:ascii="Arial" w:cs="Arial" w:eastAsia="Arial" w:hAnsi="Arial"/>
          <w:sz w:val="15"/>
          <w:szCs w:val="15"/>
          <w:i w:val="1"/>
          <w:iCs w:val="1"/>
          <w:color w:val="auto"/>
        </w:rPr>
        <w:t xml:space="preserve"> </w:t>
      </w:r>
      <w:r>
        <w:rPr>
          <w:rFonts w:ascii="Arial" w:cs="Arial" w:eastAsia="Arial" w:hAnsi="Arial"/>
          <w:sz w:val="15"/>
          <w:szCs w:val="15"/>
          <w:color w:val="auto"/>
        </w:rPr>
        <w:t>loans are offered.</w:t>
      </w:r>
    </w:p>
    <w:p>
      <w:pPr>
        <w:spacing w:after="0" w:line="151"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Acquired loans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the difference between the contractually required payments and expected cash flows was recorded as a nonaccretable discount. The remaining nonaccretable discounts on loans acquired were $285 thousand at December 31, 2021 and 2020. Loans with nonaccretable discounts had a carrying value of $817.8 thousand and $835.7 thousand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75" w:name="page76"/>
    <w:bookmarkEnd w:id="75"/>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103505</wp:posOffset>
            </wp:positionV>
            <wp:extent cx="4455795"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Portfolio Loans Receivable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activity in the accretable discounts on loans acquired was as follows:</w:t>
      </w:r>
    </w:p>
    <w:p>
      <w:pPr>
        <w:spacing w:after="0" w:line="210" w:lineRule="exact"/>
        <w:rPr>
          <w:sz w:val="20"/>
          <w:szCs w:val="20"/>
          <w:color w:val="auto"/>
        </w:rPr>
      </w:pPr>
    </w:p>
    <w:p>
      <w:pPr>
        <w:ind w:left="9580"/>
        <w:spacing w:after="0"/>
        <w:rPr>
          <w:sz w:val="20"/>
          <w:szCs w:val="20"/>
          <w:color w:val="auto"/>
        </w:rPr>
      </w:pPr>
      <w:r>
        <w:rPr>
          <w:rFonts w:ascii="Arial" w:cs="Arial" w:eastAsia="Arial" w:hAnsi="Arial"/>
          <w:sz w:val="12"/>
          <w:szCs w:val="12"/>
          <w:b w:val="1"/>
          <w:bCs w:val="1"/>
          <w:color w:val="auto"/>
        </w:rPr>
        <w:t>December 31,</w:t>
      </w:r>
    </w:p>
    <w:p>
      <w:pPr>
        <w:spacing w:after="0" w:line="18"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774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(in thousands)</w:t>
            </w: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2020</w:t>
            </w:r>
          </w:p>
        </w:tc>
      </w:tr>
      <w:tr>
        <w:trPr>
          <w:trHeight w:val="148"/>
        </w:trPr>
        <w:tc>
          <w:tcPr>
            <w:tcW w:w="78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Accretable discount at beginning of period</w:t>
            </w:r>
          </w:p>
        </w:tc>
        <w:tc>
          <w:tcPr>
            <w:tcW w:w="58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221</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57"/>
        </w:trPr>
        <w:tc>
          <w:tcPr>
            <w:tcW w:w="784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Accretion and payoff of loans</w:t>
            </w: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(55)</w:t>
            </w: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73"/>
        </w:trPr>
        <w:tc>
          <w:tcPr>
            <w:tcW w:w="7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2"/>
                <w:szCs w:val="12"/>
                <w:color w:val="auto"/>
              </w:rPr>
              <w:t>Accretable discount at end of period</w:t>
            </w:r>
          </w:p>
        </w:tc>
        <w:tc>
          <w:tcPr>
            <w:tcW w:w="5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166</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 The following tables present, by class and reserving methodology, the allocation of the allowance for loan losses and the gross investment in loans as of December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9"/>
                <w:szCs w:val="9"/>
                <w:b w:val="1"/>
                <w:bCs w:val="1"/>
                <w:color w:val="auto"/>
                <w:w w:val="99"/>
              </w:rPr>
              <w:t>Allowance for Loan Losses</w:t>
            </w:r>
          </w:p>
        </w:tc>
        <w:tc>
          <w:tcPr>
            <w:tcW w:w="160" w:type="dxa"/>
            <w:vAlign w:val="bottom"/>
          </w:tcPr>
          <w:p>
            <w:pPr>
              <w:spacing w:after="0"/>
              <w:rPr>
                <w:sz w:val="8"/>
                <w:szCs w:val="8"/>
                <w:color w:val="auto"/>
              </w:rPr>
            </w:pPr>
          </w:p>
        </w:tc>
        <w:tc>
          <w:tcPr>
            <w:tcW w:w="1940" w:type="dxa"/>
            <w:vAlign w:val="bottom"/>
            <w:gridSpan w:val="4"/>
          </w:tcPr>
          <w:p>
            <w:pPr>
              <w:jc w:val="center"/>
              <w:ind w:right="128"/>
              <w:spacing w:after="0"/>
              <w:rPr>
                <w:sz w:val="20"/>
                <w:szCs w:val="20"/>
                <w:color w:val="auto"/>
              </w:rPr>
            </w:pPr>
            <w:r>
              <w:rPr>
                <w:rFonts w:ascii="Arial" w:cs="Arial" w:eastAsia="Arial" w:hAnsi="Arial"/>
                <w:sz w:val="9"/>
                <w:szCs w:val="9"/>
                <w:b w:val="1"/>
                <w:bCs w:val="1"/>
                <w:color w:val="auto"/>
                <w:w w:val="98"/>
              </w:rPr>
              <w:t>Outstanding Loan</w:t>
            </w:r>
          </w:p>
        </w:tc>
        <w:tc>
          <w:tcPr>
            <w:tcW w:w="0" w:type="dxa"/>
            <w:vAlign w:val="bottom"/>
          </w:tcPr>
          <w:p>
            <w:pPr>
              <w:spacing w:after="0"/>
              <w:rPr>
                <w:sz w:val="1"/>
                <w:szCs w:val="1"/>
                <w:color w:val="auto"/>
              </w:rPr>
            </w:pPr>
          </w:p>
        </w:tc>
      </w:tr>
      <w:tr>
        <w:trPr>
          <w:trHeight w:val="90"/>
        </w:trPr>
        <w:tc>
          <w:tcPr>
            <w:tcW w:w="1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80" w:type="dxa"/>
            <w:vAlign w:val="bottom"/>
            <w:gridSpan w:val="5"/>
          </w:tcPr>
          <w:p>
            <w:pPr>
              <w:jc w:val="center"/>
              <w:ind w:right="320"/>
              <w:spacing w:after="0" w:line="90" w:lineRule="exact"/>
              <w:rPr>
                <w:sz w:val="20"/>
                <w:szCs w:val="20"/>
                <w:color w:val="auto"/>
              </w:rPr>
            </w:pPr>
            <w:r>
              <w:rPr>
                <w:rFonts w:ascii="Arial" w:cs="Arial" w:eastAsia="Arial" w:hAnsi="Arial"/>
                <w:sz w:val="9"/>
                <w:szCs w:val="9"/>
                <w:b w:val="1"/>
                <w:bCs w:val="1"/>
                <w:color w:val="auto"/>
                <w:w w:val="99"/>
              </w:rPr>
              <w:t>Ending Balance Evaluated</w:t>
            </w:r>
          </w:p>
        </w:tc>
        <w:tc>
          <w:tcPr>
            <w:tcW w:w="160" w:type="dxa"/>
            <w:vAlign w:val="bottom"/>
          </w:tcPr>
          <w:p>
            <w:pPr>
              <w:spacing w:after="0"/>
              <w:rPr>
                <w:sz w:val="7"/>
                <w:szCs w:val="7"/>
                <w:color w:val="auto"/>
              </w:rPr>
            </w:pPr>
          </w:p>
        </w:tc>
        <w:tc>
          <w:tcPr>
            <w:tcW w:w="1940" w:type="dxa"/>
            <w:vAlign w:val="bottom"/>
            <w:gridSpan w:val="4"/>
          </w:tcPr>
          <w:p>
            <w:pPr>
              <w:jc w:val="center"/>
              <w:ind w:right="128"/>
              <w:spacing w:after="0" w:line="90" w:lineRule="exact"/>
              <w:rPr>
                <w:sz w:val="20"/>
                <w:szCs w:val="20"/>
                <w:color w:val="auto"/>
              </w:rPr>
            </w:pPr>
            <w:r>
              <w:rPr>
                <w:rFonts w:ascii="Arial" w:cs="Arial" w:eastAsia="Arial" w:hAnsi="Arial"/>
                <w:sz w:val="9"/>
                <w:szCs w:val="9"/>
                <w:b w:val="1"/>
                <w:bCs w:val="1"/>
                <w:color w:val="auto"/>
                <w:w w:val="99"/>
              </w:rPr>
              <w:t>Balances Evaluated</w:t>
            </w:r>
          </w:p>
        </w:tc>
        <w:tc>
          <w:tcPr>
            <w:tcW w:w="0" w:type="dxa"/>
            <w:vAlign w:val="bottom"/>
          </w:tcPr>
          <w:p>
            <w:pPr>
              <w:spacing w:after="0"/>
              <w:rPr>
                <w:sz w:val="1"/>
                <w:szCs w:val="1"/>
                <w:color w:val="auto"/>
              </w:rPr>
            </w:pPr>
          </w:p>
        </w:tc>
      </w:tr>
      <w:tr>
        <w:trPr>
          <w:trHeight w:val="125"/>
        </w:trPr>
        <w:tc>
          <w:tcPr>
            <w:tcW w:w="1760" w:type="dxa"/>
            <w:vAlign w:val="bottom"/>
            <w:gridSpan w:val="2"/>
          </w:tcPr>
          <w:p>
            <w:pPr>
              <w:ind w:left="20"/>
              <w:spacing w:after="0"/>
              <w:rPr>
                <w:sz w:val="20"/>
                <w:szCs w:val="20"/>
                <w:color w:val="auto"/>
              </w:rPr>
            </w:pPr>
            <w:r>
              <w:rPr>
                <w:rFonts w:ascii="Arial" w:cs="Arial" w:eastAsia="Arial" w:hAnsi="Arial"/>
                <w:sz w:val="9"/>
                <w:szCs w:val="9"/>
                <w:color w:val="auto"/>
              </w:rPr>
              <w:t>(in thousands)</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center"/>
              <w:ind w:left="589"/>
              <w:spacing w:after="0"/>
              <w:rPr>
                <w:sz w:val="20"/>
                <w:szCs w:val="20"/>
                <w:color w:val="auto"/>
              </w:rPr>
            </w:pPr>
            <w:r>
              <w:rPr>
                <w:rFonts w:ascii="Arial" w:cs="Arial" w:eastAsia="Arial" w:hAnsi="Arial"/>
                <w:sz w:val="9"/>
                <w:szCs w:val="9"/>
                <w:b w:val="1"/>
                <w:bCs w:val="1"/>
                <w:color w:val="auto"/>
                <w:w w:val="99"/>
              </w:rPr>
              <w:t>for Impairment:</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9"/>
                <w:szCs w:val="9"/>
                <w:b w:val="1"/>
                <w:bCs w:val="1"/>
                <w:color w:val="auto"/>
                <w:w w:val="99"/>
              </w:rPr>
              <w:t>for Impairment:</w:t>
            </w:r>
          </w:p>
        </w:tc>
        <w:tc>
          <w:tcPr>
            <w:tcW w:w="0" w:type="dxa"/>
            <w:vAlign w:val="bottom"/>
          </w:tcPr>
          <w:p>
            <w:pPr>
              <w:spacing w:after="0"/>
              <w:rPr>
                <w:sz w:val="1"/>
                <w:szCs w:val="1"/>
                <w:color w:val="auto"/>
              </w:rPr>
            </w:pPr>
          </w:p>
        </w:tc>
      </w:tr>
      <w:tr>
        <w:trPr>
          <w:trHeight w:val="123"/>
        </w:trPr>
        <w:tc>
          <w:tcPr>
            <w:tcW w:w="16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December 31, 2021</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Arial" w:cs="Arial" w:eastAsia="Arial" w:hAnsi="Arial"/>
                <w:sz w:val="9"/>
                <w:szCs w:val="9"/>
                <w:b w:val="1"/>
                <w:bCs w:val="1"/>
                <w:color w:val="auto"/>
              </w:rPr>
              <w:t>Beginning</w:t>
            </w:r>
          </w:p>
        </w:tc>
        <w:tc>
          <w:tcPr>
            <w:tcW w:w="14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9"/>
                <w:szCs w:val="9"/>
                <w:b w:val="1"/>
                <w:bCs w:val="1"/>
                <w:color w:val="auto"/>
              </w:rPr>
              <w:t>Provision for</w:t>
            </w:r>
          </w:p>
        </w:tc>
        <w:tc>
          <w:tcPr>
            <w:tcW w:w="100" w:type="dxa"/>
            <w:vAlign w:val="bottom"/>
          </w:tcPr>
          <w:p>
            <w:pPr>
              <w:spacing w:after="0"/>
              <w:rPr>
                <w:sz w:val="10"/>
                <w:szCs w:val="10"/>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9"/>
                <w:szCs w:val="9"/>
                <w:b w:val="1"/>
                <w:bCs w:val="1"/>
                <w:color w:val="auto"/>
                <w:w w:val="99"/>
              </w:rPr>
              <w:t>Charge-Offs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9"/>
                <w:szCs w:val="9"/>
                <w:b w:val="1"/>
                <w:bCs w:val="1"/>
                <w:color w:val="auto"/>
              </w:rPr>
              <w:t>Recoveries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Ending</w:t>
            </w:r>
          </w:p>
        </w:tc>
        <w:tc>
          <w:tcPr>
            <w:tcW w:w="180" w:type="dxa"/>
            <w:vAlign w:val="bottom"/>
          </w:tcPr>
          <w:p>
            <w:pPr>
              <w:spacing w:after="0"/>
              <w:rPr>
                <w:sz w:val="10"/>
                <w:szCs w:val="10"/>
                <w:color w:val="auto"/>
              </w:rPr>
            </w:pPr>
          </w:p>
        </w:tc>
        <w:tc>
          <w:tcPr>
            <w:tcW w:w="940" w:type="dxa"/>
            <w:vAlign w:val="bottom"/>
            <w:vMerge w:val="restart"/>
          </w:tcPr>
          <w:p>
            <w:pPr>
              <w:jc w:val="right"/>
              <w:ind w:right="269"/>
              <w:spacing w:after="0"/>
              <w:rPr>
                <w:sz w:val="20"/>
                <w:szCs w:val="20"/>
                <w:color w:val="auto"/>
              </w:rPr>
            </w:pPr>
            <w:r>
              <w:rPr>
                <w:rFonts w:ascii="Arial" w:cs="Arial" w:eastAsia="Arial" w:hAnsi="Arial"/>
                <w:sz w:val="9"/>
                <w:szCs w:val="9"/>
                <w:b w:val="1"/>
                <w:bCs w:val="1"/>
                <w:color w:val="auto"/>
              </w:rPr>
              <w:t>Individually</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restart"/>
          </w:tcPr>
          <w:p>
            <w:pPr>
              <w:jc w:val="right"/>
              <w:ind w:right="248"/>
              <w:spacing w:after="0"/>
              <w:rPr>
                <w:sz w:val="20"/>
                <w:szCs w:val="20"/>
                <w:color w:val="auto"/>
              </w:rPr>
            </w:pPr>
            <w:r>
              <w:rPr>
                <w:rFonts w:ascii="Arial" w:cs="Arial" w:eastAsia="Arial" w:hAnsi="Arial"/>
                <w:sz w:val="9"/>
                <w:szCs w:val="9"/>
                <w:b w:val="1"/>
                <w:bCs w:val="1"/>
                <w:color w:val="auto"/>
                <w:w w:val="99"/>
              </w:rPr>
              <w:t>Collectively</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89"/>
              <w:spacing w:after="0"/>
              <w:rPr>
                <w:sz w:val="20"/>
                <w:szCs w:val="20"/>
                <w:color w:val="auto"/>
              </w:rPr>
            </w:pPr>
            <w:r>
              <w:rPr>
                <w:rFonts w:ascii="Arial" w:cs="Arial" w:eastAsia="Arial" w:hAnsi="Arial"/>
                <w:sz w:val="9"/>
                <w:szCs w:val="9"/>
                <w:b w:val="1"/>
                <w:bCs w:val="1"/>
                <w:color w:val="auto"/>
              </w:rPr>
              <w:t>Individually</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9"/>
                <w:szCs w:val="9"/>
                <w:b w:val="1"/>
                <w:bCs w:val="1"/>
                <w:color w:val="auto"/>
              </w:rPr>
              <w:t>Collectively</w:t>
            </w:r>
          </w:p>
        </w:tc>
        <w:tc>
          <w:tcPr>
            <w:tcW w:w="0" w:type="dxa"/>
            <w:vAlign w:val="bottom"/>
          </w:tcPr>
          <w:p>
            <w:pPr>
              <w:spacing w:after="0"/>
              <w:rPr>
                <w:sz w:val="1"/>
                <w:szCs w:val="1"/>
                <w:color w:val="auto"/>
              </w:rPr>
            </w:pPr>
          </w:p>
        </w:tc>
      </w:tr>
      <w:tr>
        <w:trPr>
          <w:trHeight w:val="127"/>
        </w:trPr>
        <w:tc>
          <w:tcPr>
            <w:tcW w:w="164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Balance</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Loan Losses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9"/>
                <w:szCs w:val="9"/>
                <w:b w:val="1"/>
                <w:bCs w:val="1"/>
                <w:color w:val="auto"/>
              </w:rPr>
              <w:t>Balance</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60" w:type="dxa"/>
            <w:vAlign w:val="bottom"/>
            <w:gridSpan w:val="2"/>
          </w:tcPr>
          <w:p>
            <w:pPr>
              <w:ind w:left="20"/>
              <w:spacing w:after="0"/>
              <w:rPr>
                <w:sz w:val="20"/>
                <w:szCs w:val="20"/>
                <w:color w:val="auto"/>
              </w:rPr>
            </w:pPr>
            <w:r>
              <w:rPr>
                <w:rFonts w:ascii="Arial" w:cs="Arial" w:eastAsia="Arial" w:hAnsi="Arial"/>
                <w:sz w:val="10"/>
                <w:szCs w:val="10"/>
                <w:color w:val="auto"/>
              </w:rPr>
              <w:t>Real estate: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Residential</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7,153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(1,541)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5,612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300" w:type="dxa"/>
            <w:vAlign w:val="bottom"/>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5,612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2,835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398,772</w:t>
            </w:r>
          </w:p>
        </w:tc>
        <w:tc>
          <w:tcPr>
            <w:tcW w:w="0" w:type="dxa"/>
            <w:vAlign w:val="bottom"/>
          </w:tcPr>
          <w:p>
            <w:pPr>
              <w:spacing w:after="0"/>
              <w:rPr>
                <w:sz w:val="1"/>
                <w:szCs w:val="1"/>
                <w:color w:val="auto"/>
              </w:rPr>
            </w:pPr>
          </w:p>
        </w:tc>
      </w:tr>
      <w:tr>
        <w:trPr>
          <w:trHeight w:val="141"/>
        </w:trPr>
        <w:tc>
          <w:tcPr>
            <w:tcW w:w="1760" w:type="dxa"/>
            <w:vAlign w:val="bottom"/>
            <w:gridSpan w:val="2"/>
          </w:tcPr>
          <w:p>
            <w:pPr>
              <w:ind w:left="120"/>
              <w:spacing w:after="0"/>
              <w:rPr>
                <w:sz w:val="20"/>
                <w:szCs w:val="20"/>
                <w:color w:val="auto"/>
              </w:rPr>
            </w:pPr>
            <w:r>
              <w:rPr>
                <w:rFonts w:ascii="Arial" w:cs="Arial" w:eastAsia="Arial" w:hAnsi="Arial"/>
                <w:sz w:val="10"/>
                <w:szCs w:val="10"/>
                <w:color w:val="auto"/>
              </w:rPr>
              <w:t>Commercial</w:t>
            </w:r>
          </w:p>
        </w:tc>
        <w:tc>
          <w:tcPr>
            <w:tcW w:w="160" w:type="dxa"/>
            <w:vAlign w:val="bottom"/>
          </w:tcPr>
          <w:p>
            <w:pPr>
              <w:spacing w:after="0"/>
              <w:rPr>
                <w:sz w:val="12"/>
                <w:szCs w:val="12"/>
                <w:color w:val="auto"/>
              </w:rPr>
            </w:pPr>
          </w:p>
        </w:tc>
        <w:tc>
          <w:tcPr>
            <w:tcW w:w="780" w:type="dxa"/>
            <w:vAlign w:val="bottom"/>
          </w:tcPr>
          <w:p>
            <w:pPr>
              <w:jc w:val="right"/>
              <w:ind w:right="9"/>
              <w:spacing w:after="0"/>
              <w:rPr>
                <w:sz w:val="20"/>
                <w:szCs w:val="20"/>
                <w:color w:val="auto"/>
              </w:rPr>
            </w:pPr>
            <w:r>
              <w:rPr>
                <w:rFonts w:ascii="Arial" w:cs="Arial" w:eastAsia="Arial" w:hAnsi="Arial"/>
                <w:sz w:val="10"/>
                <w:szCs w:val="10"/>
                <w:b w:val="1"/>
                <w:bCs w:val="1"/>
                <w:color w:val="auto"/>
              </w:rPr>
              <w:t>6,786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1,941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(161)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2"/>
                <w:szCs w:val="12"/>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b w:val="1"/>
                <w:bCs w:val="1"/>
                <w:color w:val="auto"/>
              </w:rPr>
              <w:t>8,566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8,566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b w:val="1"/>
                <w:bCs w:val="1"/>
                <w:color w:val="auto"/>
              </w:rPr>
              <w:t>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b w:val="1"/>
                <w:bCs w:val="1"/>
                <w:color w:val="auto"/>
              </w:rPr>
              <w:t>556,314</w:t>
            </w:r>
          </w:p>
        </w:tc>
        <w:tc>
          <w:tcPr>
            <w:tcW w:w="0" w:type="dxa"/>
            <w:vAlign w:val="bottom"/>
          </w:tcPr>
          <w:p>
            <w:pPr>
              <w:spacing w:after="0"/>
              <w:rPr>
                <w:sz w:val="1"/>
                <w:szCs w:val="1"/>
                <w:color w:val="auto"/>
              </w:rPr>
            </w:pPr>
          </w:p>
        </w:tc>
      </w:tr>
      <w:tr>
        <w:trPr>
          <w:trHeight w:val="150"/>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Construction</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4,595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4,699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4,699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7,803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247,344</w:t>
            </w:r>
          </w:p>
        </w:tc>
        <w:tc>
          <w:tcPr>
            <w:tcW w:w="0" w:type="dxa"/>
            <w:vAlign w:val="bottom"/>
          </w:tcPr>
          <w:p>
            <w:pPr>
              <w:spacing w:after="0"/>
              <w:rPr>
                <w:sz w:val="1"/>
                <w:szCs w:val="1"/>
                <w:color w:val="auto"/>
              </w:rPr>
            </w:pPr>
          </w:p>
        </w:tc>
      </w:tr>
      <w:tr>
        <w:trPr>
          <w:trHeight w:val="141"/>
        </w:trPr>
        <w:tc>
          <w:tcPr>
            <w:tcW w:w="1760" w:type="dxa"/>
            <w:vAlign w:val="bottom"/>
            <w:gridSpan w:val="2"/>
          </w:tcPr>
          <w:p>
            <w:pPr>
              <w:ind w:left="20"/>
              <w:spacing w:after="0"/>
              <w:rPr>
                <w:sz w:val="20"/>
                <w:szCs w:val="20"/>
                <w:color w:val="auto"/>
              </w:rPr>
            </w:pPr>
            <w:r>
              <w:rPr>
                <w:rFonts w:ascii="Arial" w:cs="Arial" w:eastAsia="Arial" w:hAnsi="Arial"/>
                <w:sz w:val="10"/>
                <w:szCs w:val="10"/>
                <w:color w:val="auto"/>
              </w:rPr>
              <w:t>Commercial</w:t>
            </w:r>
          </w:p>
        </w:tc>
        <w:tc>
          <w:tcPr>
            <w:tcW w:w="160" w:type="dxa"/>
            <w:vAlign w:val="bottom"/>
          </w:tcPr>
          <w:p>
            <w:pPr>
              <w:spacing w:after="0"/>
              <w:rPr>
                <w:sz w:val="12"/>
                <w:szCs w:val="12"/>
                <w:color w:val="auto"/>
              </w:rPr>
            </w:pPr>
          </w:p>
        </w:tc>
        <w:tc>
          <w:tcPr>
            <w:tcW w:w="780" w:type="dxa"/>
            <w:vAlign w:val="bottom"/>
          </w:tcPr>
          <w:p>
            <w:pPr>
              <w:jc w:val="right"/>
              <w:ind w:right="9"/>
              <w:spacing w:after="0"/>
              <w:rPr>
                <w:sz w:val="20"/>
                <w:szCs w:val="20"/>
                <w:color w:val="auto"/>
              </w:rPr>
            </w:pPr>
            <w:r>
              <w:rPr>
                <w:rFonts w:ascii="Arial" w:cs="Arial" w:eastAsia="Arial" w:hAnsi="Arial"/>
                <w:sz w:val="10"/>
                <w:szCs w:val="10"/>
                <w:b w:val="1"/>
                <w:bCs w:val="1"/>
                <w:color w:val="auto"/>
              </w:rPr>
              <w:t>2,417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253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b w:val="1"/>
                <w:bCs w:val="1"/>
                <w:color w:val="auto"/>
              </w:rPr>
              <w:t>2,637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218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2,419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b w:val="1"/>
                <w:bCs w:val="1"/>
                <w:color w:val="auto"/>
              </w:rPr>
              <w:t>676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b w:val="1"/>
                <w:bCs w:val="1"/>
                <w:color w:val="auto"/>
              </w:rPr>
              <w:t>175,280</w:t>
            </w:r>
          </w:p>
        </w:tc>
        <w:tc>
          <w:tcPr>
            <w:tcW w:w="0" w:type="dxa"/>
            <w:vAlign w:val="bottom"/>
          </w:tcPr>
          <w:p>
            <w:pPr>
              <w:spacing w:after="0"/>
              <w:rPr>
                <w:sz w:val="1"/>
                <w:szCs w:val="1"/>
                <w:color w:val="auto"/>
              </w:rPr>
            </w:pPr>
          </w:p>
        </w:tc>
      </w:tr>
      <w:tr>
        <w:trPr>
          <w:trHeight w:val="15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Credit card </w:t>
            </w:r>
            <w:r>
              <w:rPr>
                <w:rFonts w:ascii="Arial" w:cs="Arial" w:eastAsia="Arial" w:hAnsi="Arial"/>
                <w:sz w:val="13"/>
                <w:szCs w:val="13"/>
                <w:color w:val="auto"/>
                <w:vertAlign w:val="superscript"/>
              </w:rPr>
              <w:t>(1)</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2,462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2,612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(1,454)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3,655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3,655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b w:val="1"/>
                <w:bCs w:val="1"/>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141,120</w:t>
            </w:r>
          </w:p>
        </w:tc>
        <w:tc>
          <w:tcPr>
            <w:tcW w:w="0" w:type="dxa"/>
            <w:vAlign w:val="bottom"/>
          </w:tcPr>
          <w:p>
            <w:pPr>
              <w:spacing w:after="0"/>
              <w:rPr>
                <w:sz w:val="1"/>
                <w:szCs w:val="1"/>
                <w:color w:val="auto"/>
              </w:rPr>
            </w:pPr>
          </w:p>
        </w:tc>
      </w:tr>
      <w:tr>
        <w:trPr>
          <w:trHeight w:val="141"/>
        </w:trPr>
        <w:tc>
          <w:tcPr>
            <w:tcW w:w="1760" w:type="dxa"/>
            <w:vAlign w:val="bottom"/>
            <w:gridSpan w:val="2"/>
          </w:tcPr>
          <w:p>
            <w:pPr>
              <w:ind w:left="20"/>
              <w:spacing w:after="0"/>
              <w:rPr>
                <w:sz w:val="20"/>
                <w:szCs w:val="20"/>
                <w:color w:val="auto"/>
              </w:rPr>
            </w:pPr>
            <w:r>
              <w:rPr>
                <w:rFonts w:ascii="Arial" w:cs="Arial" w:eastAsia="Arial" w:hAnsi="Arial"/>
                <w:sz w:val="10"/>
                <w:szCs w:val="10"/>
                <w:color w:val="auto"/>
              </w:rPr>
              <w:t>Other consumer</w:t>
            </w:r>
          </w:p>
        </w:tc>
        <w:tc>
          <w:tcPr>
            <w:tcW w:w="160" w:type="dxa"/>
            <w:vAlign w:val="bottom"/>
          </w:tcPr>
          <w:p>
            <w:pPr>
              <w:spacing w:after="0"/>
              <w:rPr>
                <w:sz w:val="12"/>
                <w:szCs w:val="12"/>
                <w:color w:val="auto"/>
              </w:rPr>
            </w:pPr>
          </w:p>
        </w:tc>
        <w:tc>
          <w:tcPr>
            <w:tcW w:w="780" w:type="dxa"/>
            <w:vAlign w:val="bottom"/>
          </w:tcPr>
          <w:p>
            <w:pPr>
              <w:jc w:val="right"/>
              <w:ind w:right="9"/>
              <w:spacing w:after="0"/>
              <w:rPr>
                <w:sz w:val="20"/>
                <w:szCs w:val="20"/>
                <w:color w:val="auto"/>
              </w:rPr>
            </w:pPr>
            <w:r>
              <w:rPr>
                <w:rFonts w:ascii="Arial" w:cs="Arial" w:eastAsia="Arial" w:hAnsi="Arial"/>
                <w:sz w:val="10"/>
                <w:szCs w:val="10"/>
                <w:b w:val="1"/>
                <w:bCs w:val="1"/>
                <w:color w:val="auto"/>
              </w:rPr>
              <w:t>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2"/>
                <w:szCs w:val="12"/>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b w:val="1"/>
                <w:bCs w:val="1"/>
                <w:color w:val="auto"/>
              </w:rPr>
              <w:t>12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b w:val="1"/>
                <w:bCs w:val="1"/>
                <w:color w:val="auto"/>
              </w:rPr>
              <w:t>1,033</w:t>
            </w:r>
          </w:p>
        </w:tc>
        <w:tc>
          <w:tcPr>
            <w:tcW w:w="0" w:type="dxa"/>
            <w:vAlign w:val="bottom"/>
          </w:tcPr>
          <w:p>
            <w:pPr>
              <w:spacing w:after="0"/>
              <w:rPr>
                <w:sz w:val="1"/>
                <w:szCs w:val="1"/>
                <w:color w:val="auto"/>
              </w:rPr>
            </w:pPr>
          </w:p>
        </w:tc>
      </w:tr>
      <w:tr>
        <w:trPr>
          <w:trHeight w:val="162"/>
        </w:trPr>
        <w:tc>
          <w:tcPr>
            <w:tcW w:w="1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23,434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3,359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(1,654)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25,181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218</w:t>
            </w:r>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24,963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11,339</w:t>
            </w:r>
          </w:p>
        </w:tc>
        <w:tc>
          <w:tcPr>
            <w:tcW w:w="120" w:type="dxa"/>
            <w:vAlign w:val="bottom"/>
            <w:tcBorders>
              <w:top w:val="single" w:sz="8" w:color="CCEEFF"/>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1,519,863</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2020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60" w:type="dxa"/>
            <w:vAlign w:val="bottom"/>
            <w:gridSpan w:val="2"/>
          </w:tcPr>
          <w:p>
            <w:pPr>
              <w:ind w:left="20"/>
              <w:spacing w:after="0"/>
              <w:rPr>
                <w:sz w:val="20"/>
                <w:szCs w:val="20"/>
                <w:color w:val="auto"/>
              </w:rPr>
            </w:pPr>
            <w:r>
              <w:rPr>
                <w:rFonts w:ascii="Arial" w:cs="Arial" w:eastAsia="Arial" w:hAnsi="Arial"/>
                <w:sz w:val="10"/>
                <w:szCs w:val="10"/>
                <w:color w:val="auto"/>
              </w:rPr>
              <w:t>Real estate: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Residential</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4,135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7,153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4,687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433,173</w:t>
            </w:r>
          </w:p>
        </w:tc>
        <w:tc>
          <w:tcPr>
            <w:tcW w:w="0" w:type="dxa"/>
            <w:vAlign w:val="bottom"/>
          </w:tcPr>
          <w:p>
            <w:pPr>
              <w:spacing w:after="0"/>
              <w:rPr>
                <w:sz w:val="1"/>
                <w:szCs w:val="1"/>
                <w:color w:val="auto"/>
              </w:rPr>
            </w:pPr>
          </w:p>
        </w:tc>
      </w:tr>
      <w:tr>
        <w:trPr>
          <w:trHeight w:val="138"/>
        </w:trPr>
        <w:tc>
          <w:tcPr>
            <w:tcW w:w="1760" w:type="dxa"/>
            <w:vAlign w:val="bottom"/>
            <w:gridSpan w:val="2"/>
          </w:tcPr>
          <w:p>
            <w:pPr>
              <w:ind w:left="120"/>
              <w:spacing w:after="0"/>
              <w:rPr>
                <w:sz w:val="20"/>
                <w:szCs w:val="20"/>
                <w:color w:val="auto"/>
              </w:rPr>
            </w:pPr>
            <w:r>
              <w:rPr>
                <w:rFonts w:ascii="Arial" w:cs="Arial" w:eastAsia="Arial" w:hAnsi="Arial"/>
                <w:sz w:val="10"/>
                <w:szCs w:val="10"/>
                <w:color w:val="auto"/>
              </w:rPr>
              <w:t>Commercial</w:t>
            </w:r>
          </w:p>
        </w:tc>
        <w:tc>
          <w:tcPr>
            <w:tcW w:w="160" w:type="dxa"/>
            <w:vAlign w:val="bottom"/>
          </w:tcPr>
          <w:p>
            <w:pPr>
              <w:spacing w:after="0"/>
              <w:rPr>
                <w:sz w:val="12"/>
                <w:szCs w:val="12"/>
                <w:color w:val="auto"/>
              </w:rPr>
            </w:pPr>
          </w:p>
        </w:tc>
        <w:tc>
          <w:tcPr>
            <w:tcW w:w="780" w:type="dxa"/>
            <w:vAlign w:val="bottom"/>
          </w:tcPr>
          <w:p>
            <w:pPr>
              <w:jc w:val="right"/>
              <w:ind w:right="9"/>
              <w:spacing w:after="0"/>
              <w:rPr>
                <w:sz w:val="20"/>
                <w:szCs w:val="20"/>
                <w:color w:val="auto"/>
              </w:rPr>
            </w:pPr>
            <w:r>
              <w:rPr>
                <w:rFonts w:ascii="Arial" w:cs="Arial" w:eastAsia="Arial" w:hAnsi="Arial"/>
                <w:sz w:val="10"/>
                <w:szCs w:val="10"/>
                <w:color w:val="auto"/>
              </w:rPr>
              <w:t>3,572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3,214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6,786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6,786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2,358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color w:val="auto"/>
              </w:rPr>
              <w:t>390,192</w:t>
            </w:r>
          </w:p>
        </w:tc>
        <w:tc>
          <w:tcPr>
            <w:tcW w:w="0" w:type="dxa"/>
            <w:vAlign w:val="bottom"/>
          </w:tcPr>
          <w:p>
            <w:pPr>
              <w:spacing w:after="0"/>
              <w:rPr>
                <w:sz w:val="1"/>
                <w:szCs w:val="1"/>
                <w:color w:val="auto"/>
              </w:rPr>
            </w:pPr>
          </w:p>
        </w:tc>
      </w:tr>
      <w:tr>
        <w:trPr>
          <w:trHeight w:val="153"/>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Construction</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2,668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2,216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4,595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4,595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1,736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223,168</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rPr>
                <w:sz w:val="20"/>
                <w:szCs w:val="20"/>
                <w:color w:val="auto"/>
              </w:rPr>
            </w:pPr>
            <w:r>
              <w:rPr>
                <w:rFonts w:ascii="Arial" w:cs="Arial" w:eastAsia="Arial" w:hAnsi="Arial"/>
                <w:sz w:val="10"/>
                <w:szCs w:val="10"/>
                <w:color w:val="auto"/>
              </w:rPr>
              <w:t>Commercial</w:t>
            </w:r>
          </w:p>
        </w:tc>
        <w:tc>
          <w:tcPr>
            <w:tcW w:w="160" w:type="dxa"/>
            <w:vAlign w:val="bottom"/>
          </w:tcPr>
          <w:p>
            <w:pPr>
              <w:spacing w:after="0"/>
              <w:rPr>
                <w:sz w:val="12"/>
                <w:szCs w:val="12"/>
                <w:color w:val="auto"/>
              </w:rPr>
            </w:pPr>
          </w:p>
        </w:tc>
        <w:tc>
          <w:tcPr>
            <w:tcW w:w="780" w:type="dxa"/>
            <w:vAlign w:val="bottom"/>
          </w:tcPr>
          <w:p>
            <w:pPr>
              <w:jc w:val="right"/>
              <w:ind w:right="9"/>
              <w:spacing w:after="0"/>
              <w:rPr>
                <w:sz w:val="20"/>
                <w:szCs w:val="20"/>
                <w:color w:val="auto"/>
              </w:rPr>
            </w:pPr>
            <w:r>
              <w:rPr>
                <w:rFonts w:ascii="Arial" w:cs="Arial" w:eastAsia="Arial" w:hAnsi="Arial"/>
                <w:sz w:val="10"/>
                <w:szCs w:val="10"/>
                <w:color w:val="auto"/>
              </w:rPr>
              <w:t>1,548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(233)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2,417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253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2,164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1,182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color w:val="auto"/>
              </w:rPr>
              <w:t>155,945</w:t>
            </w:r>
          </w:p>
        </w:tc>
        <w:tc>
          <w:tcPr>
            <w:tcW w:w="0" w:type="dxa"/>
            <w:vAlign w:val="bottom"/>
          </w:tcPr>
          <w:p>
            <w:pPr>
              <w:spacing w:after="0"/>
              <w:rPr>
                <w:sz w:val="1"/>
                <w:szCs w:val="1"/>
                <w:color w:val="auto"/>
              </w:rPr>
            </w:pPr>
          </w:p>
        </w:tc>
      </w:tr>
      <w:tr>
        <w:trPr>
          <w:trHeight w:val="153"/>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Credit card </w:t>
            </w:r>
            <w:r>
              <w:rPr>
                <w:rFonts w:ascii="Arial" w:cs="Arial" w:eastAsia="Arial" w:hAnsi="Arial"/>
                <w:sz w:val="13"/>
                <w:szCs w:val="13"/>
                <w:color w:val="auto"/>
                <w:vertAlign w:val="superscript"/>
              </w:rPr>
              <w:t>(1)</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1,368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1,681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2,462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102,186</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rPr>
                <w:sz w:val="20"/>
                <w:szCs w:val="20"/>
                <w:color w:val="auto"/>
              </w:rPr>
            </w:pPr>
            <w:r>
              <w:rPr>
                <w:rFonts w:ascii="Arial" w:cs="Arial" w:eastAsia="Arial" w:hAnsi="Arial"/>
                <w:sz w:val="10"/>
                <w:szCs w:val="10"/>
                <w:color w:val="auto"/>
              </w:rPr>
              <w:t>Other consumer</w:t>
            </w:r>
          </w:p>
        </w:tc>
        <w:tc>
          <w:tcPr>
            <w:tcW w:w="160" w:type="dxa"/>
            <w:vAlign w:val="bottom"/>
          </w:tcPr>
          <w:p>
            <w:pPr>
              <w:spacing w:after="0"/>
              <w:rPr>
                <w:sz w:val="12"/>
                <w:szCs w:val="12"/>
                <w:color w:val="auto"/>
              </w:rPr>
            </w:pPr>
          </w:p>
        </w:tc>
        <w:tc>
          <w:tcPr>
            <w:tcW w:w="780" w:type="dxa"/>
            <w:vAlign w:val="bottom"/>
          </w:tcPr>
          <w:p>
            <w:pPr>
              <w:jc w:val="right"/>
              <w:ind w:right="9"/>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color w:val="auto"/>
              </w:rPr>
              <w:t>1,649</w:t>
            </w:r>
          </w:p>
        </w:tc>
        <w:tc>
          <w:tcPr>
            <w:tcW w:w="0" w:type="dxa"/>
            <w:vAlign w:val="bottom"/>
          </w:tcPr>
          <w:p>
            <w:pPr>
              <w:spacing w:after="0"/>
              <w:rPr>
                <w:sz w:val="1"/>
                <w:szCs w:val="1"/>
                <w:color w:val="auto"/>
              </w:rPr>
            </w:pPr>
          </w:p>
        </w:tc>
      </w:tr>
      <w:tr>
        <w:trPr>
          <w:trHeight w:val="162"/>
        </w:trPr>
        <w:tc>
          <w:tcPr>
            <w:tcW w:w="16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13,301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11,242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23,434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253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23,181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9,963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1,306,313</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spacing w:after="0" w:line="175" w:lineRule="exact"/>
        <w:rPr>
          <w:sz w:val="20"/>
          <w:szCs w:val="20"/>
          <w:color w:val="auto"/>
        </w:rPr>
      </w:pPr>
    </w:p>
    <w:p>
      <w:pPr>
        <w:ind w:left="400" w:hanging="122"/>
        <w:spacing w:after="0"/>
        <w:tabs>
          <w:tab w:leader="none" w:pos="400" w:val="left"/>
        </w:tabs>
        <w:numPr>
          <w:ilvl w:val="0"/>
          <w:numId w:val="20"/>
        </w:numPr>
        <w:rPr>
          <w:rFonts w:ascii="Arial" w:cs="Arial" w:eastAsia="Arial" w:hAnsi="Arial"/>
          <w:sz w:val="8"/>
          <w:szCs w:val="8"/>
          <w:color w:val="auto"/>
        </w:rPr>
      </w:pPr>
      <w:r>
        <w:rPr>
          <w:rFonts w:ascii="Arial" w:cs="Arial" w:eastAsia="Arial" w:hAnsi="Arial"/>
          <w:sz w:val="12"/>
          <w:szCs w:val="12"/>
          <w:color w:val="auto"/>
        </w:rPr>
        <w:t>Credit cards loans are collectively evaluated by past due status and as such are not individually risk 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76" w:name="page77"/>
    <w:bookmarkEnd w:id="76"/>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Portfolio Loans Receivable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Past due portfolio loans, segregated by delinquency and class of loans, as of December 31, 2021 and 2020 were as follows:</w:t>
      </w:r>
    </w:p>
    <w:p>
      <w:pPr>
        <w:spacing w:after="0" w:line="239" w:lineRule="exact"/>
        <w:rPr>
          <w:sz w:val="20"/>
          <w:szCs w:val="20"/>
          <w:color w:val="auto"/>
        </w:rPr>
      </w:pPr>
    </w:p>
    <w:tbl>
      <w:tblPr>
        <w:tblLayout w:type="fixed"/>
        <w:tblInd w:w="280" w:type="dxa"/>
        <w:tblCellMar>
          <w:top w:w="0" w:type="dxa"/>
          <w:left w:w="0" w:type="dxa"/>
          <w:bottom w:w="0" w:type="dxa"/>
          <w:right w:w="0" w:type="dxa"/>
        </w:tblCellMar>
      </w:tblPr>
      <w:tr>
        <w:trPr>
          <w:trHeight w:val="115"/>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gridSpan w:val="2"/>
          </w:tcPr>
          <w:p>
            <w:pPr>
              <w:ind w:left="220"/>
              <w:spacing w:after="0"/>
              <w:rPr>
                <w:sz w:val="20"/>
                <w:szCs w:val="20"/>
                <w:color w:val="auto"/>
              </w:rPr>
            </w:pPr>
            <w:r>
              <w:rPr>
                <w:rFonts w:ascii="Arial" w:cs="Arial" w:eastAsia="Arial" w:hAnsi="Arial"/>
                <w:sz w:val="10"/>
                <w:szCs w:val="10"/>
                <w:b w:val="1"/>
                <w:bCs w:val="1"/>
                <w:color w:val="auto"/>
              </w:rPr>
              <w:t>Loans</w:t>
            </w: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ind w:left="460"/>
              <w:spacing w:after="0"/>
              <w:rPr>
                <w:sz w:val="20"/>
                <w:szCs w:val="20"/>
                <w:color w:val="auto"/>
              </w:rPr>
            </w:pPr>
            <w:r>
              <w:rPr>
                <w:rFonts w:ascii="Arial" w:cs="Arial" w:eastAsia="Arial" w:hAnsi="Arial"/>
                <w:sz w:val="10"/>
                <w:szCs w:val="10"/>
                <w:b w:val="1"/>
                <w:bCs w:val="1"/>
                <w:color w:val="auto"/>
              </w:rPr>
              <w:t>Accruing</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00" w:type="dxa"/>
            <w:vAlign w:val="bottom"/>
            <w:gridSpan w:val="2"/>
          </w:tcPr>
          <w:p>
            <w:pPr>
              <w:ind w:left="280"/>
              <w:spacing w:after="0"/>
              <w:rPr>
                <w:sz w:val="20"/>
                <w:szCs w:val="20"/>
                <w:color w:val="auto"/>
              </w:rPr>
            </w:pPr>
            <w:r>
              <w:rPr>
                <w:rFonts w:ascii="Arial" w:cs="Arial" w:eastAsia="Arial" w:hAnsi="Arial"/>
                <w:sz w:val="9"/>
                <w:szCs w:val="9"/>
                <w:color w:val="auto"/>
              </w:rPr>
              <w:t>(in thousands)</w:t>
            </w:r>
          </w:p>
        </w:tc>
        <w:tc>
          <w:tcPr>
            <w:tcW w:w="340" w:type="dxa"/>
            <w:vAlign w:val="bottom"/>
          </w:tcPr>
          <w:p>
            <w:pPr>
              <w:spacing w:after="0"/>
              <w:rPr>
                <w:sz w:val="10"/>
                <w:szCs w:val="10"/>
                <w:color w:val="auto"/>
              </w:rPr>
            </w:pPr>
          </w:p>
        </w:tc>
        <w:tc>
          <w:tcPr>
            <w:tcW w:w="940" w:type="dxa"/>
            <w:vAlign w:val="bottom"/>
            <w:gridSpan w:val="2"/>
          </w:tcPr>
          <w:p>
            <w:pPr>
              <w:ind w:left="220"/>
              <w:spacing w:after="0"/>
              <w:rPr>
                <w:sz w:val="20"/>
                <w:szCs w:val="20"/>
                <w:color w:val="auto"/>
              </w:rPr>
            </w:pPr>
            <w:r>
              <w:rPr>
                <w:rFonts w:ascii="Arial" w:cs="Arial" w:eastAsia="Arial" w:hAnsi="Arial"/>
                <w:sz w:val="10"/>
                <w:szCs w:val="10"/>
                <w:b w:val="1"/>
                <w:bCs w:val="1"/>
                <w:color w:val="auto"/>
              </w:rPr>
              <w:t>Loans</w:t>
            </w:r>
          </w:p>
        </w:tc>
        <w:tc>
          <w:tcPr>
            <w:tcW w:w="12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90 or More</w:t>
            </w:r>
          </w:p>
        </w:tc>
        <w:tc>
          <w:tcPr>
            <w:tcW w:w="360" w:type="dxa"/>
            <w:vAlign w:val="bottom"/>
          </w:tcPr>
          <w:p>
            <w:pPr>
              <w:spacing w:after="0"/>
              <w:rPr>
                <w:sz w:val="10"/>
                <w:szCs w:val="10"/>
                <w:color w:val="auto"/>
              </w:rPr>
            </w:pPr>
          </w:p>
        </w:tc>
        <w:tc>
          <w:tcPr>
            <w:tcW w:w="940" w:type="dxa"/>
            <w:vAlign w:val="bottom"/>
            <w:gridSpan w:val="2"/>
          </w:tcPr>
          <w:p>
            <w:pPr>
              <w:ind w:left="260"/>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Current</w:t>
            </w:r>
          </w:p>
        </w:tc>
        <w:tc>
          <w:tcPr>
            <w:tcW w:w="440" w:type="dxa"/>
            <w:vAlign w:val="bottom"/>
          </w:tcPr>
          <w:p>
            <w:pPr>
              <w:spacing w:after="0"/>
              <w:rPr>
                <w:sz w:val="10"/>
                <w:szCs w:val="10"/>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Total</w:t>
            </w:r>
          </w:p>
        </w:tc>
        <w:tc>
          <w:tcPr>
            <w:tcW w:w="880" w:type="dxa"/>
            <w:vAlign w:val="bottom"/>
          </w:tcPr>
          <w:p>
            <w:pPr>
              <w:ind w:left="260"/>
              <w:spacing w:after="0"/>
              <w:rPr>
                <w:sz w:val="20"/>
                <w:szCs w:val="20"/>
                <w:color w:val="auto"/>
              </w:rPr>
            </w:pPr>
            <w:r>
              <w:rPr>
                <w:rFonts w:ascii="Arial" w:cs="Arial" w:eastAsia="Arial" w:hAnsi="Arial"/>
                <w:sz w:val="10"/>
                <w:szCs w:val="10"/>
                <w:b w:val="1"/>
                <w:bCs w:val="1"/>
                <w:color w:val="auto"/>
              </w:rPr>
              <w:t>Loans 90 or</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Nonaccrual</w:t>
            </w:r>
          </w:p>
        </w:tc>
        <w:tc>
          <w:tcPr>
            <w:tcW w:w="0" w:type="dxa"/>
            <w:vAlign w:val="bottom"/>
          </w:tcPr>
          <w:p>
            <w:pPr>
              <w:spacing w:after="0"/>
              <w:rPr>
                <w:sz w:val="1"/>
                <w:szCs w:val="1"/>
                <w:color w:val="auto"/>
              </w:rPr>
            </w:pPr>
          </w:p>
        </w:tc>
      </w:tr>
      <w:tr>
        <w:trPr>
          <w:trHeight w:val="78"/>
        </w:trPr>
        <w:tc>
          <w:tcPr>
            <w:tcW w:w="2000" w:type="dxa"/>
            <w:vAlign w:val="bottom"/>
            <w:vMerge w:val="restart"/>
          </w:tcPr>
          <w:p>
            <w:pPr>
              <w:ind w:left="280"/>
              <w:spacing w:after="0"/>
              <w:rPr>
                <w:sz w:val="20"/>
                <w:szCs w:val="20"/>
                <w:color w:val="auto"/>
              </w:rPr>
            </w:pPr>
            <w:r>
              <w:rPr>
                <w:rFonts w:ascii="Arial" w:cs="Arial" w:eastAsia="Arial" w:hAnsi="Arial"/>
                <w:sz w:val="10"/>
                <w:szCs w:val="10"/>
                <w:b w:val="1"/>
                <w:bCs w:val="1"/>
                <w:color w:val="auto"/>
              </w:rPr>
              <w:t>December 31, 2021</w:t>
            </w:r>
          </w:p>
        </w:tc>
        <w:tc>
          <w:tcPr>
            <w:tcW w:w="100" w:type="dxa"/>
            <w:vAlign w:val="bottom"/>
            <w:vMerge w:val="restart"/>
          </w:tcPr>
          <w:p>
            <w:pPr>
              <w:spacing w:after="0"/>
              <w:rPr>
                <w:sz w:val="6"/>
                <w:szCs w:val="6"/>
                <w:color w:val="auto"/>
              </w:rPr>
            </w:pPr>
          </w:p>
        </w:tc>
        <w:tc>
          <w:tcPr>
            <w:tcW w:w="1280" w:type="dxa"/>
            <w:vAlign w:val="bottom"/>
            <w:gridSpan w:val="3"/>
          </w:tcPr>
          <w:p>
            <w:pPr>
              <w:ind w:left="320"/>
              <w:spacing w:after="0" w:line="79" w:lineRule="exact"/>
              <w:rPr>
                <w:sz w:val="20"/>
                <w:szCs w:val="20"/>
                <w:color w:val="auto"/>
              </w:rPr>
            </w:pPr>
            <w:r>
              <w:rPr>
                <w:rFonts w:ascii="Arial" w:cs="Arial" w:eastAsia="Arial" w:hAnsi="Arial"/>
                <w:sz w:val="9"/>
                <w:szCs w:val="9"/>
                <w:b w:val="1"/>
                <w:bCs w:val="1"/>
                <w:color w:val="auto"/>
              </w:rPr>
              <w:t>30-89 Days</w:t>
            </w:r>
          </w:p>
        </w:tc>
        <w:tc>
          <w:tcPr>
            <w:tcW w:w="360" w:type="dxa"/>
            <w:vAlign w:val="bottom"/>
          </w:tcPr>
          <w:p>
            <w:pPr>
              <w:spacing w:after="0"/>
              <w:rPr>
                <w:sz w:val="6"/>
                <w:szCs w:val="6"/>
                <w:color w:val="auto"/>
              </w:rPr>
            </w:pPr>
          </w:p>
        </w:tc>
        <w:tc>
          <w:tcPr>
            <w:tcW w:w="920" w:type="dxa"/>
            <w:vAlign w:val="bottom"/>
            <w:gridSpan w:val="2"/>
          </w:tcPr>
          <w:p>
            <w:pPr>
              <w:jc w:val="center"/>
              <w:ind w:right="460"/>
              <w:spacing w:after="0" w:line="79" w:lineRule="exact"/>
              <w:rPr>
                <w:sz w:val="20"/>
                <w:szCs w:val="20"/>
                <w:color w:val="auto"/>
              </w:rPr>
            </w:pPr>
            <w:r>
              <w:rPr>
                <w:rFonts w:ascii="Arial" w:cs="Arial" w:eastAsia="Arial" w:hAnsi="Arial"/>
                <w:sz w:val="9"/>
                <w:szCs w:val="9"/>
                <w:b w:val="1"/>
                <w:bCs w:val="1"/>
                <w:color w:val="auto"/>
              </w:rPr>
              <w:t>Days</w:t>
            </w:r>
          </w:p>
        </w:tc>
        <w:tc>
          <w:tcPr>
            <w:tcW w:w="360" w:type="dxa"/>
            <w:vAlign w:val="bottom"/>
          </w:tcPr>
          <w:p>
            <w:pPr>
              <w:spacing w:after="0"/>
              <w:rPr>
                <w:sz w:val="6"/>
                <w:szCs w:val="6"/>
                <w:color w:val="auto"/>
              </w:rPr>
            </w:pPr>
          </w:p>
        </w:tc>
        <w:tc>
          <w:tcPr>
            <w:tcW w:w="94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rPr>
              <w:t>Past Due</w:t>
            </w:r>
          </w:p>
        </w:tc>
        <w:tc>
          <w:tcPr>
            <w:tcW w:w="4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80" w:type="dxa"/>
            <w:vAlign w:val="bottom"/>
          </w:tcPr>
          <w:p>
            <w:pPr>
              <w:ind w:left="300"/>
              <w:spacing w:after="0" w:line="79" w:lineRule="exact"/>
              <w:rPr>
                <w:sz w:val="20"/>
                <w:szCs w:val="20"/>
                <w:color w:val="auto"/>
              </w:rPr>
            </w:pPr>
            <w:r>
              <w:rPr>
                <w:rFonts w:ascii="Arial" w:cs="Arial" w:eastAsia="Arial" w:hAnsi="Arial"/>
                <w:sz w:val="9"/>
                <w:szCs w:val="9"/>
                <w:b w:val="1"/>
                <w:bCs w:val="1"/>
                <w:color w:val="auto"/>
              </w:rPr>
              <w:t>More days</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0"/>
                <w:szCs w:val="10"/>
                <w:b w:val="1"/>
                <w:bCs w:val="1"/>
                <w:color w:val="auto"/>
              </w:rPr>
              <w:t>Past Due</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08"/>
              <w:spacing w:after="0"/>
              <w:rPr>
                <w:sz w:val="20"/>
                <w:szCs w:val="20"/>
                <w:color w:val="auto"/>
              </w:rPr>
            </w:pPr>
            <w:r>
              <w:rPr>
                <w:rFonts w:ascii="Arial" w:cs="Arial" w:eastAsia="Arial" w:hAnsi="Arial"/>
                <w:sz w:val="10"/>
                <w:szCs w:val="10"/>
                <w:b w:val="1"/>
                <w:bCs w:val="1"/>
                <w:color w:val="auto"/>
              </w:rPr>
              <w:t>Past Due</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b w:val="1"/>
                <w:bCs w:val="1"/>
                <w:color w:val="auto"/>
              </w:rPr>
              <w:t>Loans</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Loans</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Loans</w:t>
            </w:r>
          </w:p>
        </w:tc>
        <w:tc>
          <w:tcPr>
            <w:tcW w:w="100" w:type="dxa"/>
            <w:vAlign w:val="bottom"/>
          </w:tcPr>
          <w:p>
            <w:pPr>
              <w:spacing w:after="0"/>
              <w:rPr>
                <w:sz w:val="12"/>
                <w:szCs w:val="12"/>
                <w:color w:val="auto"/>
              </w:rPr>
            </w:pPr>
          </w:p>
        </w:tc>
        <w:tc>
          <w:tcPr>
            <w:tcW w:w="88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Past Due</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Loans</w:t>
            </w:r>
          </w:p>
        </w:tc>
        <w:tc>
          <w:tcPr>
            <w:tcW w:w="0" w:type="dxa"/>
            <w:vAlign w:val="bottom"/>
          </w:tcPr>
          <w:p>
            <w:pPr>
              <w:spacing w:after="0"/>
              <w:rPr>
                <w:sz w:val="1"/>
                <w:szCs w:val="1"/>
                <w:color w:val="auto"/>
              </w:rPr>
            </w:pPr>
          </w:p>
        </w:tc>
      </w:tr>
      <w:tr>
        <w:trPr>
          <w:trHeight w:val="134"/>
        </w:trPr>
        <w:tc>
          <w:tcPr>
            <w:tcW w:w="2100" w:type="dxa"/>
            <w:vAlign w:val="bottom"/>
            <w:gridSpan w:val="2"/>
          </w:tcPr>
          <w:p>
            <w:pPr>
              <w:ind w:left="280"/>
              <w:spacing w:after="0"/>
              <w:rPr>
                <w:sz w:val="20"/>
                <w:szCs w:val="20"/>
                <w:color w:val="auto"/>
              </w:rPr>
            </w:pPr>
            <w:r>
              <w:rPr>
                <w:rFonts w:ascii="Arial" w:cs="Arial" w:eastAsia="Arial" w:hAnsi="Arial"/>
                <w:sz w:val="10"/>
                <w:szCs w:val="10"/>
                <w:color w:val="auto"/>
              </w:rPr>
              <w:t>Real estate:</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Residential</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469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2,494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2,963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398,644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401,607</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ind w:left="28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2,8</w:t>
            </w:r>
          </w:p>
        </w:tc>
        <w:tc>
          <w:tcPr>
            <w:tcW w:w="0" w:type="dxa"/>
            <w:vAlign w:val="bottom"/>
          </w:tcPr>
          <w:p>
            <w:pPr>
              <w:spacing w:after="0"/>
              <w:rPr>
                <w:sz w:val="1"/>
                <w:szCs w:val="1"/>
                <w:color w:val="auto"/>
              </w:rPr>
            </w:pPr>
          </w:p>
        </w:tc>
      </w:tr>
      <w:tr>
        <w:trPr>
          <w:trHeight w:val="141"/>
        </w:trPr>
        <w:tc>
          <w:tcPr>
            <w:tcW w:w="2100" w:type="dxa"/>
            <w:vAlign w:val="bottom"/>
            <w:gridSpan w:val="2"/>
          </w:tcPr>
          <w:p>
            <w:pPr>
              <w:ind w:left="380"/>
              <w:spacing w:after="0"/>
              <w:rPr>
                <w:sz w:val="20"/>
                <w:szCs w:val="20"/>
                <w:color w:val="auto"/>
              </w:rPr>
            </w:pPr>
            <w:r>
              <w:rPr>
                <w:rFonts w:ascii="Arial" w:cs="Arial" w:eastAsia="Arial" w:hAnsi="Arial"/>
                <w:sz w:val="10"/>
                <w:szCs w:val="10"/>
                <w:color w:val="auto"/>
              </w:rPr>
              <w:t>Commercial</w:t>
            </w:r>
          </w:p>
        </w:tc>
        <w:tc>
          <w:tcPr>
            <w:tcW w:w="34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b w:val="1"/>
                <w:bCs w:val="1"/>
                <w:color w:val="auto"/>
              </w:rPr>
              <w:t>367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25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b w:val="1"/>
                <w:bCs w:val="1"/>
                <w:color w:val="auto"/>
              </w:rPr>
              <w:t>392</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555,947</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556,339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1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Construction</w:t>
            </w: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7,803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7,803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247,344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255,147</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7,8</w:t>
            </w:r>
          </w:p>
        </w:tc>
        <w:tc>
          <w:tcPr>
            <w:tcW w:w="0" w:type="dxa"/>
            <w:vAlign w:val="bottom"/>
          </w:tcPr>
          <w:p>
            <w:pPr>
              <w:spacing w:after="0"/>
              <w:rPr>
                <w:sz w:val="1"/>
                <w:szCs w:val="1"/>
                <w:color w:val="auto"/>
              </w:rPr>
            </w:pPr>
          </w:p>
        </w:tc>
      </w:tr>
      <w:tr>
        <w:trPr>
          <w:trHeight w:val="141"/>
        </w:trPr>
        <w:tc>
          <w:tcPr>
            <w:tcW w:w="2100" w:type="dxa"/>
            <w:vAlign w:val="bottom"/>
            <w:gridSpan w:val="2"/>
          </w:tcPr>
          <w:p>
            <w:pPr>
              <w:ind w:left="280"/>
              <w:spacing w:after="0"/>
              <w:rPr>
                <w:sz w:val="20"/>
                <w:szCs w:val="20"/>
                <w:color w:val="auto"/>
              </w:rPr>
            </w:pPr>
            <w:r>
              <w:rPr>
                <w:rFonts w:ascii="Arial" w:cs="Arial" w:eastAsia="Arial" w:hAnsi="Arial"/>
                <w:sz w:val="10"/>
                <w:szCs w:val="10"/>
                <w:color w:val="auto"/>
              </w:rPr>
              <w:t>Commercial</w:t>
            </w:r>
          </w:p>
        </w:tc>
        <w:tc>
          <w:tcPr>
            <w:tcW w:w="34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b w:val="1"/>
                <w:bCs w:val="1"/>
                <w:color w:val="auto"/>
              </w:rPr>
              <w:t>183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593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b w:val="1"/>
                <w:bCs w:val="1"/>
                <w:color w:val="auto"/>
              </w:rPr>
              <w:t>776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175,180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175,956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6</w:t>
            </w:r>
          </w:p>
        </w:tc>
        <w:tc>
          <w:tcPr>
            <w:tcW w:w="0" w:type="dxa"/>
            <w:vAlign w:val="bottom"/>
          </w:tcPr>
          <w:p>
            <w:pPr>
              <w:spacing w:after="0"/>
              <w:rPr>
                <w:sz w:val="1"/>
                <w:szCs w:val="1"/>
                <w:color w:val="auto"/>
              </w:rPr>
            </w:pPr>
          </w:p>
        </w:tc>
      </w:tr>
      <w:tr>
        <w:trPr>
          <w:trHeight w:val="150"/>
        </w:trPr>
        <w:tc>
          <w:tcPr>
            <w:tcW w:w="210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Credit card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19,022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19,032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122,088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141,120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00" w:type="dxa"/>
            <w:vAlign w:val="bottom"/>
            <w:gridSpan w:val="2"/>
          </w:tcPr>
          <w:p>
            <w:pPr>
              <w:ind w:left="280"/>
              <w:spacing w:after="0"/>
              <w:rPr>
                <w:sz w:val="20"/>
                <w:szCs w:val="20"/>
                <w:color w:val="auto"/>
              </w:rPr>
            </w:pPr>
            <w:r>
              <w:rPr>
                <w:rFonts w:ascii="Arial" w:cs="Arial" w:eastAsia="Arial" w:hAnsi="Arial"/>
                <w:sz w:val="10"/>
                <w:szCs w:val="10"/>
                <w:color w:val="auto"/>
              </w:rPr>
              <w:t>Other consumer</w:t>
            </w:r>
          </w:p>
        </w:tc>
        <w:tc>
          <w:tcPr>
            <w:tcW w:w="3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3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36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1,033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1,033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20,041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10,925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30,966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1,500,236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1,531,202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0"/>
                <w:szCs w:val="10"/>
                <w:b w:val="1"/>
                <w:bCs w:val="1"/>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11,3</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0"/>
                <w:szCs w:val="10"/>
                <w:b w:val="1"/>
                <w:bCs w:val="1"/>
                <w:color w:val="auto"/>
              </w:rPr>
              <w:t>December 31, 2020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00" w:type="dxa"/>
            <w:vAlign w:val="bottom"/>
            <w:gridSpan w:val="2"/>
          </w:tcPr>
          <w:p>
            <w:pPr>
              <w:ind w:left="280"/>
              <w:spacing w:after="0"/>
              <w:rPr>
                <w:sz w:val="20"/>
                <w:szCs w:val="20"/>
                <w:color w:val="auto"/>
              </w:rPr>
            </w:pPr>
            <w:r>
              <w:rPr>
                <w:rFonts w:ascii="Arial" w:cs="Arial" w:eastAsia="Arial" w:hAnsi="Arial"/>
                <w:sz w:val="10"/>
                <w:szCs w:val="10"/>
                <w:color w:val="auto"/>
              </w:rPr>
              <w:t>Real estate:</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Residential</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1,029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4,568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433,292</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437,860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38"/>
        </w:trPr>
        <w:tc>
          <w:tcPr>
            <w:tcW w:w="2100" w:type="dxa"/>
            <w:vAlign w:val="bottom"/>
            <w:gridSpan w:val="2"/>
          </w:tcPr>
          <w:p>
            <w:pPr>
              <w:ind w:left="380"/>
              <w:spacing w:after="0"/>
              <w:rPr>
                <w:sz w:val="20"/>
                <w:szCs w:val="20"/>
                <w:color w:val="auto"/>
              </w:rPr>
            </w:pPr>
            <w:r>
              <w:rPr>
                <w:rFonts w:ascii="Arial" w:cs="Arial" w:eastAsia="Arial" w:hAnsi="Arial"/>
                <w:sz w:val="10"/>
                <w:szCs w:val="10"/>
                <w:color w:val="auto"/>
              </w:rPr>
              <w:t>Commercial</w:t>
            </w:r>
          </w:p>
        </w:tc>
        <w:tc>
          <w:tcPr>
            <w:tcW w:w="34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2,583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color w:val="auto"/>
              </w:rPr>
              <w:t>2,619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389,931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392,550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225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53"/>
        </w:trPr>
        <w:tc>
          <w:tcPr>
            <w:tcW w:w="21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Construction</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1,444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1,886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223,018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224,904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38"/>
        </w:trPr>
        <w:tc>
          <w:tcPr>
            <w:tcW w:w="2100" w:type="dxa"/>
            <w:vAlign w:val="bottom"/>
            <w:gridSpan w:val="2"/>
          </w:tcPr>
          <w:p>
            <w:pPr>
              <w:ind w:left="280"/>
              <w:spacing w:after="0"/>
              <w:rPr>
                <w:sz w:val="20"/>
                <w:szCs w:val="20"/>
                <w:color w:val="auto"/>
              </w:rPr>
            </w:pPr>
            <w:r>
              <w:rPr>
                <w:rFonts w:ascii="Arial" w:cs="Arial" w:eastAsia="Arial" w:hAnsi="Arial"/>
                <w:sz w:val="10"/>
                <w:szCs w:val="10"/>
                <w:color w:val="auto"/>
              </w:rPr>
              <w:t>Commercial</w:t>
            </w:r>
          </w:p>
        </w:tc>
        <w:tc>
          <w:tcPr>
            <w:tcW w:w="34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color w:val="auto"/>
              </w:rPr>
              <w:t>486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741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0"/>
                <w:szCs w:val="10"/>
                <w:color w:val="auto"/>
              </w:rPr>
              <w:t>1,227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155,900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157,127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53"/>
        </w:trPr>
        <w:tc>
          <w:tcPr>
            <w:tcW w:w="210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Credit card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13,811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13,817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88,369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102,186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00" w:type="dxa"/>
            <w:vAlign w:val="bottom"/>
            <w:gridSpan w:val="2"/>
          </w:tcPr>
          <w:p>
            <w:pPr>
              <w:ind w:left="280"/>
              <w:spacing w:after="0"/>
              <w:rPr>
                <w:sz w:val="20"/>
                <w:szCs w:val="20"/>
                <w:color w:val="auto"/>
              </w:rPr>
            </w:pPr>
            <w:r>
              <w:rPr>
                <w:rFonts w:ascii="Arial" w:cs="Arial" w:eastAsia="Arial" w:hAnsi="Arial"/>
                <w:sz w:val="10"/>
                <w:szCs w:val="10"/>
                <w:color w:val="auto"/>
              </w:rPr>
              <w:t>Other consumer</w:t>
            </w:r>
          </w:p>
        </w:tc>
        <w:tc>
          <w:tcPr>
            <w:tcW w:w="3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1,649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1,649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16,806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7,311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24,117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1,292,159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1,316,276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00" w:firstLine="268"/>
        <w:spacing w:after="0" w:line="258" w:lineRule="auto"/>
        <w:rPr>
          <w:sz w:val="20"/>
          <w:szCs w:val="20"/>
          <w:color w:val="auto"/>
        </w:rPr>
      </w:pPr>
      <w:r>
        <w:rPr>
          <w:rFonts w:ascii="Arial" w:cs="Arial" w:eastAsia="Arial" w:hAnsi="Arial"/>
          <w:sz w:val="15"/>
          <w:szCs w:val="15"/>
          <w:color w:val="auto"/>
        </w:rPr>
        <w:t>Impaired loans also include acquired loans for which management has recorded a nonaccretable discount. Impaired loans as of December 31, 2021 and 2020 were as follows:</w:t>
      </w:r>
    </w:p>
    <w:p>
      <w:pPr>
        <w:spacing w:after="0" w:line="265" w:lineRule="exact"/>
        <w:rPr>
          <w:sz w:val="20"/>
          <w:szCs w:val="20"/>
          <w:color w:val="auto"/>
        </w:rPr>
      </w:pPr>
    </w:p>
    <w:tbl>
      <w:tblPr>
        <w:tblLayout w:type="fixed"/>
        <w:tblInd w:w="280" w:type="dxa"/>
        <w:tblCellMar>
          <w:top w:w="0" w:type="dxa"/>
          <w:left w:w="0" w:type="dxa"/>
          <w:bottom w:w="0" w:type="dxa"/>
          <w:right w:w="0" w:type="dxa"/>
        </w:tblCellMar>
      </w:tblPr>
      <w:tr>
        <w:trPr>
          <w:trHeight w:val="115"/>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tcPr>
          <w:p>
            <w:pPr>
              <w:ind w:left="260"/>
              <w:spacing w:after="0"/>
              <w:rPr>
                <w:sz w:val="20"/>
                <w:szCs w:val="20"/>
                <w:color w:val="auto"/>
              </w:rPr>
            </w:pPr>
            <w:r>
              <w:rPr>
                <w:rFonts w:ascii="Arial" w:cs="Arial" w:eastAsia="Arial" w:hAnsi="Arial"/>
                <w:sz w:val="10"/>
                <w:szCs w:val="10"/>
                <w:b w:val="1"/>
                <w:bCs w:val="1"/>
                <w:color w:val="auto"/>
              </w:rPr>
              <w:t>Unpaid</w:t>
            </w:r>
          </w:p>
        </w:tc>
        <w:tc>
          <w:tcPr>
            <w:tcW w:w="360" w:type="dxa"/>
            <w:vAlign w:val="bottom"/>
          </w:tcPr>
          <w:p>
            <w:pPr>
              <w:spacing w:after="0"/>
              <w:rPr>
                <w:sz w:val="10"/>
                <w:szCs w:val="10"/>
                <w:color w:val="auto"/>
              </w:rPr>
            </w:pPr>
          </w:p>
        </w:tc>
        <w:tc>
          <w:tcPr>
            <w:tcW w:w="1020" w:type="dxa"/>
            <w:vAlign w:val="bottom"/>
            <w:gridSpan w:val="2"/>
          </w:tcPr>
          <w:p>
            <w:pPr>
              <w:ind w:left="180"/>
              <w:spacing w:after="0"/>
              <w:rPr>
                <w:sz w:val="20"/>
                <w:szCs w:val="20"/>
                <w:color w:val="auto"/>
              </w:rPr>
            </w:pPr>
            <w:r>
              <w:rPr>
                <w:rFonts w:ascii="Arial" w:cs="Arial" w:eastAsia="Arial" w:hAnsi="Arial"/>
                <w:sz w:val="10"/>
                <w:szCs w:val="10"/>
                <w:b w:val="1"/>
                <w:bCs w:val="1"/>
                <w:color w:val="auto"/>
              </w:rPr>
              <w:t>Recorded</w:t>
            </w:r>
          </w:p>
        </w:tc>
        <w:tc>
          <w:tcPr>
            <w:tcW w:w="1300" w:type="dxa"/>
            <w:vAlign w:val="bottom"/>
            <w:gridSpan w:val="3"/>
          </w:tcPr>
          <w:p>
            <w:pPr>
              <w:ind w:left="500"/>
              <w:spacing w:after="0"/>
              <w:rPr>
                <w:sz w:val="20"/>
                <w:szCs w:val="20"/>
                <w:color w:val="auto"/>
              </w:rPr>
            </w:pPr>
            <w:r>
              <w:rPr>
                <w:rFonts w:ascii="Arial" w:cs="Arial" w:eastAsia="Arial" w:hAnsi="Arial"/>
                <w:sz w:val="10"/>
                <w:szCs w:val="10"/>
                <w:b w:val="1"/>
                <w:bCs w:val="1"/>
                <w:color w:val="auto"/>
              </w:rPr>
              <w:t>Recorded</w:t>
            </w: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840" w:type="dxa"/>
            <w:vAlign w:val="bottom"/>
            <w:gridSpan w:val="2"/>
          </w:tcPr>
          <w:p>
            <w:pPr>
              <w:ind w:left="280"/>
              <w:spacing w:after="0"/>
              <w:rPr>
                <w:sz w:val="20"/>
                <w:szCs w:val="20"/>
                <w:color w:val="auto"/>
              </w:rPr>
            </w:pPr>
            <w:r>
              <w:rPr>
                <w:rFonts w:ascii="Arial" w:cs="Arial" w:eastAsia="Arial" w:hAnsi="Arial"/>
                <w:sz w:val="9"/>
                <w:szCs w:val="9"/>
                <w:color w:val="auto"/>
              </w:rPr>
              <w:t>(in thousands)</w:t>
            </w:r>
          </w:p>
        </w:tc>
        <w:tc>
          <w:tcPr>
            <w:tcW w:w="360" w:type="dxa"/>
            <w:vAlign w:val="bottom"/>
          </w:tcPr>
          <w:p>
            <w:pPr>
              <w:spacing w:after="0"/>
              <w:rPr>
                <w:sz w:val="10"/>
                <w:szCs w:val="10"/>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Contractual</w:t>
            </w:r>
          </w:p>
        </w:tc>
        <w:tc>
          <w:tcPr>
            <w:tcW w:w="36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rPr>
              <w:t>Investment</w:t>
            </w:r>
          </w:p>
        </w:tc>
        <w:tc>
          <w:tcPr>
            <w:tcW w:w="920" w:type="dxa"/>
            <w:vAlign w:val="bottom"/>
          </w:tcPr>
          <w:p>
            <w:pPr>
              <w:jc w:val="center"/>
              <w:ind w:left="225"/>
              <w:spacing w:after="0"/>
              <w:rPr>
                <w:sz w:val="20"/>
                <w:szCs w:val="20"/>
                <w:color w:val="auto"/>
              </w:rPr>
            </w:pPr>
            <w:r>
              <w:rPr>
                <w:rFonts w:ascii="Arial" w:cs="Arial" w:eastAsia="Arial" w:hAnsi="Arial"/>
                <w:sz w:val="10"/>
                <w:szCs w:val="10"/>
                <w:b w:val="1"/>
                <w:bCs w:val="1"/>
                <w:color w:val="auto"/>
              </w:rPr>
              <w:t>Investment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ind w:left="300"/>
              <w:spacing w:after="0"/>
              <w:rPr>
                <w:sz w:val="20"/>
                <w:szCs w:val="20"/>
                <w:color w:val="auto"/>
              </w:rPr>
            </w:pPr>
            <w:r>
              <w:rPr>
                <w:rFonts w:ascii="Arial" w:cs="Arial" w:eastAsia="Arial" w:hAnsi="Arial"/>
                <w:sz w:val="10"/>
                <w:szCs w:val="10"/>
                <w:b w:val="1"/>
                <w:bCs w:val="1"/>
                <w:color w:val="auto"/>
              </w:rPr>
              <w:t>Total</w:t>
            </w:r>
          </w:p>
        </w:tc>
        <w:tc>
          <w:tcPr>
            <w:tcW w:w="9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Related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ind w:left="220"/>
              <w:spacing w:after="0"/>
              <w:rPr>
                <w:sz w:val="20"/>
                <w:szCs w:val="20"/>
                <w:color w:val="auto"/>
              </w:rPr>
            </w:pPr>
            <w:r>
              <w:rPr>
                <w:rFonts w:ascii="Arial" w:cs="Arial" w:eastAsia="Arial" w:hAnsi="Arial"/>
                <w:sz w:val="10"/>
                <w:szCs w:val="10"/>
                <w:b w:val="1"/>
                <w:bCs w:val="1"/>
                <w:color w:val="auto"/>
              </w:rPr>
              <w:t>Average</w:t>
            </w:r>
          </w:p>
        </w:tc>
        <w:tc>
          <w:tcPr>
            <w:tcW w:w="9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December 31, 2021</w:t>
            </w:r>
          </w:p>
        </w:tc>
        <w:tc>
          <w:tcPr>
            <w:tcW w:w="10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gridSpan w:val="2"/>
          </w:tcPr>
          <w:p>
            <w:pPr>
              <w:jc w:val="center"/>
              <w:ind w:right="480"/>
              <w:spacing w:after="0" w:line="79" w:lineRule="exact"/>
              <w:rPr>
                <w:sz w:val="20"/>
                <w:szCs w:val="20"/>
                <w:color w:val="auto"/>
              </w:rPr>
            </w:pPr>
            <w:r>
              <w:rPr>
                <w:rFonts w:ascii="Arial" w:cs="Arial" w:eastAsia="Arial" w:hAnsi="Arial"/>
                <w:sz w:val="9"/>
                <w:szCs w:val="9"/>
                <w:b w:val="1"/>
                <w:bCs w:val="1"/>
                <w:color w:val="auto"/>
              </w:rPr>
              <w:t>Principal</w:t>
            </w:r>
          </w:p>
        </w:tc>
        <w:tc>
          <w:tcPr>
            <w:tcW w:w="360" w:type="dxa"/>
            <w:vAlign w:val="bottom"/>
          </w:tcPr>
          <w:p>
            <w:pPr>
              <w:spacing w:after="0"/>
              <w:rPr>
                <w:sz w:val="6"/>
                <w:szCs w:val="6"/>
                <w:color w:val="auto"/>
              </w:rPr>
            </w:pPr>
          </w:p>
        </w:tc>
        <w:tc>
          <w:tcPr>
            <w:tcW w:w="1020" w:type="dxa"/>
            <w:vAlign w:val="bottom"/>
            <w:gridSpan w:val="2"/>
          </w:tcPr>
          <w:p>
            <w:pPr>
              <w:jc w:val="center"/>
              <w:ind w:right="460"/>
              <w:spacing w:after="0" w:line="79" w:lineRule="exact"/>
              <w:rPr>
                <w:sz w:val="20"/>
                <w:szCs w:val="20"/>
                <w:color w:val="auto"/>
              </w:rPr>
            </w:pPr>
            <w:r>
              <w:rPr>
                <w:rFonts w:ascii="Arial" w:cs="Arial" w:eastAsia="Arial" w:hAnsi="Arial"/>
                <w:sz w:val="9"/>
                <w:szCs w:val="9"/>
                <w:b w:val="1"/>
                <w:bCs w:val="1"/>
                <w:color w:val="auto"/>
              </w:rPr>
              <w:t>with no</w:t>
            </w:r>
          </w:p>
        </w:tc>
        <w:tc>
          <w:tcPr>
            <w:tcW w:w="920" w:type="dxa"/>
            <w:vAlign w:val="bottom"/>
          </w:tcPr>
          <w:p>
            <w:pPr>
              <w:jc w:val="center"/>
              <w:ind w:left="225"/>
              <w:spacing w:after="0" w:line="79" w:lineRule="exact"/>
              <w:rPr>
                <w:sz w:val="20"/>
                <w:szCs w:val="20"/>
                <w:color w:val="auto"/>
              </w:rPr>
            </w:pPr>
            <w:r>
              <w:rPr>
                <w:rFonts w:ascii="Arial" w:cs="Arial" w:eastAsia="Arial" w:hAnsi="Arial"/>
                <w:sz w:val="9"/>
                <w:szCs w:val="9"/>
                <w:b w:val="1"/>
                <w:bCs w:val="1"/>
                <w:color w:val="auto"/>
              </w:rPr>
              <w:t>with</w:t>
            </w: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gridSpan w:val="2"/>
          </w:tcPr>
          <w:p>
            <w:pPr>
              <w:ind w:left="40"/>
              <w:spacing w:after="0" w:line="79" w:lineRule="exact"/>
              <w:rPr>
                <w:sz w:val="20"/>
                <w:szCs w:val="20"/>
                <w:color w:val="auto"/>
              </w:rPr>
            </w:pPr>
            <w:r>
              <w:rPr>
                <w:rFonts w:ascii="Arial" w:cs="Arial" w:eastAsia="Arial" w:hAnsi="Arial"/>
                <w:sz w:val="9"/>
                <w:szCs w:val="9"/>
                <w:b w:val="1"/>
                <w:bCs w:val="1"/>
                <w:color w:val="auto"/>
              </w:rPr>
              <w:t>Recorded</w:t>
            </w:r>
          </w:p>
        </w:tc>
        <w:tc>
          <w:tcPr>
            <w:tcW w:w="9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gridSpan w:val="2"/>
          </w:tcPr>
          <w:p>
            <w:pPr>
              <w:ind w:left="40"/>
              <w:spacing w:after="0" w:line="79" w:lineRule="exact"/>
              <w:rPr>
                <w:sz w:val="20"/>
                <w:szCs w:val="20"/>
                <w:color w:val="auto"/>
              </w:rPr>
            </w:pPr>
            <w:r>
              <w:rPr>
                <w:rFonts w:ascii="Arial" w:cs="Arial" w:eastAsia="Arial" w:hAnsi="Arial"/>
                <w:sz w:val="9"/>
                <w:szCs w:val="9"/>
                <w:b w:val="1"/>
                <w:bCs w:val="1"/>
                <w:color w:val="auto"/>
              </w:rPr>
              <w:t>Recorded</w:t>
            </w: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7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03"/>
              <w:spacing w:after="0"/>
              <w:rPr>
                <w:sz w:val="20"/>
                <w:szCs w:val="20"/>
                <w:color w:val="auto"/>
              </w:rPr>
            </w:pPr>
            <w:r>
              <w:rPr>
                <w:rFonts w:ascii="Arial" w:cs="Arial" w:eastAsia="Arial" w:hAnsi="Arial"/>
                <w:sz w:val="10"/>
                <w:szCs w:val="10"/>
                <w:b w:val="1"/>
                <w:bCs w:val="1"/>
                <w:color w:val="auto"/>
              </w:rPr>
              <w:t>Balance</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03"/>
              <w:spacing w:after="0"/>
              <w:rPr>
                <w:sz w:val="20"/>
                <w:szCs w:val="20"/>
                <w:color w:val="auto"/>
              </w:rPr>
            </w:pPr>
            <w:r>
              <w:rPr>
                <w:rFonts w:ascii="Arial" w:cs="Arial" w:eastAsia="Arial" w:hAnsi="Arial"/>
                <w:sz w:val="10"/>
                <w:szCs w:val="10"/>
                <w:b w:val="1"/>
                <w:bCs w:val="1"/>
                <w:color w:val="auto"/>
              </w:rPr>
              <w:t>Allowance</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center"/>
              <w:ind w:left="225"/>
              <w:spacing w:after="0"/>
              <w:rPr>
                <w:sz w:val="20"/>
                <w:szCs w:val="20"/>
                <w:color w:val="auto"/>
              </w:rPr>
            </w:pPr>
            <w:r>
              <w:rPr>
                <w:rFonts w:ascii="Arial" w:cs="Arial" w:eastAsia="Arial" w:hAnsi="Arial"/>
                <w:sz w:val="10"/>
                <w:szCs w:val="10"/>
                <w:b w:val="1"/>
                <w:bCs w:val="1"/>
                <w:color w:val="auto"/>
              </w:rPr>
              <w:t>Allowance</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Investment</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Allowance</w:t>
            </w: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Investment</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Recognized</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gridSpan w:val="2"/>
          </w:tcPr>
          <w:p>
            <w:pPr>
              <w:ind w:left="280"/>
              <w:spacing w:after="0"/>
              <w:rPr>
                <w:sz w:val="20"/>
                <w:szCs w:val="20"/>
                <w:color w:val="auto"/>
              </w:rPr>
            </w:pPr>
            <w:r>
              <w:rPr>
                <w:rFonts w:ascii="Arial" w:cs="Arial" w:eastAsia="Arial" w:hAnsi="Arial"/>
                <w:sz w:val="12"/>
                <w:szCs w:val="12"/>
                <w:color w:val="auto"/>
              </w:rPr>
              <w:t>Real estate</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Residential</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3,022</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2,835</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25"/>
              <w:spacing w:after="0"/>
              <w:rPr>
                <w:sz w:val="20"/>
                <w:szCs w:val="20"/>
                <w:color w:val="auto"/>
              </w:rPr>
            </w:pPr>
            <w:r>
              <w:rPr>
                <w:rFonts w:ascii="Arial" w:cs="Arial" w:eastAsia="Arial" w:hAnsi="Arial"/>
                <w:sz w:val="12"/>
                <w:szCs w:val="12"/>
                <w:b w:val="1"/>
                <w:bCs w:val="1"/>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2,835</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03"/>
              <w:spacing w:after="0"/>
              <w:rPr>
                <w:sz w:val="20"/>
                <w:szCs w:val="20"/>
                <w:color w:val="auto"/>
              </w:rPr>
            </w:pPr>
            <w:r>
              <w:rPr>
                <w:rFonts w:ascii="Arial" w:cs="Arial" w:eastAsia="Arial" w:hAnsi="Arial"/>
                <w:sz w:val="12"/>
                <w:szCs w:val="12"/>
                <w:b w:val="1"/>
                <w:bCs w:val="1"/>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4,578</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563"/>
              <w:spacing w:after="0"/>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57"/>
        </w:trPr>
        <w:tc>
          <w:tcPr>
            <w:tcW w:w="1840" w:type="dxa"/>
            <w:vAlign w:val="bottom"/>
            <w:gridSpan w:val="2"/>
          </w:tcPr>
          <w:p>
            <w:pPr>
              <w:ind w:left="380"/>
              <w:spacing w:after="0"/>
              <w:rPr>
                <w:sz w:val="20"/>
                <w:szCs w:val="20"/>
                <w:color w:val="auto"/>
              </w:rPr>
            </w:pPr>
            <w:r>
              <w:rPr>
                <w:rFonts w:ascii="Arial" w:cs="Arial" w:eastAsia="Arial" w:hAnsi="Arial"/>
                <w:sz w:val="12"/>
                <w:szCs w:val="12"/>
                <w:color w:val="auto"/>
              </w:rPr>
              <w:t>Commercial</w:t>
            </w:r>
          </w:p>
        </w:tc>
        <w:tc>
          <w:tcPr>
            <w:tcW w:w="3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b w:val="1"/>
                <w:bCs w:val="1"/>
                <w:color w:val="auto"/>
              </w:rPr>
              <w:t>90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b w:val="1"/>
                <w:bCs w:val="1"/>
                <w:color w:val="auto"/>
              </w:rPr>
              <w:t>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b w:val="1"/>
                <w:bCs w:val="1"/>
                <w:color w:val="auto"/>
              </w:rPr>
              <w:t>25</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3"/>
                <w:szCs w:val="13"/>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b w:val="1"/>
                <w:bCs w:val="1"/>
                <w:color w:val="auto"/>
              </w:rPr>
              <w:t>90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Construction</w:t>
            </w: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7,885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7,803</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7,803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9,746</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57"/>
        </w:trPr>
        <w:tc>
          <w:tcPr>
            <w:tcW w:w="184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Commercial</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832</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340</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336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676</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218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1,056</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50"/>
        </w:trPr>
        <w:tc>
          <w:tcPr>
            <w:tcW w:w="1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shd w:val="clear" w:color="auto" w:fill="CCEEFF"/>
          </w:tcPr>
          <w:p>
            <w:pPr>
              <w:jc w:val="right"/>
              <w:ind w:right="3"/>
              <w:spacing w:after="0" w:line="126" w:lineRule="exact"/>
              <w:rPr>
                <w:sz w:val="20"/>
                <w:szCs w:val="20"/>
                <w:color w:val="auto"/>
              </w:rPr>
            </w:pPr>
            <w:r>
              <w:rPr>
                <w:rFonts w:ascii="Arial" w:cs="Arial" w:eastAsia="Arial" w:hAnsi="Arial"/>
                <w:sz w:val="12"/>
                <w:szCs w:val="12"/>
                <w:b w:val="1"/>
                <w:bCs w:val="1"/>
                <w:color w:val="auto"/>
              </w:rPr>
              <w:t>11,829</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shd w:val="clear" w:color="auto" w:fill="CCEEFF"/>
          </w:tcPr>
          <w:p>
            <w:pPr>
              <w:jc w:val="right"/>
              <w:ind w:right="3"/>
              <w:spacing w:after="0" w:line="126" w:lineRule="exact"/>
              <w:rPr>
                <w:sz w:val="20"/>
                <w:szCs w:val="20"/>
                <w:color w:val="auto"/>
              </w:rPr>
            </w:pPr>
            <w:r>
              <w:rPr>
                <w:rFonts w:ascii="Arial" w:cs="Arial" w:eastAsia="Arial" w:hAnsi="Arial"/>
                <w:sz w:val="12"/>
                <w:szCs w:val="12"/>
                <w:b w:val="1"/>
                <w:bCs w:val="1"/>
                <w:color w:val="auto"/>
              </w:rPr>
              <w:t>11,003</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525"/>
              <w:spacing w:after="0" w:line="126" w:lineRule="exact"/>
              <w:rPr>
                <w:sz w:val="20"/>
                <w:szCs w:val="20"/>
                <w:color w:val="auto"/>
              </w:rPr>
            </w:pPr>
            <w:r>
              <w:rPr>
                <w:rFonts w:ascii="Arial" w:cs="Arial" w:eastAsia="Arial" w:hAnsi="Arial"/>
                <w:sz w:val="12"/>
                <w:szCs w:val="12"/>
                <w:b w:val="1"/>
                <w:bCs w:val="1"/>
                <w:color w:val="auto"/>
              </w:rPr>
              <w:t>$</w:t>
            </w:r>
          </w:p>
        </w:tc>
        <w:tc>
          <w:tcPr>
            <w:tcW w:w="28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9"/>
              </w:rPr>
              <w:t>336</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shd w:val="clear" w:color="auto" w:fill="CCEEFF"/>
          </w:tcPr>
          <w:p>
            <w:pPr>
              <w:jc w:val="right"/>
              <w:ind w:right="2"/>
              <w:spacing w:after="0" w:line="126" w:lineRule="exact"/>
              <w:rPr>
                <w:sz w:val="20"/>
                <w:szCs w:val="20"/>
                <w:color w:val="auto"/>
              </w:rPr>
            </w:pPr>
            <w:r>
              <w:rPr>
                <w:rFonts w:ascii="Arial" w:cs="Arial" w:eastAsia="Arial" w:hAnsi="Arial"/>
                <w:sz w:val="12"/>
                <w:szCs w:val="12"/>
                <w:b w:val="1"/>
                <w:bCs w:val="1"/>
                <w:color w:val="auto"/>
              </w:rPr>
              <w:t>11,339</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503"/>
              <w:spacing w:after="0" w:line="126" w:lineRule="exact"/>
              <w:rPr>
                <w:sz w:val="20"/>
                <w:szCs w:val="20"/>
                <w:color w:val="auto"/>
              </w:rPr>
            </w:pPr>
            <w:r>
              <w:rPr>
                <w:rFonts w:ascii="Arial" w:cs="Arial" w:eastAsia="Arial" w:hAnsi="Arial"/>
                <w:sz w:val="12"/>
                <w:szCs w:val="12"/>
                <w:b w:val="1"/>
                <w:bCs w:val="1"/>
                <w:color w:val="auto"/>
              </w:rPr>
              <w:t>$</w:t>
            </w:r>
          </w:p>
        </w:tc>
        <w:tc>
          <w:tcPr>
            <w:tcW w:w="26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89"/>
              </w:rPr>
              <w:t>218</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shd w:val="clear" w:color="auto" w:fill="CCEEFF"/>
          </w:tcPr>
          <w:p>
            <w:pPr>
              <w:jc w:val="right"/>
              <w:ind w:right="2"/>
              <w:spacing w:after="0" w:line="126" w:lineRule="exact"/>
              <w:rPr>
                <w:sz w:val="20"/>
                <w:szCs w:val="20"/>
                <w:color w:val="auto"/>
              </w:rPr>
            </w:pPr>
            <w:r>
              <w:rPr>
                <w:rFonts w:ascii="Arial" w:cs="Arial" w:eastAsia="Arial" w:hAnsi="Arial"/>
                <w:sz w:val="12"/>
                <w:szCs w:val="12"/>
                <w:b w:val="1"/>
                <w:bCs w:val="1"/>
                <w:color w:val="auto"/>
              </w:rPr>
              <w:t>15,470</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563"/>
              <w:spacing w:after="0" w:line="126" w:lineRule="exact"/>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9</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7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gridSpan w:val="2"/>
          </w:tcPr>
          <w:p>
            <w:pPr>
              <w:ind w:left="280"/>
              <w:spacing w:after="0"/>
              <w:rPr>
                <w:sz w:val="20"/>
                <w:szCs w:val="20"/>
                <w:color w:val="auto"/>
              </w:rPr>
            </w:pPr>
            <w:r>
              <w:rPr>
                <w:rFonts w:ascii="Arial" w:cs="Arial" w:eastAsia="Arial" w:hAnsi="Arial"/>
                <w:sz w:val="12"/>
                <w:szCs w:val="12"/>
                <w:color w:val="auto"/>
              </w:rPr>
              <w:t>Real estate</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Residential</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3,960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3,726</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25"/>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3,726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03"/>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3,982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56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7"/>
        </w:trPr>
        <w:tc>
          <w:tcPr>
            <w:tcW w:w="1840" w:type="dxa"/>
            <w:vAlign w:val="bottom"/>
            <w:gridSpan w:val="2"/>
          </w:tcPr>
          <w:p>
            <w:pPr>
              <w:ind w:left="380"/>
              <w:spacing w:after="0"/>
              <w:rPr>
                <w:sz w:val="20"/>
                <w:szCs w:val="20"/>
                <w:color w:val="auto"/>
              </w:rPr>
            </w:pPr>
            <w:r>
              <w:rPr>
                <w:rFonts w:ascii="Arial" w:cs="Arial" w:eastAsia="Arial" w:hAnsi="Arial"/>
                <w:sz w:val="12"/>
                <w:szCs w:val="12"/>
                <w:color w:val="auto"/>
              </w:rPr>
              <w:t>Commercial</w:t>
            </w:r>
          </w:p>
        </w:tc>
        <w:tc>
          <w:tcPr>
            <w:tcW w:w="3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2,490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2,358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2,358</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2,519</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Construction</w:t>
            </w: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1,996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1,886</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1,886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1,809</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Commercial</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1,344</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791</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391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1,182</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253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1,826</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9,790</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8,761</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391</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9,152</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03"/>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253</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10,136</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77" w:name="page78"/>
    <w:bookmarkEnd w:id="77"/>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Portfolio Loans Receivable (continued)</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There were $6 thousand and $175 thousand, respectively, of loans secured by one to four family residential properties in the process of foreclosure as of December 31, 2021 and 2020.</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Credit quality indicators</w:t>
      </w:r>
    </w:p>
    <w:p>
      <w:pPr>
        <w:spacing w:after="0" w:line="204"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166"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Company utilizes a risk grading matrix to assign a risk grade to each of its loans. A description of the general characteristics of loans characterized as classified is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Special Mention</w:t>
      </w:r>
    </w:p>
    <w:p>
      <w:pPr>
        <w:spacing w:after="0" w:line="20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71"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Substandard</w:t>
      </w:r>
    </w:p>
    <w:p>
      <w:pPr>
        <w:spacing w:after="0" w:line="20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71"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Doubtful</w:t>
      </w:r>
    </w:p>
    <w:p>
      <w:pPr>
        <w:spacing w:after="0" w:line="204" w:lineRule="exact"/>
        <w:rPr>
          <w:sz w:val="20"/>
          <w:szCs w:val="20"/>
          <w:color w:val="auto"/>
        </w:rPr>
      </w:pPr>
    </w:p>
    <w:p>
      <w:pPr>
        <w:jc w:val="both"/>
        <w:ind w:right="20" w:firstLine="268"/>
        <w:spacing w:after="0" w:line="258" w:lineRule="auto"/>
        <w:rPr>
          <w:sz w:val="20"/>
          <w:szCs w:val="20"/>
          <w:color w:val="auto"/>
        </w:rPr>
      </w:pPr>
      <w:r>
        <w:rPr>
          <w:rFonts w:ascii="Arial" w:cs="Arial" w:eastAsia="Arial" w:hAnsi="Arial"/>
          <w:sz w:val="15"/>
          <w:szCs w:val="15"/>
          <w:color w:val="auto"/>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78" w:name="page79"/>
    <w:bookmarkEnd w:id="78"/>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Portfolio Loans Receivable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balances of classified loans based on the risk grade. The Company grades all credit cards loans as Pass. Classified loans include</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Special Mention, Substandard, and Doubtful loans:</w:t>
      </w:r>
    </w:p>
    <w:p>
      <w:pPr>
        <w:spacing w:after="0" w:line="193"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3520" w:type="dxa"/>
            <w:vAlign w:val="bottom"/>
          </w:tcPr>
          <w:p>
            <w:pPr>
              <w:ind w:left="280"/>
              <w:spacing w:after="0"/>
              <w:rPr>
                <w:sz w:val="20"/>
                <w:szCs w:val="20"/>
                <w:color w:val="auto"/>
              </w:rPr>
            </w:pPr>
            <w:r>
              <w:rPr>
                <w:rFonts w:ascii="Arial" w:cs="Arial" w:eastAsia="Arial" w:hAnsi="Arial"/>
                <w:sz w:val="9"/>
                <w:szCs w:val="9"/>
                <w:color w:val="auto"/>
              </w:rPr>
              <w:t>(in thousands)</w:t>
            </w:r>
          </w:p>
        </w:tc>
        <w:tc>
          <w:tcPr>
            <w:tcW w:w="52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2"/>
                <w:szCs w:val="12"/>
                <w:b w:val="1"/>
                <w:bCs w:val="1"/>
                <w:color w:val="auto"/>
              </w:rPr>
              <w:t>Pass</w:t>
            </w:r>
            <w:r>
              <w:rPr>
                <w:rFonts w:ascii="Arial" w:cs="Arial" w:eastAsia="Arial" w:hAnsi="Arial"/>
                <w:sz w:val="15"/>
                <w:szCs w:val="15"/>
                <w:b w:val="1"/>
                <w:bCs w:val="1"/>
                <w:color w:val="auto"/>
                <w:vertAlign w:val="superscript"/>
              </w:rPr>
              <w:t>(1)</w:t>
            </w:r>
          </w:p>
        </w:tc>
        <w:tc>
          <w:tcPr>
            <w:tcW w:w="3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Special Mention</w:t>
            </w:r>
          </w:p>
        </w:tc>
        <w:tc>
          <w:tcPr>
            <w:tcW w:w="42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Substandard</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Doubtful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2"/>
                <w:szCs w:val="12"/>
                <w:b w:val="1"/>
                <w:bCs w:val="1"/>
                <w:color w:val="auto"/>
              </w:rPr>
              <w:t>Total</w:t>
            </w:r>
          </w:p>
        </w:tc>
      </w:tr>
      <w:tr>
        <w:trPr>
          <w:trHeight w:val="158"/>
        </w:trPr>
        <w:tc>
          <w:tcPr>
            <w:tcW w:w="3520" w:type="dxa"/>
            <w:vAlign w:val="bottom"/>
            <w:tcBorders>
              <w:top w:val="single" w:sz="8" w:color="CCEEFF"/>
              <w:bottom w:val="single" w:sz="8" w:color="auto"/>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December 31, 2021</w:t>
            </w:r>
          </w:p>
        </w:tc>
        <w:tc>
          <w:tcPr>
            <w:tcW w:w="5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69"/>
        </w:trPr>
        <w:tc>
          <w:tcPr>
            <w:tcW w:w="3520" w:type="dxa"/>
            <w:vAlign w:val="bottom"/>
          </w:tcPr>
          <w:p>
            <w:pPr>
              <w:ind w:left="280"/>
              <w:spacing w:after="0"/>
              <w:rPr>
                <w:sz w:val="20"/>
                <w:szCs w:val="20"/>
                <w:color w:val="auto"/>
              </w:rPr>
            </w:pPr>
            <w:r>
              <w:rPr>
                <w:rFonts w:ascii="Arial" w:cs="Arial" w:eastAsia="Arial" w:hAnsi="Arial"/>
                <w:sz w:val="13"/>
                <w:szCs w:val="13"/>
                <w:color w:val="auto"/>
              </w:rPr>
              <w:t>Real estate:</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1"/>
        </w:trPr>
        <w:tc>
          <w:tcPr>
            <w:tcW w:w="35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Residential</w:t>
            </w: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394,488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2,540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4,579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14"/>
              <w:spacing w:after="0"/>
              <w:rPr>
                <w:sz w:val="20"/>
                <w:szCs w:val="20"/>
                <w:color w:val="auto"/>
              </w:rPr>
            </w:pPr>
            <w:r>
              <w:rPr>
                <w:rFonts w:ascii="Arial" w:cs="Arial" w:eastAsia="Arial" w:hAnsi="Arial"/>
                <w:sz w:val="13"/>
                <w:szCs w:val="13"/>
                <w:b w:val="1"/>
                <w:bCs w:val="1"/>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401,6</w:t>
            </w:r>
          </w:p>
        </w:tc>
      </w:tr>
      <w:tr>
        <w:trPr>
          <w:trHeight w:val="178"/>
        </w:trPr>
        <w:tc>
          <w:tcPr>
            <w:tcW w:w="3520" w:type="dxa"/>
            <w:vAlign w:val="bottom"/>
          </w:tcPr>
          <w:p>
            <w:pPr>
              <w:ind w:left="420"/>
              <w:spacing w:after="0"/>
              <w:rPr>
                <w:sz w:val="20"/>
                <w:szCs w:val="20"/>
                <w:color w:val="auto"/>
              </w:rPr>
            </w:pPr>
            <w:r>
              <w:rPr>
                <w:rFonts w:ascii="Arial" w:cs="Arial" w:eastAsia="Arial" w:hAnsi="Arial"/>
                <w:sz w:val="13"/>
                <w:szCs w:val="13"/>
                <w:color w:val="auto"/>
              </w:rPr>
              <w:t>Commercial</w:t>
            </w: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548,244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8,070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556,3</w:t>
            </w:r>
          </w:p>
        </w:tc>
      </w:tr>
      <w:tr>
        <w:trPr>
          <w:trHeight w:val="180"/>
        </w:trPr>
        <w:tc>
          <w:tcPr>
            <w:tcW w:w="35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Construction</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243,848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3,496</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7,803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255,1</w:t>
            </w:r>
          </w:p>
        </w:tc>
      </w:tr>
      <w:tr>
        <w:trPr>
          <w:trHeight w:val="178"/>
        </w:trPr>
        <w:tc>
          <w:tcPr>
            <w:tcW w:w="3520" w:type="dxa"/>
            <w:vAlign w:val="bottom"/>
          </w:tcPr>
          <w:p>
            <w:pPr>
              <w:ind w:left="280"/>
              <w:spacing w:after="0"/>
              <w:rPr>
                <w:sz w:val="20"/>
                <w:szCs w:val="20"/>
                <w:color w:val="auto"/>
              </w:rPr>
            </w:pPr>
            <w:r>
              <w:rPr>
                <w:rFonts w:ascii="Arial" w:cs="Arial" w:eastAsia="Arial" w:hAnsi="Arial"/>
                <w:sz w:val="13"/>
                <w:szCs w:val="13"/>
                <w:color w:val="auto"/>
              </w:rPr>
              <w:t>Commercial</w:t>
            </w: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164,066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10,417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1,473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175,9</w:t>
            </w:r>
          </w:p>
        </w:tc>
      </w:tr>
      <w:tr>
        <w:trPr>
          <w:trHeight w:val="180"/>
        </w:trPr>
        <w:tc>
          <w:tcPr>
            <w:tcW w:w="3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Credit card</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141,120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141,1</w:t>
            </w:r>
          </w:p>
        </w:tc>
      </w:tr>
      <w:tr>
        <w:trPr>
          <w:trHeight w:val="178"/>
        </w:trPr>
        <w:tc>
          <w:tcPr>
            <w:tcW w:w="3520" w:type="dxa"/>
            <w:vAlign w:val="bottom"/>
          </w:tcPr>
          <w:p>
            <w:pPr>
              <w:ind w:left="280"/>
              <w:spacing w:after="0"/>
              <w:rPr>
                <w:sz w:val="20"/>
                <w:szCs w:val="20"/>
                <w:color w:val="auto"/>
              </w:rPr>
            </w:pPr>
            <w:r>
              <w:rPr>
                <w:rFonts w:ascii="Arial" w:cs="Arial" w:eastAsia="Arial" w:hAnsi="Arial"/>
                <w:sz w:val="13"/>
                <w:szCs w:val="13"/>
                <w:color w:val="auto"/>
              </w:rPr>
              <w:t>Other consumer</w:t>
            </w: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1,033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1,0</w:t>
            </w:r>
          </w:p>
        </w:tc>
      </w:tr>
      <w:tr>
        <w:trPr>
          <w:trHeight w:val="196"/>
        </w:trPr>
        <w:tc>
          <w:tcPr>
            <w:tcW w:w="35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Total</w:t>
            </w:r>
          </w:p>
        </w:tc>
        <w:tc>
          <w:tcPr>
            <w:tcW w:w="52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1,492,799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24,523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1,531,2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8"/>
        </w:trPr>
        <w:tc>
          <w:tcPr>
            <w:tcW w:w="3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December 31, 2020</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9"/>
        </w:trPr>
        <w:tc>
          <w:tcPr>
            <w:tcW w:w="3520" w:type="dxa"/>
            <w:vAlign w:val="bottom"/>
          </w:tcPr>
          <w:p>
            <w:pPr>
              <w:ind w:left="280"/>
              <w:spacing w:after="0"/>
              <w:rPr>
                <w:sz w:val="20"/>
                <w:szCs w:val="20"/>
                <w:color w:val="auto"/>
              </w:rPr>
            </w:pPr>
            <w:r>
              <w:rPr>
                <w:rFonts w:ascii="Arial" w:cs="Arial" w:eastAsia="Arial" w:hAnsi="Arial"/>
                <w:sz w:val="13"/>
                <w:szCs w:val="13"/>
                <w:color w:val="auto"/>
              </w:rPr>
              <w:t>Real estate:</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1"/>
        </w:trPr>
        <w:tc>
          <w:tcPr>
            <w:tcW w:w="35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Residential</w:t>
            </w: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428,260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14"/>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437,8</w:t>
            </w:r>
          </w:p>
        </w:tc>
      </w:tr>
      <w:tr>
        <w:trPr>
          <w:trHeight w:val="177"/>
        </w:trPr>
        <w:tc>
          <w:tcPr>
            <w:tcW w:w="3520" w:type="dxa"/>
            <w:vAlign w:val="bottom"/>
          </w:tcPr>
          <w:p>
            <w:pPr>
              <w:ind w:left="420"/>
              <w:spacing w:after="0"/>
              <w:rPr>
                <w:sz w:val="20"/>
                <w:szCs w:val="20"/>
                <w:color w:val="auto"/>
              </w:rPr>
            </w:pPr>
            <w:r>
              <w:rPr>
                <w:rFonts w:ascii="Arial" w:cs="Arial" w:eastAsia="Arial" w:hAnsi="Arial"/>
                <w:sz w:val="13"/>
                <w:szCs w:val="13"/>
                <w:color w:val="auto"/>
              </w:rPr>
              <w:t>Commercial</w:t>
            </w: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383,311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6,881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2,358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392,5</w:t>
            </w:r>
          </w:p>
        </w:tc>
      </w:tr>
      <w:tr>
        <w:trPr>
          <w:trHeight w:val="181"/>
        </w:trPr>
        <w:tc>
          <w:tcPr>
            <w:tcW w:w="35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Construction</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220,057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w:t>
            </w:r>
          </w:p>
        </w:tc>
      </w:tr>
      <w:tr>
        <w:trPr>
          <w:trHeight w:val="177"/>
        </w:trPr>
        <w:tc>
          <w:tcPr>
            <w:tcW w:w="3520" w:type="dxa"/>
            <w:vAlign w:val="bottom"/>
          </w:tcPr>
          <w:p>
            <w:pPr>
              <w:ind w:left="280"/>
              <w:spacing w:after="0"/>
              <w:rPr>
                <w:sz w:val="20"/>
                <w:szCs w:val="20"/>
                <w:color w:val="auto"/>
              </w:rPr>
            </w:pPr>
            <w:r>
              <w:rPr>
                <w:rFonts w:ascii="Arial" w:cs="Arial" w:eastAsia="Arial" w:hAnsi="Arial"/>
                <w:sz w:val="13"/>
                <w:szCs w:val="13"/>
                <w:color w:val="auto"/>
              </w:rPr>
              <w:t>Commercial</w:t>
            </w: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145,365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9,766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157,1</w:t>
            </w:r>
          </w:p>
        </w:tc>
      </w:tr>
      <w:tr>
        <w:trPr>
          <w:trHeight w:val="181"/>
        </w:trPr>
        <w:tc>
          <w:tcPr>
            <w:tcW w:w="3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Credit card</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w:t>
            </w:r>
          </w:p>
        </w:tc>
      </w:tr>
      <w:tr>
        <w:trPr>
          <w:trHeight w:val="177"/>
        </w:trPr>
        <w:tc>
          <w:tcPr>
            <w:tcW w:w="3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consumer</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93"/>
        </w:trPr>
        <w:tc>
          <w:tcPr>
            <w:tcW w:w="35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w:t>
            </w: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1,280,828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12,539</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14"/>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w:t>
      </w:r>
    </w:p>
    <w:p>
      <w:pPr>
        <w:spacing w:after="0" w:line="50" w:lineRule="exact"/>
        <w:rPr>
          <w:sz w:val="20"/>
          <w:szCs w:val="20"/>
          <w:color w:val="auto"/>
        </w:rPr>
      </w:pPr>
    </w:p>
    <w:p>
      <w:pPr>
        <w:ind w:left="120" w:hanging="110"/>
        <w:spacing w:after="0"/>
        <w:tabs>
          <w:tab w:leader="none" w:pos="120"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Pass includes loans graded exceptional, very good, good, satisfactory and pass/watch, in addition to credit card loans which are not individually graded.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79" w:name="page80"/>
    <w:bookmarkEnd w:id="79"/>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Portfolio Loans Receivable (continued)</w:t>
      </w:r>
    </w:p>
    <w:p>
      <w:pPr>
        <w:spacing w:after="0" w:line="204" w:lineRule="exact"/>
        <w:rPr>
          <w:sz w:val="20"/>
          <w:szCs w:val="20"/>
          <w:color w:val="auto"/>
        </w:rPr>
      </w:pPr>
    </w:p>
    <w:p>
      <w:pPr>
        <w:jc w:val="both"/>
        <w:ind w:right="80" w:firstLine="268"/>
        <w:spacing w:after="0" w:line="251" w:lineRule="auto"/>
        <w:rPr>
          <w:sz w:val="20"/>
          <w:szCs w:val="20"/>
          <w:color w:val="auto"/>
        </w:rPr>
      </w:pPr>
      <w:r>
        <w:rPr>
          <w:rFonts w:ascii="Arial" w:cs="Arial" w:eastAsia="Arial" w:hAnsi="Arial"/>
          <w:sz w:val="15"/>
          <w:szCs w:val="15"/>
          <w:color w:val="auto"/>
        </w:rPr>
        <w:t>Impaired loans also include certain loans that have been modified in troubled debt restructurings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considering the borrower’s sustained repayment performance for a reasonable period, generally six months. The status of TDRs is as follows:</w:t>
      </w:r>
    </w:p>
    <w:p>
      <w:pPr>
        <w:spacing w:after="0" w:line="192"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ind w:left="540"/>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Recorded Investment</w:t>
            </w: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69"/>
        </w:trPr>
        <w:tc>
          <w:tcPr>
            <w:tcW w:w="4100" w:type="dxa"/>
            <w:vAlign w:val="bottom"/>
            <w:gridSpan w:val="2"/>
          </w:tcPr>
          <w:p>
            <w:pPr>
              <w:ind w:left="280"/>
              <w:spacing w:after="0"/>
              <w:rPr>
                <w:sz w:val="20"/>
                <w:szCs w:val="20"/>
                <w:color w:val="auto"/>
              </w:rPr>
            </w:pPr>
            <w:r>
              <w:rPr>
                <w:rFonts w:ascii="Arial" w:cs="Arial" w:eastAsia="Arial" w:hAnsi="Arial"/>
                <w:sz w:val="9"/>
                <w:szCs w:val="9"/>
                <w:color w:val="auto"/>
              </w:rPr>
              <w:t>(dollars in thousands)</w:t>
            </w:r>
          </w:p>
        </w:tc>
        <w:tc>
          <w:tcPr>
            <w:tcW w:w="1280" w:type="dxa"/>
            <w:vAlign w:val="bottom"/>
          </w:tcPr>
          <w:p>
            <w:pPr>
              <w:ind w:left="440"/>
              <w:spacing w:after="0"/>
              <w:rPr>
                <w:sz w:val="20"/>
                <w:szCs w:val="20"/>
                <w:color w:val="auto"/>
              </w:rPr>
            </w:pPr>
            <w:r>
              <w:rPr>
                <w:rFonts w:ascii="Arial" w:cs="Arial" w:eastAsia="Arial" w:hAnsi="Arial"/>
                <w:sz w:val="13"/>
                <w:szCs w:val="13"/>
                <w:b w:val="1"/>
                <w:bCs w:val="1"/>
                <w:color w:val="auto"/>
              </w:rPr>
              <w:t>Contracts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3"/>
                <w:szCs w:val="13"/>
                <w:b w:val="1"/>
                <w:bCs w:val="1"/>
                <w:color w:val="auto"/>
              </w:rPr>
              <w:t>Performing</w:t>
            </w:r>
          </w:p>
        </w:tc>
        <w:tc>
          <w:tcPr>
            <w:tcW w:w="36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Arial" w:cs="Arial" w:eastAsia="Arial" w:hAnsi="Arial"/>
                <w:sz w:val="13"/>
                <w:szCs w:val="13"/>
                <w:b w:val="1"/>
                <w:bCs w:val="1"/>
                <w:color w:val="auto"/>
              </w:rPr>
              <w:t>Nonperforming</w:t>
            </w:r>
          </w:p>
        </w:tc>
        <w:tc>
          <w:tcPr>
            <w:tcW w:w="58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3"/>
                <w:szCs w:val="13"/>
                <w:b w:val="1"/>
                <w:bCs w:val="1"/>
                <w:color w:val="auto"/>
              </w:rPr>
              <w:t>Total</w:t>
            </w:r>
          </w:p>
        </w:tc>
      </w:tr>
      <w:tr>
        <w:trPr>
          <w:trHeight w:val="159"/>
        </w:trPr>
        <w:tc>
          <w:tcPr>
            <w:tcW w:w="4000" w:type="dxa"/>
            <w:vAlign w:val="bottom"/>
            <w:tcBorders>
              <w:top w:val="single" w:sz="8" w:color="CCEEFF"/>
              <w:bottom w:val="single" w:sz="8" w:color="auto"/>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69"/>
        </w:trPr>
        <w:tc>
          <w:tcPr>
            <w:tcW w:w="4100" w:type="dxa"/>
            <w:vAlign w:val="bottom"/>
            <w:gridSpan w:val="2"/>
          </w:tcPr>
          <w:p>
            <w:pPr>
              <w:ind w:left="280"/>
              <w:spacing w:after="0"/>
              <w:rPr>
                <w:sz w:val="20"/>
                <w:szCs w:val="20"/>
                <w:color w:val="auto"/>
              </w:rPr>
            </w:pPr>
            <w:r>
              <w:rPr>
                <w:rFonts w:ascii="Arial" w:cs="Arial" w:eastAsia="Arial" w:hAnsi="Arial"/>
                <w:sz w:val="13"/>
                <w:szCs w:val="13"/>
                <w:color w:val="auto"/>
              </w:rPr>
              <w:t>Real estate:</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1"/>
        </w:trPr>
        <w:tc>
          <w:tcPr>
            <w:tcW w:w="41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Residential</w:t>
            </w: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r>
      <w:tr>
        <w:trPr>
          <w:trHeight w:val="178"/>
        </w:trPr>
        <w:tc>
          <w:tcPr>
            <w:tcW w:w="4100" w:type="dxa"/>
            <w:vAlign w:val="bottom"/>
            <w:gridSpan w:val="2"/>
          </w:tcPr>
          <w:p>
            <w:pPr>
              <w:ind w:left="280"/>
              <w:spacing w:after="0"/>
              <w:rPr>
                <w:sz w:val="20"/>
                <w:szCs w:val="20"/>
                <w:color w:val="auto"/>
              </w:rPr>
            </w:pPr>
            <w:r>
              <w:rPr>
                <w:rFonts w:ascii="Arial" w:cs="Arial" w:eastAsia="Arial" w:hAnsi="Arial"/>
                <w:sz w:val="13"/>
                <w:szCs w:val="13"/>
                <w:color w:val="auto"/>
              </w:rPr>
              <w:t>Commercial</w:t>
            </w:r>
          </w:p>
        </w:tc>
        <w:tc>
          <w:tcPr>
            <w:tcW w:w="12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2"/>
          </w:tcPr>
          <w:p>
            <w:pPr>
              <w:ind w:left="1060"/>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83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4"/>
        </w:trPr>
        <w:tc>
          <w:tcPr>
            <w:tcW w:w="410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Total</w:t>
            </w:r>
          </w:p>
        </w:tc>
        <w:tc>
          <w:tcPr>
            <w:tcW w:w="128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4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78"/>
        </w:trPr>
        <w:tc>
          <w:tcPr>
            <w:tcW w:w="4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9"/>
        </w:trPr>
        <w:tc>
          <w:tcPr>
            <w:tcW w:w="4100" w:type="dxa"/>
            <w:vAlign w:val="bottom"/>
            <w:gridSpan w:val="2"/>
          </w:tcPr>
          <w:p>
            <w:pPr>
              <w:ind w:left="280"/>
              <w:spacing w:after="0"/>
              <w:rPr>
                <w:sz w:val="20"/>
                <w:szCs w:val="20"/>
                <w:color w:val="auto"/>
              </w:rPr>
            </w:pPr>
            <w:r>
              <w:rPr>
                <w:rFonts w:ascii="Arial" w:cs="Arial" w:eastAsia="Arial" w:hAnsi="Arial"/>
                <w:sz w:val="13"/>
                <w:szCs w:val="13"/>
                <w:color w:val="auto"/>
              </w:rPr>
              <w:t>Real estate:</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1"/>
        </w:trPr>
        <w:tc>
          <w:tcPr>
            <w:tcW w:w="41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Residential</w:t>
            </w: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7"/>
        </w:trPr>
        <w:tc>
          <w:tcPr>
            <w:tcW w:w="410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Commercial</w:t>
            </w: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93"/>
        </w:trPr>
        <w:tc>
          <w:tcPr>
            <w:tcW w:w="41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80" w:firstLine="268"/>
        <w:spacing w:after="0" w:line="275" w:lineRule="auto"/>
        <w:rPr>
          <w:sz w:val="20"/>
          <w:szCs w:val="20"/>
          <w:color w:val="auto"/>
        </w:rPr>
      </w:pPr>
      <w:r>
        <w:rPr>
          <w:rFonts w:ascii="Arial" w:cs="Arial" w:eastAsia="Arial" w:hAnsi="Arial"/>
          <w:sz w:val="14"/>
          <w:szCs w:val="14"/>
          <w:color w:val="auto"/>
        </w:rPr>
        <w:t>During the year ended December 31, 2021, the Company did restructure one residential portfolio loan for $319 thousand in which the borrower was granted a rate reduction and payment recast. There were no material financial effects as a direct result of this modification There was one commercial TDR that was paid off during the twelve months ended December 31, 2021 for $200 thousand. The Company had no defaulted TDR loans in the twelve months ended December 31, 2021. During the year ended December 31, 2020, the Company did not incur any new TDR loans. The Company had no defaulted TDR loans in the twelve months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80" w:name="page81"/>
    <w:bookmarkEnd w:id="80"/>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Portfolio Loans Receivable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Outstanding loan commitments were as follows:</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Borders>
              <w:bottom w:val="single" w:sz="8" w:color="auto"/>
            </w:tcBorders>
          </w:tcPr>
          <w:p>
            <w:pPr>
              <w:spacing w:after="0"/>
              <w:rPr>
                <w:sz w:val="15"/>
                <w:szCs w:val="15"/>
                <w:color w:val="auto"/>
              </w:rPr>
            </w:pPr>
          </w:p>
        </w:tc>
      </w:tr>
      <w:tr>
        <w:trPr>
          <w:trHeight w:val="172"/>
        </w:trPr>
        <w:tc>
          <w:tcPr>
            <w:tcW w:w="6900" w:type="dxa"/>
            <w:vAlign w:val="bottom"/>
            <w:tcBorders>
              <w:bottom w:val="single" w:sz="8" w:color="CCEEFF"/>
            </w:tcBorders>
          </w:tcPr>
          <w:p>
            <w:pPr>
              <w:ind w:left="280"/>
              <w:spacing w:after="0"/>
              <w:rPr>
                <w:sz w:val="20"/>
                <w:szCs w:val="20"/>
                <w:color w:val="auto"/>
              </w:rPr>
            </w:pPr>
            <w:r>
              <w:rPr>
                <w:rFonts w:ascii="Arial" w:cs="Arial" w:eastAsia="Arial" w:hAnsi="Arial"/>
                <w:sz w:val="9"/>
                <w:szCs w:val="9"/>
                <w:color w:val="auto"/>
              </w:rPr>
              <w:t>(in thousands)</w:t>
            </w: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r>
      <w:tr>
        <w:trPr>
          <w:trHeight w:val="160"/>
        </w:trPr>
        <w:tc>
          <w:tcPr>
            <w:tcW w:w="6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Unused lines of credit</w:t>
            </w:r>
          </w:p>
        </w:tc>
        <w:tc>
          <w:tcPr>
            <w:tcW w:w="7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78"/>
        </w:trPr>
        <w:tc>
          <w:tcPr>
            <w:tcW w:w="6900" w:type="dxa"/>
            <w:vAlign w:val="bottom"/>
          </w:tcPr>
          <w:p>
            <w:pPr>
              <w:ind w:left="380"/>
              <w:spacing w:after="0"/>
              <w:rPr>
                <w:sz w:val="20"/>
                <w:szCs w:val="20"/>
                <w:color w:val="auto"/>
              </w:rPr>
            </w:pPr>
            <w:r>
              <w:rPr>
                <w:rFonts w:ascii="Arial" w:cs="Arial" w:eastAsia="Arial" w:hAnsi="Arial"/>
                <w:sz w:val="13"/>
                <w:szCs w:val="13"/>
                <w:color w:val="auto"/>
              </w:rPr>
              <w:t>Commercial</w:t>
            </w:r>
          </w:p>
        </w:tc>
        <w:tc>
          <w:tcPr>
            <w:tcW w:w="70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15,747</w:t>
            </w:r>
          </w:p>
        </w:tc>
        <w:tc>
          <w:tcPr>
            <w:tcW w:w="120" w:type="dxa"/>
            <w:vAlign w:val="bottom"/>
          </w:tcPr>
          <w:p>
            <w:pPr>
              <w:spacing w:after="0"/>
              <w:rPr>
                <w:sz w:val="15"/>
                <w:szCs w:val="15"/>
                <w:color w:val="auto"/>
              </w:rPr>
            </w:pPr>
          </w:p>
        </w:tc>
        <w:tc>
          <w:tcPr>
            <w:tcW w:w="78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15,9</w:t>
            </w:r>
          </w:p>
        </w:tc>
      </w:tr>
      <w:tr>
        <w:trPr>
          <w:trHeight w:val="180"/>
        </w:trPr>
        <w:tc>
          <w:tcPr>
            <w:tcW w:w="6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Commercial real estate</w:t>
            </w: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37,640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r>
      <w:tr>
        <w:trPr>
          <w:trHeight w:val="178"/>
        </w:trPr>
        <w:tc>
          <w:tcPr>
            <w:tcW w:w="6900" w:type="dxa"/>
            <w:vAlign w:val="bottom"/>
          </w:tcPr>
          <w:p>
            <w:pPr>
              <w:ind w:left="380"/>
              <w:spacing w:after="0"/>
              <w:rPr>
                <w:sz w:val="20"/>
                <w:szCs w:val="20"/>
                <w:color w:val="auto"/>
              </w:rPr>
            </w:pPr>
            <w:r>
              <w:rPr>
                <w:rFonts w:ascii="Arial" w:cs="Arial" w:eastAsia="Arial" w:hAnsi="Arial"/>
                <w:sz w:val="13"/>
                <w:szCs w:val="13"/>
                <w:color w:val="auto"/>
              </w:rPr>
              <w:t>Residential real estate</w:t>
            </w:r>
          </w:p>
        </w:tc>
        <w:tc>
          <w:tcPr>
            <w:tcW w:w="7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17,225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20,8</w:t>
            </w:r>
          </w:p>
        </w:tc>
      </w:tr>
      <w:tr>
        <w:trPr>
          <w:trHeight w:val="180"/>
        </w:trPr>
        <w:tc>
          <w:tcPr>
            <w:tcW w:w="6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Home equity</w:t>
            </w: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118,518</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w:t>
            </w:r>
          </w:p>
        </w:tc>
      </w:tr>
      <w:tr>
        <w:trPr>
          <w:trHeight w:val="178"/>
        </w:trPr>
        <w:tc>
          <w:tcPr>
            <w:tcW w:w="6900" w:type="dxa"/>
            <w:vAlign w:val="bottom"/>
          </w:tcPr>
          <w:p>
            <w:pPr>
              <w:ind w:left="380"/>
              <w:spacing w:after="0"/>
              <w:rPr>
                <w:sz w:val="20"/>
                <w:szCs w:val="20"/>
                <w:color w:val="auto"/>
              </w:rPr>
            </w:pPr>
            <w:r>
              <w:rPr>
                <w:rFonts w:ascii="Arial" w:cs="Arial" w:eastAsia="Arial" w:hAnsi="Arial"/>
                <w:sz w:val="13"/>
                <w:szCs w:val="13"/>
                <w:color w:val="auto"/>
              </w:rPr>
              <w:t>Commercial and industrial</w:t>
            </w:r>
          </w:p>
        </w:tc>
        <w:tc>
          <w:tcPr>
            <w:tcW w:w="7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45,135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50,8</w:t>
            </w:r>
          </w:p>
        </w:tc>
      </w:tr>
      <w:tr>
        <w:trPr>
          <w:trHeight w:val="180"/>
        </w:trPr>
        <w:tc>
          <w:tcPr>
            <w:tcW w:w="6900" w:type="dxa"/>
            <w:vAlign w:val="bottom"/>
            <w:shd w:val="clear" w:color="auto" w:fill="CCEEFF"/>
          </w:tcPr>
          <w:p>
            <w:pPr>
              <w:ind w:left="380"/>
              <w:spacing w:after="0" w:line="180" w:lineRule="exact"/>
              <w:rPr>
                <w:sz w:val="20"/>
                <w:szCs w:val="20"/>
                <w:color w:val="auto"/>
              </w:rPr>
            </w:pPr>
            <w:r>
              <w:rPr>
                <w:rFonts w:ascii="Arial" w:cs="Arial" w:eastAsia="Arial" w:hAnsi="Arial"/>
                <w:sz w:val="13"/>
                <w:szCs w:val="13"/>
                <w:color w:val="auto"/>
              </w:rPr>
              <w:t>Credit card</w:t>
            </w:r>
            <w:r>
              <w:rPr>
                <w:rFonts w:ascii="Arial" w:cs="Arial" w:eastAsia="Arial" w:hAnsi="Arial"/>
                <w:sz w:val="17"/>
                <w:szCs w:val="17"/>
                <w:color w:val="auto"/>
                <w:vertAlign w:val="superscript"/>
              </w:rPr>
              <w:t>(1)</w:t>
            </w: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123,874</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w:t>
            </w:r>
          </w:p>
        </w:tc>
      </w:tr>
      <w:tr>
        <w:trPr>
          <w:trHeight w:val="178"/>
        </w:trPr>
        <w:tc>
          <w:tcPr>
            <w:tcW w:w="690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Personal</w:t>
            </w: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2,247</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95"/>
        </w:trPr>
        <w:tc>
          <w:tcPr>
            <w:tcW w:w="69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360,386</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6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04"/>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Commitments to originate residential loans held for sale</w:t>
            </w:r>
          </w:p>
        </w:tc>
        <w:tc>
          <w:tcPr>
            <w:tcW w:w="7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1,385</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6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04"/>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Letters of credit</w:t>
            </w:r>
          </w:p>
        </w:tc>
        <w:tc>
          <w:tcPr>
            <w:tcW w:w="7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5,105</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spacing w:after="0" w:line="1" w:lineRule="exact"/>
        <w:rPr>
          <w:sz w:val="20"/>
          <w:szCs w:val="20"/>
          <w:color w:val="auto"/>
        </w:rPr>
      </w:pPr>
    </w:p>
    <w:p>
      <w:pPr>
        <w:ind w:left="120" w:hanging="110"/>
        <w:spacing w:after="0"/>
        <w:tabs>
          <w:tab w:leader="none" w:pos="120" w:val="left"/>
        </w:tabs>
        <w:numPr>
          <w:ilvl w:val="0"/>
          <w:numId w:val="22"/>
        </w:numPr>
        <w:rPr>
          <w:rFonts w:ascii="Arial" w:cs="Arial" w:eastAsia="Arial" w:hAnsi="Arial"/>
          <w:sz w:val="13"/>
          <w:szCs w:val="13"/>
          <w:color w:val="auto"/>
          <w:vertAlign w:val="superscript"/>
        </w:rPr>
      </w:pPr>
      <w:r>
        <w:rPr>
          <w:rFonts w:ascii="Arial" w:cs="Arial" w:eastAsia="Arial" w:hAnsi="Arial"/>
          <w:sz w:val="10"/>
          <w:szCs w:val="10"/>
          <w:color w:val="auto"/>
        </w:rPr>
        <w:t>Outstanding loan commitments in the credit card portfolio include $98.2 million and $89.5 million in secured balances as of December 31, 2021 and 2020, respectively.</w:t>
      </w:r>
    </w:p>
    <w:p>
      <w:pPr>
        <w:spacing w:after="0" w:line="165" w:lineRule="exact"/>
        <w:rPr>
          <w:sz w:val="20"/>
          <w:szCs w:val="20"/>
          <w:color w:val="auto"/>
        </w:rPr>
      </w:pPr>
    </w:p>
    <w:p>
      <w:pPr>
        <w:jc w:val="both"/>
        <w:ind w:right="80" w:firstLine="268"/>
        <w:spacing w:after="0" w:line="251" w:lineRule="auto"/>
        <w:rPr>
          <w:sz w:val="20"/>
          <w:szCs w:val="20"/>
          <w:color w:val="auto"/>
        </w:rPr>
      </w:pPr>
      <w:r>
        <w:rPr>
          <w:rFonts w:ascii="Arial" w:cs="Arial" w:eastAsia="Arial" w:hAnsi="Arial"/>
          <w:sz w:val="15"/>
          <w:szCs w:val="15"/>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draw upon their lines in full at any time. Loan commitments generally have variable interest rates, fixed expiration dates, and may require payment of a fee. Letters of credit are conditional commitments issued by us to guarantee the performance of a customer to a third party. In the event of nonperformance by the customer in accordance with the terms of the agreement with the third party, the Company would be required to fund the commitment.</w:t>
      </w:r>
    </w:p>
    <w:p>
      <w:pPr>
        <w:spacing w:after="0" w:line="172"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The Company's maximum exposure to credit loss in the event of nonperformance by the customer is the contractual amount of the credit commitment. Loan commitments and lines of credit are made on the same terms, including collateral, as outstanding loans. The Company is not aware of any accounting loss to be incurred by funding these loan commitments.</w:t>
      </w:r>
    </w:p>
    <w:p>
      <w:pPr>
        <w:spacing w:after="0" w:line="171"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As of December 31, 2021 and 2020, respectively, the Company had an allowance for off-balance-sheet credit risk of $1.7 million and $1.8 million, recorded in other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81" w:name="page82"/>
    <w:bookmarkEnd w:id="81"/>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Portfolio Loans Receivable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 maintains a reserve for off-balance sheet items such as unfunded lines of credit. Activity for this account is as follows:</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6900" w:type="dxa"/>
            <w:vAlign w:val="bottom"/>
          </w:tcPr>
          <w:p>
            <w:pPr>
              <w:ind w:left="280"/>
              <w:spacing w:after="0"/>
              <w:rPr>
                <w:sz w:val="20"/>
                <w:szCs w:val="20"/>
                <w:color w:val="auto"/>
              </w:rPr>
            </w:pPr>
            <w:r>
              <w:rPr>
                <w:rFonts w:ascii="Arial" w:cs="Arial" w:eastAsia="Arial" w:hAnsi="Arial"/>
                <w:sz w:val="9"/>
                <w:szCs w:val="9"/>
                <w:color w:val="auto"/>
              </w:rPr>
              <w:t>(in thousands)</w:t>
            </w: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r>
      <w:tr>
        <w:trPr>
          <w:trHeight w:val="172"/>
        </w:trPr>
        <w:tc>
          <w:tcPr>
            <w:tcW w:w="6900" w:type="dxa"/>
            <w:vAlign w:val="bottom"/>
          </w:tcPr>
          <w:p>
            <w:pPr>
              <w:ind w:left="280"/>
              <w:spacing w:after="0"/>
              <w:rPr>
                <w:sz w:val="20"/>
                <w:szCs w:val="20"/>
                <w:color w:val="auto"/>
              </w:rPr>
            </w:pPr>
            <w:r>
              <w:rPr>
                <w:rFonts w:ascii="Arial" w:cs="Arial" w:eastAsia="Arial" w:hAnsi="Arial"/>
                <w:sz w:val="13"/>
                <w:szCs w:val="13"/>
                <w:color w:val="auto"/>
              </w:rPr>
              <w:t>Balance at beginning of period</w:t>
            </w:r>
          </w:p>
        </w:tc>
        <w:tc>
          <w:tcPr>
            <w:tcW w:w="70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1,776</w:t>
            </w:r>
          </w:p>
        </w:tc>
        <w:tc>
          <w:tcPr>
            <w:tcW w:w="120" w:type="dxa"/>
            <w:vAlign w:val="bottom"/>
          </w:tcPr>
          <w:p>
            <w:pPr>
              <w:spacing w:after="0"/>
              <w:rPr>
                <w:sz w:val="14"/>
                <w:szCs w:val="14"/>
                <w:color w:val="auto"/>
              </w:rPr>
            </w:pPr>
          </w:p>
        </w:tc>
        <w:tc>
          <w:tcPr>
            <w:tcW w:w="7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80"/>
        </w:trPr>
        <w:tc>
          <w:tcPr>
            <w:tcW w:w="6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Provision expense (release)</w:t>
            </w: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8"/>
        </w:trPr>
        <w:tc>
          <w:tcPr>
            <w:tcW w:w="6900" w:type="dxa"/>
            <w:vAlign w:val="bottom"/>
          </w:tcPr>
          <w:p>
            <w:pPr>
              <w:ind w:left="380"/>
              <w:spacing w:after="0"/>
              <w:rPr>
                <w:sz w:val="20"/>
                <w:szCs w:val="20"/>
                <w:color w:val="auto"/>
              </w:rPr>
            </w:pPr>
            <w:r>
              <w:rPr>
                <w:rFonts w:ascii="Arial" w:cs="Arial" w:eastAsia="Arial" w:hAnsi="Arial"/>
                <w:sz w:val="13"/>
                <w:szCs w:val="13"/>
                <w:color w:val="auto"/>
              </w:rPr>
              <w:t>Add: Recoveries</w:t>
            </w:r>
          </w:p>
        </w:tc>
        <w:tc>
          <w:tcPr>
            <w:tcW w:w="70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6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Less: Charge-offs</w:t>
            </w:r>
          </w:p>
        </w:tc>
        <w:tc>
          <w:tcPr>
            <w:tcW w:w="7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1"/>
        </w:trPr>
        <w:tc>
          <w:tcPr>
            <w:tcW w:w="6900" w:type="dxa"/>
            <w:vAlign w:val="bottom"/>
          </w:tcPr>
          <w:p>
            <w:pPr>
              <w:ind w:left="280"/>
              <w:spacing w:after="0"/>
              <w:rPr>
                <w:sz w:val="20"/>
                <w:szCs w:val="20"/>
                <w:color w:val="auto"/>
              </w:rPr>
            </w:pPr>
            <w:r>
              <w:rPr>
                <w:rFonts w:ascii="Arial" w:cs="Arial" w:eastAsia="Arial" w:hAnsi="Arial"/>
                <w:sz w:val="13"/>
                <w:szCs w:val="13"/>
                <w:color w:val="auto"/>
              </w:rPr>
              <w:t>Balance at end of period</w:t>
            </w: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1,736</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20"/>
        </w:trPr>
        <w:tc>
          <w:tcPr>
            <w:tcW w:w="6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The Company makes representations and warranties that loans sold to investors meet their program's guidelines and that the information provided by the borrowers is accurate and complete. In the event of a default on a loan sold, the investor may make a claim for losses due to document deficiencies, program non-compliance, early payment default, and fraud or borrower misrepresentations.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 maintains a reserve for potential losses on mortgage loans sold. Activity in this reserve is as follows for the periods presented:</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6900" w:type="dxa"/>
            <w:vAlign w:val="bottom"/>
          </w:tcPr>
          <w:p>
            <w:pPr>
              <w:ind w:left="280"/>
              <w:spacing w:after="0"/>
              <w:rPr>
                <w:sz w:val="20"/>
                <w:szCs w:val="20"/>
                <w:color w:val="auto"/>
              </w:rPr>
            </w:pPr>
            <w:r>
              <w:rPr>
                <w:rFonts w:ascii="Arial" w:cs="Arial" w:eastAsia="Arial" w:hAnsi="Arial"/>
                <w:sz w:val="9"/>
                <w:szCs w:val="9"/>
                <w:color w:val="auto"/>
              </w:rPr>
              <w:t>(in thousands)</w:t>
            </w: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r>
      <w:tr>
        <w:trPr>
          <w:trHeight w:val="172"/>
        </w:trPr>
        <w:tc>
          <w:tcPr>
            <w:tcW w:w="6900" w:type="dxa"/>
            <w:vAlign w:val="bottom"/>
          </w:tcPr>
          <w:p>
            <w:pPr>
              <w:ind w:left="280"/>
              <w:spacing w:after="0"/>
              <w:rPr>
                <w:sz w:val="20"/>
                <w:szCs w:val="20"/>
                <w:color w:val="auto"/>
              </w:rPr>
            </w:pPr>
            <w:r>
              <w:rPr>
                <w:rFonts w:ascii="Arial" w:cs="Arial" w:eastAsia="Arial" w:hAnsi="Arial"/>
                <w:sz w:val="13"/>
                <w:szCs w:val="13"/>
                <w:color w:val="auto"/>
              </w:rPr>
              <w:t>Balance at beginning of period</w:t>
            </w:r>
          </w:p>
        </w:tc>
        <w:tc>
          <w:tcPr>
            <w:tcW w:w="70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1,160</w:t>
            </w:r>
          </w:p>
        </w:tc>
        <w:tc>
          <w:tcPr>
            <w:tcW w:w="120" w:type="dxa"/>
            <w:vAlign w:val="bottom"/>
          </w:tcPr>
          <w:p>
            <w:pPr>
              <w:spacing w:after="0"/>
              <w:rPr>
                <w:sz w:val="14"/>
                <w:szCs w:val="14"/>
                <w:color w:val="auto"/>
              </w:rPr>
            </w:pPr>
          </w:p>
        </w:tc>
        <w:tc>
          <w:tcPr>
            <w:tcW w:w="7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80"/>
        </w:trPr>
        <w:tc>
          <w:tcPr>
            <w:tcW w:w="6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Add: Provision</w:t>
            </w: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8"/>
        </w:trPr>
        <w:tc>
          <w:tcPr>
            <w:tcW w:w="6900" w:type="dxa"/>
            <w:vAlign w:val="bottom"/>
          </w:tcPr>
          <w:p>
            <w:pPr>
              <w:ind w:left="380"/>
              <w:spacing w:after="0"/>
              <w:rPr>
                <w:sz w:val="20"/>
                <w:szCs w:val="20"/>
                <w:color w:val="auto"/>
              </w:rPr>
            </w:pPr>
            <w:r>
              <w:rPr>
                <w:rFonts w:ascii="Arial" w:cs="Arial" w:eastAsia="Arial" w:hAnsi="Arial"/>
                <w:sz w:val="13"/>
                <w:szCs w:val="13"/>
                <w:color w:val="auto"/>
              </w:rPr>
              <w:t>Add: Recoveries</w:t>
            </w:r>
          </w:p>
        </w:tc>
        <w:tc>
          <w:tcPr>
            <w:tcW w:w="70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6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Less: Charge-offs</w:t>
            </w:r>
          </w:p>
        </w:tc>
        <w:tc>
          <w:tcPr>
            <w:tcW w:w="7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900" w:type="dxa"/>
            <w:vAlign w:val="bottom"/>
          </w:tcPr>
          <w:p>
            <w:pPr>
              <w:ind w:left="280"/>
              <w:spacing w:after="0"/>
              <w:rPr>
                <w:sz w:val="20"/>
                <w:szCs w:val="20"/>
                <w:color w:val="auto"/>
              </w:rPr>
            </w:pPr>
            <w:r>
              <w:rPr>
                <w:rFonts w:ascii="Arial" w:cs="Arial" w:eastAsia="Arial" w:hAnsi="Arial"/>
                <w:sz w:val="13"/>
                <w:szCs w:val="13"/>
                <w:color w:val="auto"/>
              </w:rPr>
              <w:t>Balance at end of period</w:t>
            </w: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1,164</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6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 Premises and Equipment</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Premises and equipment and the related depreciation and amortization consist of the following:</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7260" w:type="dxa"/>
            <w:vAlign w:val="bottom"/>
          </w:tcPr>
          <w:p>
            <w:pPr>
              <w:ind w:left="280"/>
              <w:spacing w:after="0"/>
              <w:rPr>
                <w:sz w:val="20"/>
                <w:szCs w:val="20"/>
                <w:color w:val="auto"/>
              </w:rPr>
            </w:pPr>
            <w:r>
              <w:rPr>
                <w:rFonts w:ascii="Arial" w:cs="Arial" w:eastAsia="Arial" w:hAnsi="Arial"/>
                <w:sz w:val="9"/>
                <w:szCs w:val="9"/>
                <w:i w:val="1"/>
                <w:iCs w:val="1"/>
                <w:color w:val="auto"/>
              </w:rPr>
              <w:t>(in thousands)</w:t>
            </w: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r>
      <w:tr>
        <w:trPr>
          <w:trHeight w:val="172"/>
        </w:trPr>
        <w:tc>
          <w:tcPr>
            <w:tcW w:w="7260" w:type="dxa"/>
            <w:vAlign w:val="bottom"/>
          </w:tcPr>
          <w:p>
            <w:pPr>
              <w:ind w:left="280"/>
              <w:spacing w:after="0"/>
              <w:rPr>
                <w:sz w:val="20"/>
                <w:szCs w:val="20"/>
                <w:color w:val="auto"/>
              </w:rPr>
            </w:pPr>
            <w:r>
              <w:rPr>
                <w:rFonts w:ascii="Arial" w:cs="Arial" w:eastAsia="Arial" w:hAnsi="Arial"/>
                <w:sz w:val="13"/>
                <w:szCs w:val="13"/>
                <w:color w:val="auto"/>
              </w:rPr>
              <w:t>Leasehold improvements</w:t>
            </w:r>
          </w:p>
        </w:tc>
        <w:tc>
          <w:tcPr>
            <w:tcW w:w="640" w:type="dxa"/>
            <w:vAlign w:val="bottom"/>
          </w:tcPr>
          <w:p>
            <w:pPr>
              <w:jc w:val="right"/>
              <w:ind w:right="213"/>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1,718</w:t>
            </w:r>
          </w:p>
        </w:tc>
        <w:tc>
          <w:tcPr>
            <w:tcW w:w="240" w:type="dxa"/>
            <w:vAlign w:val="bottom"/>
          </w:tcPr>
          <w:p>
            <w:pPr>
              <w:spacing w:after="0"/>
              <w:rPr>
                <w:sz w:val="14"/>
                <w:szCs w:val="14"/>
                <w:color w:val="auto"/>
              </w:rPr>
            </w:pPr>
          </w:p>
        </w:tc>
        <w:tc>
          <w:tcPr>
            <w:tcW w:w="6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80"/>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Furniture and equipment</w:t>
            </w: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4,657</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78"/>
        </w:trPr>
        <w:tc>
          <w:tcPr>
            <w:tcW w:w="7260" w:type="dxa"/>
            <w:vAlign w:val="bottom"/>
          </w:tcPr>
          <w:p>
            <w:pPr>
              <w:ind w:left="280"/>
              <w:spacing w:after="0"/>
              <w:rPr>
                <w:sz w:val="20"/>
                <w:szCs w:val="20"/>
                <w:color w:val="auto"/>
              </w:rPr>
            </w:pPr>
            <w:r>
              <w:rPr>
                <w:rFonts w:ascii="Arial" w:cs="Arial" w:eastAsia="Arial" w:hAnsi="Arial"/>
                <w:sz w:val="13"/>
                <w:szCs w:val="13"/>
                <w:color w:val="auto"/>
              </w:rPr>
              <w:t>Vehicle</w:t>
            </w:r>
          </w:p>
        </w:tc>
        <w:tc>
          <w:tcPr>
            <w:tcW w:w="6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54</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Software</w:t>
            </w: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2,518</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78"/>
        </w:trPr>
        <w:tc>
          <w:tcPr>
            <w:tcW w:w="7260" w:type="dxa"/>
            <w:vAlign w:val="bottom"/>
          </w:tcPr>
          <w:p>
            <w:pPr>
              <w:ind w:left="280"/>
              <w:spacing w:after="0"/>
              <w:rPr>
                <w:sz w:val="20"/>
                <w:szCs w:val="20"/>
                <w:color w:val="auto"/>
              </w:rPr>
            </w:pPr>
            <w:r>
              <w:rPr>
                <w:rFonts w:ascii="Arial" w:cs="Arial" w:eastAsia="Arial" w:hAnsi="Arial"/>
                <w:sz w:val="13"/>
                <w:szCs w:val="13"/>
                <w:color w:val="auto"/>
              </w:rPr>
              <w:t>Construction in progress</w:t>
            </w:r>
          </w:p>
        </w:tc>
        <w:tc>
          <w:tcPr>
            <w:tcW w:w="64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1"/>
        </w:trPr>
        <w:tc>
          <w:tcPr>
            <w:tcW w:w="72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8,947</w:t>
            </w: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178"/>
        </w:trPr>
        <w:tc>
          <w:tcPr>
            <w:tcW w:w="72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Less: Accumulated depreciation and amortization</w:t>
            </w: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8,131</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r>
      <w:tr>
        <w:trPr>
          <w:trHeight w:val="171"/>
        </w:trPr>
        <w:tc>
          <w:tcPr>
            <w:tcW w:w="7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Premises and equipment</w:t>
            </w:r>
          </w:p>
        </w:tc>
        <w:tc>
          <w:tcPr>
            <w:tcW w:w="6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816</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r>
      <w:tr>
        <w:trPr>
          <w:trHeight w:val="178"/>
        </w:trPr>
        <w:tc>
          <w:tcPr>
            <w:tcW w:w="7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lease asset</w:t>
            </w: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2,466</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196"/>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Premises and equipment, net</w:t>
            </w:r>
          </w:p>
        </w:tc>
        <w:tc>
          <w:tcPr>
            <w:tcW w:w="6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3,282</w:t>
            </w:r>
          </w:p>
        </w:tc>
        <w:tc>
          <w:tcPr>
            <w:tcW w:w="2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7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04"/>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Depreciation and amortization expense</w:t>
            </w:r>
          </w:p>
        </w:tc>
        <w:tc>
          <w:tcPr>
            <w:tcW w:w="6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561</w:t>
            </w: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82" w:name="page83"/>
    <w:bookmarkEnd w:id="82"/>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 Leases</w:t>
      </w:r>
    </w:p>
    <w:p>
      <w:pPr>
        <w:spacing w:after="0" w:line="204" w:lineRule="exact"/>
        <w:rPr>
          <w:sz w:val="20"/>
          <w:szCs w:val="20"/>
          <w:color w:val="auto"/>
        </w:rPr>
      </w:pPr>
    </w:p>
    <w:p>
      <w:pPr>
        <w:jc w:val="both"/>
        <w:ind w:right="80" w:firstLine="268"/>
        <w:spacing w:after="0" w:line="252" w:lineRule="auto"/>
        <w:rPr>
          <w:sz w:val="20"/>
          <w:szCs w:val="20"/>
          <w:color w:val="auto"/>
        </w:rPr>
      </w:pPr>
      <w:r>
        <w:rPr>
          <w:rFonts w:ascii="Arial" w:cs="Arial" w:eastAsia="Arial" w:hAnsi="Arial"/>
          <w:sz w:val="15"/>
          <w:szCs w:val="15"/>
          <w:color w:val="auto"/>
        </w:rPr>
        <w:t>The Company’s primary leasing activities relate to certain real estate leases entered into in support of the Company’s branch operations and back office operations. As of December 31, 2021, the Company had leased four of its full service branches and five other locations for corporate/administration activities, operations, and loan production. All property leases under lease agreements have been been designated as operating leases. The Company does not have leases designated as finance leases.</w:t>
      </w:r>
    </w:p>
    <w:p>
      <w:pPr>
        <w:spacing w:after="0" w:line="171" w:lineRule="exact"/>
        <w:rPr>
          <w:sz w:val="20"/>
          <w:szCs w:val="20"/>
          <w:color w:val="auto"/>
        </w:rPr>
      </w:pPr>
    </w:p>
    <w:p>
      <w:pPr>
        <w:jc w:val="both"/>
        <w:ind w:right="80" w:firstLine="268"/>
        <w:spacing w:after="0" w:line="250" w:lineRule="auto"/>
        <w:rPr>
          <w:sz w:val="20"/>
          <w:szCs w:val="20"/>
          <w:color w:val="auto"/>
        </w:rPr>
      </w:pPr>
      <w:r>
        <w:rPr>
          <w:rFonts w:ascii="Arial" w:cs="Arial" w:eastAsia="Arial" w:hAnsi="Arial"/>
          <w:sz w:val="15"/>
          <w:szCs w:val="15"/>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2.23%.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173"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As of December 31, 2021, the Company’s lease ROU assets and related lease liabilities were $2.5 million and $2.7 million, respectively, and have remaining terms ranging from 1 - 6 years, including extension options that the Company is reasonably certain will be exercised. As of December 31, 2021, the Company had not entered into any material leases that have not yet commenced. The Company’s lease information is summarized as follows: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Leases</w:t>
      </w:r>
    </w:p>
    <w:p>
      <w:pPr>
        <w:spacing w:after="0" w:line="25"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67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(in thousands)</w:t>
            </w:r>
          </w:p>
        </w:tc>
        <w:tc>
          <w:tcPr>
            <w:tcW w:w="1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2020</w:t>
            </w:r>
          </w:p>
        </w:tc>
      </w:tr>
      <w:tr>
        <w:trPr>
          <w:trHeight w:val="148"/>
        </w:trPr>
        <w:tc>
          <w:tcPr>
            <w:tcW w:w="6880" w:type="dxa"/>
            <w:vAlign w:val="bottom"/>
            <w:gridSpan w:val="2"/>
            <w:shd w:val="clear" w:color="auto" w:fill="CCEEFF"/>
          </w:tcPr>
          <w:p>
            <w:pPr>
              <w:ind w:left="280"/>
              <w:spacing w:after="0"/>
              <w:rPr>
                <w:sz w:val="20"/>
                <w:szCs w:val="20"/>
                <w:color w:val="auto"/>
              </w:rPr>
            </w:pPr>
            <w:r>
              <w:rPr>
                <w:rFonts w:ascii="Arial" w:cs="Arial" w:eastAsia="Arial" w:hAnsi="Arial"/>
                <w:sz w:val="12"/>
                <w:szCs w:val="12"/>
                <w:b w:val="1"/>
                <w:bCs w:val="1"/>
                <w:color w:val="auto"/>
              </w:rPr>
              <w:t>Lease Right-of-Use Asset</w:t>
            </w:r>
          </w:p>
        </w:tc>
        <w:tc>
          <w:tcPr>
            <w:tcW w:w="7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57"/>
        </w:trPr>
        <w:tc>
          <w:tcPr>
            <w:tcW w:w="6880" w:type="dxa"/>
            <w:vAlign w:val="bottom"/>
            <w:gridSpan w:val="2"/>
          </w:tcPr>
          <w:p>
            <w:pPr>
              <w:ind w:left="280"/>
              <w:spacing w:after="0"/>
              <w:rPr>
                <w:sz w:val="20"/>
                <w:szCs w:val="20"/>
                <w:color w:val="auto"/>
              </w:rPr>
            </w:pPr>
            <w:r>
              <w:rPr>
                <w:rFonts w:ascii="Arial" w:cs="Arial" w:eastAsia="Arial" w:hAnsi="Arial"/>
                <w:sz w:val="12"/>
                <w:szCs w:val="12"/>
                <w:color w:val="auto"/>
              </w:rPr>
              <w:t>Lease asset</w:t>
            </w:r>
          </w:p>
        </w:tc>
        <w:tc>
          <w:tcPr>
            <w:tcW w:w="700" w:type="dxa"/>
            <w:vAlign w:val="bottom"/>
          </w:tcPr>
          <w:p>
            <w:pPr>
              <w:jc w:val="right"/>
              <w:ind w:right="280"/>
              <w:spacing w:after="0"/>
              <w:rPr>
                <w:sz w:val="20"/>
                <w:szCs w:val="20"/>
                <w:color w:val="auto"/>
              </w:rPr>
            </w:pPr>
            <w:r>
              <w:rPr>
                <w:rFonts w:ascii="Arial" w:cs="Arial" w:eastAsia="Arial" w:hAnsi="Arial"/>
                <w:sz w:val="12"/>
                <w:szCs w:val="12"/>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5,364</w:t>
            </w:r>
          </w:p>
        </w:tc>
        <w:tc>
          <w:tcPr>
            <w:tcW w:w="100" w:type="dxa"/>
            <w:vAlign w:val="bottom"/>
          </w:tcPr>
          <w:p>
            <w:pPr>
              <w:spacing w:after="0"/>
              <w:rPr>
                <w:sz w:val="13"/>
                <w:szCs w:val="13"/>
                <w:color w:val="auto"/>
              </w:rPr>
            </w:pPr>
          </w:p>
        </w:tc>
        <w:tc>
          <w:tcPr>
            <w:tcW w:w="700" w:type="dxa"/>
            <w:vAlign w:val="bottom"/>
          </w:tcPr>
          <w:p>
            <w:pPr>
              <w:jc w:val="right"/>
              <w:ind w:right="300"/>
              <w:spacing w:after="0"/>
              <w:rPr>
                <w:sz w:val="20"/>
                <w:szCs w:val="20"/>
                <w:color w:val="auto"/>
              </w:rPr>
            </w:pPr>
            <w:r>
              <w:rPr>
                <w:rFonts w:ascii="Arial" w:cs="Arial" w:eastAsia="Arial" w:hAnsi="Arial"/>
                <w:sz w:val="12"/>
                <w:szCs w:val="12"/>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5,3</w:t>
            </w:r>
          </w:p>
        </w:tc>
      </w:tr>
      <w:tr>
        <w:trPr>
          <w:trHeight w:val="157"/>
        </w:trPr>
        <w:tc>
          <w:tcPr>
            <w:tcW w:w="68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Less: Accumulated amortization</w:t>
            </w:r>
          </w:p>
        </w:tc>
        <w:tc>
          <w:tcPr>
            <w:tcW w:w="70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(2,898)</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w:t>
            </w:r>
          </w:p>
        </w:tc>
      </w:tr>
      <w:tr>
        <w:trPr>
          <w:trHeight w:val="148"/>
        </w:trPr>
        <w:tc>
          <w:tcPr>
            <w:tcW w:w="6880" w:type="dxa"/>
            <w:vAlign w:val="bottom"/>
            <w:gridSpan w:val="2"/>
          </w:tcPr>
          <w:p>
            <w:pPr>
              <w:ind w:left="280"/>
              <w:spacing w:after="0"/>
              <w:rPr>
                <w:sz w:val="20"/>
                <w:szCs w:val="20"/>
                <w:color w:val="auto"/>
              </w:rPr>
            </w:pPr>
            <w:r>
              <w:rPr>
                <w:rFonts w:ascii="Arial" w:cs="Arial" w:eastAsia="Arial" w:hAnsi="Arial"/>
                <w:sz w:val="12"/>
                <w:szCs w:val="12"/>
                <w:color w:val="auto"/>
              </w:rPr>
              <w:t>Net lease asset</w:t>
            </w: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2,466</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3,1</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1"/>
        </w:trPr>
        <w:tc>
          <w:tcPr>
            <w:tcW w:w="6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57"/>
        </w:trPr>
        <w:tc>
          <w:tcPr>
            <w:tcW w:w="6880" w:type="dxa"/>
            <w:vAlign w:val="bottom"/>
            <w:gridSpan w:val="2"/>
          </w:tcPr>
          <w:p>
            <w:pPr>
              <w:ind w:left="280"/>
              <w:spacing w:after="0"/>
              <w:rPr>
                <w:sz w:val="20"/>
                <w:szCs w:val="20"/>
                <w:color w:val="auto"/>
              </w:rPr>
            </w:pPr>
            <w:r>
              <w:rPr>
                <w:rFonts w:ascii="Arial" w:cs="Arial" w:eastAsia="Arial" w:hAnsi="Arial"/>
                <w:sz w:val="12"/>
                <w:szCs w:val="12"/>
                <w:b w:val="1"/>
                <w:bCs w:val="1"/>
                <w:color w:val="auto"/>
              </w:rPr>
              <w:t>Lease Liability</w:t>
            </w: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7"/>
        </w:trPr>
        <w:tc>
          <w:tcPr>
            <w:tcW w:w="68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Lease liability</w:t>
            </w:r>
          </w:p>
        </w:tc>
        <w:tc>
          <w:tcPr>
            <w:tcW w:w="700" w:type="dxa"/>
            <w:vAlign w:val="bottom"/>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5,535</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5,5</w:t>
            </w:r>
          </w:p>
        </w:tc>
      </w:tr>
      <w:tr>
        <w:trPr>
          <w:trHeight w:val="157"/>
        </w:trPr>
        <w:tc>
          <w:tcPr>
            <w:tcW w:w="6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2"/>
                <w:szCs w:val="12"/>
                <w:color w:val="auto"/>
              </w:rPr>
              <w:t>Less: Accumulated amortization</w:t>
            </w:r>
          </w:p>
        </w:tc>
        <w:tc>
          <w:tcPr>
            <w:tcW w:w="7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(2,800)</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w:t>
            </w:r>
          </w:p>
        </w:tc>
      </w:tr>
      <w:tr>
        <w:trPr>
          <w:trHeight w:val="173"/>
        </w:trPr>
        <w:tc>
          <w:tcPr>
            <w:tcW w:w="6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2"/>
                <w:szCs w:val="12"/>
                <w:color w:val="auto"/>
              </w:rPr>
              <w:t>Net lease liability</w:t>
            </w:r>
          </w:p>
        </w:tc>
        <w:tc>
          <w:tcPr>
            <w:tcW w:w="7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2,735</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4"/>
        </w:trPr>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000" w:type="dxa"/>
            <w:vAlign w:val="bottom"/>
            <w:tcBorders>
              <w:top w:val="single" w:sz="8" w:color="auto"/>
            </w:tcBorders>
          </w:tcPr>
          <w:p>
            <w:pPr>
              <w:ind w:left="280"/>
              <w:spacing w:after="0" w:line="194" w:lineRule="exact"/>
              <w:rPr>
                <w:sz w:val="20"/>
                <w:szCs w:val="20"/>
                <w:color w:val="auto"/>
              </w:rPr>
            </w:pPr>
            <w:r>
              <w:rPr>
                <w:rFonts w:ascii="Arial" w:cs="Arial" w:eastAsia="Arial" w:hAnsi="Arial"/>
                <w:sz w:val="18"/>
                <w:szCs w:val="18"/>
                <w:b w:val="1"/>
                <w:bCs w:val="1"/>
                <w:color w:val="auto"/>
              </w:rPr>
              <w:t>Capital Bancorp, Inc. and Subsidiaries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54"/>
        </w:trPr>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000" w:type="dxa"/>
            <w:vAlign w:val="bottom"/>
          </w:tcPr>
          <w:p>
            <w:pPr>
              <w:ind w:left="280"/>
              <w:spacing w:after="0" w:line="154" w:lineRule="exact"/>
              <w:rPr>
                <w:sz w:val="20"/>
                <w:szCs w:val="20"/>
                <w:color w:val="auto"/>
              </w:rPr>
            </w:pPr>
            <w:r>
              <w:rPr>
                <w:rFonts w:ascii="Arial" w:cs="Arial" w:eastAsia="Arial" w:hAnsi="Arial"/>
                <w:sz w:val="15"/>
                <w:szCs w:val="15"/>
                <w:b w:val="1"/>
                <w:bCs w:val="1"/>
                <w:i w:val="1"/>
                <w:iCs w:val="1"/>
                <w:color w:val="auto"/>
              </w:rPr>
              <w:t>Notes to Consolidated Financial Statements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8"/>
        </w:trPr>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0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i w:val="1"/>
                <w:iCs w:val="1"/>
                <w:color w:val="auto"/>
              </w:rPr>
              <w:t>December 31, 2021 and 2020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883"/>
        </w:trPr>
        <w:tc>
          <w:tcPr>
            <w:tcW w:w="9280" w:type="dxa"/>
            <w:vAlign w:val="bottom"/>
            <w:gridSpan w:val="3"/>
          </w:tcPr>
          <w:p>
            <w:pPr>
              <w:spacing w:after="0"/>
              <w:rPr>
                <w:sz w:val="20"/>
                <w:szCs w:val="20"/>
                <w:color w:val="auto"/>
              </w:rPr>
            </w:pPr>
            <w:r>
              <w:rPr>
                <w:rFonts w:ascii="Arial" w:cs="Arial" w:eastAsia="Arial" w:hAnsi="Arial"/>
                <w:sz w:val="15"/>
                <w:szCs w:val="15"/>
                <w:b w:val="1"/>
                <w:bCs w:val="1"/>
                <w:color w:val="auto"/>
              </w:rPr>
              <w:t>Note 7 - Leases (continued)</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8"/>
        </w:trPr>
        <w:tc>
          <w:tcPr>
            <w:tcW w:w="9280" w:type="dxa"/>
            <w:vAlign w:val="bottom"/>
            <w:gridSpan w:val="3"/>
          </w:tcPr>
          <w:p>
            <w:pPr>
              <w:ind w:left="280"/>
              <w:spacing w:after="0"/>
              <w:rPr>
                <w:sz w:val="20"/>
                <w:szCs w:val="20"/>
                <w:color w:val="auto"/>
              </w:rPr>
            </w:pPr>
            <w:r>
              <w:rPr>
                <w:rFonts w:ascii="Arial" w:cs="Arial" w:eastAsia="Arial" w:hAnsi="Arial"/>
                <w:sz w:val="15"/>
                <w:szCs w:val="15"/>
                <w:color w:val="auto"/>
                <w:w w:val="99"/>
              </w:rPr>
              <w:t>Future minimum payments for operating leases with initial or remaining terms of one year or more are as follows at December 31, 2021:</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9"/>
        </w:trPr>
        <w:tc>
          <w:tcPr>
            <w:tcW w:w="280" w:type="dxa"/>
            <w:vAlign w:val="bottom"/>
          </w:tcPr>
          <w:p>
            <w:pPr>
              <w:spacing w:after="0"/>
              <w:rPr>
                <w:sz w:val="24"/>
                <w:szCs w:val="24"/>
                <w:color w:val="auto"/>
              </w:rPr>
            </w:pPr>
          </w:p>
        </w:tc>
        <w:tc>
          <w:tcPr>
            <w:tcW w:w="9000" w:type="dxa"/>
            <w:vAlign w:val="bottom"/>
            <w:tcBorders>
              <w:bottom w:val="single" w:sz="8" w:color="CCEEFF"/>
            </w:tcBorders>
            <w:gridSpan w:val="2"/>
          </w:tcPr>
          <w:p>
            <w:pPr>
              <w:ind w:left="280"/>
              <w:spacing w:after="0"/>
              <w:rPr>
                <w:sz w:val="20"/>
                <w:szCs w:val="20"/>
                <w:color w:val="auto"/>
              </w:rPr>
            </w:pPr>
            <w:r>
              <w:rPr>
                <w:rFonts w:ascii="Arial" w:cs="Arial" w:eastAsia="Arial" w:hAnsi="Arial"/>
                <w:sz w:val="9"/>
                <w:szCs w:val="9"/>
                <w:color w:val="auto"/>
              </w:rPr>
              <w:t>(in thousands)</w:t>
            </w: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2021</w:t>
            </w:r>
          </w:p>
        </w:tc>
      </w:tr>
      <w:tr>
        <w:trPr>
          <w:trHeight w:val="137"/>
        </w:trPr>
        <w:tc>
          <w:tcPr>
            <w:tcW w:w="280" w:type="dxa"/>
            <w:vAlign w:val="bottom"/>
          </w:tcPr>
          <w:p>
            <w:pPr>
              <w:spacing w:after="0"/>
              <w:rPr>
                <w:sz w:val="11"/>
                <w:szCs w:val="11"/>
                <w:color w:val="auto"/>
              </w:rPr>
            </w:pPr>
          </w:p>
        </w:tc>
        <w:tc>
          <w:tcPr>
            <w:tcW w:w="9000" w:type="dxa"/>
            <w:vAlign w:val="bottom"/>
            <w:gridSpan w:val="2"/>
            <w:shd w:val="clear" w:color="auto" w:fill="CCEEFF"/>
          </w:tcPr>
          <w:p>
            <w:pPr>
              <w:ind w:left="280"/>
              <w:spacing w:after="0" w:line="137" w:lineRule="exact"/>
              <w:rPr>
                <w:sz w:val="20"/>
                <w:szCs w:val="20"/>
                <w:color w:val="auto"/>
              </w:rPr>
            </w:pPr>
            <w:r>
              <w:rPr>
                <w:rFonts w:ascii="Arial" w:cs="Arial" w:eastAsia="Arial" w:hAnsi="Arial"/>
                <w:sz w:val="12"/>
                <w:szCs w:val="12"/>
                <w:b w:val="1"/>
                <w:bCs w:val="1"/>
                <w:color w:val="auto"/>
              </w:rPr>
              <w:t>Amounts due in:</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57"/>
        </w:trPr>
        <w:tc>
          <w:tcPr>
            <w:tcW w:w="2280" w:type="dxa"/>
            <w:vAlign w:val="bottom"/>
            <w:gridSpan w:val="2"/>
          </w:tcPr>
          <w:p>
            <w:pPr>
              <w:ind w:left="560"/>
              <w:spacing w:after="0"/>
              <w:rPr>
                <w:sz w:val="20"/>
                <w:szCs w:val="20"/>
                <w:color w:val="auto"/>
              </w:rPr>
            </w:pPr>
            <w:r>
              <w:rPr>
                <w:rFonts w:ascii="Arial" w:cs="Arial" w:eastAsia="Arial" w:hAnsi="Arial"/>
                <w:sz w:val="12"/>
                <w:szCs w:val="12"/>
                <w:color w:val="auto"/>
              </w:rPr>
              <w:t>2022</w:t>
            </w:r>
          </w:p>
        </w:tc>
        <w:tc>
          <w:tcPr>
            <w:tcW w:w="70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1,0</w:t>
            </w:r>
          </w:p>
        </w:tc>
      </w:tr>
      <w:tr>
        <w:trPr>
          <w:trHeight w:val="157"/>
        </w:trPr>
        <w:tc>
          <w:tcPr>
            <w:tcW w:w="280" w:type="dxa"/>
            <w:vAlign w:val="bottom"/>
          </w:tcPr>
          <w:p>
            <w:pPr>
              <w:spacing w:after="0"/>
              <w:rPr>
                <w:sz w:val="13"/>
                <w:szCs w:val="13"/>
                <w:color w:val="auto"/>
              </w:rPr>
            </w:pPr>
          </w:p>
        </w:tc>
        <w:tc>
          <w:tcPr>
            <w:tcW w:w="20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2023</w:t>
            </w:r>
          </w:p>
        </w:tc>
        <w:tc>
          <w:tcPr>
            <w:tcW w:w="7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w:t>
            </w:r>
          </w:p>
        </w:tc>
      </w:tr>
      <w:tr>
        <w:trPr>
          <w:trHeight w:val="157"/>
        </w:trPr>
        <w:tc>
          <w:tcPr>
            <w:tcW w:w="2280" w:type="dxa"/>
            <w:vAlign w:val="bottom"/>
            <w:gridSpan w:val="2"/>
          </w:tcPr>
          <w:p>
            <w:pPr>
              <w:ind w:left="560"/>
              <w:spacing w:after="0"/>
              <w:rPr>
                <w:sz w:val="20"/>
                <w:szCs w:val="20"/>
                <w:color w:val="auto"/>
              </w:rPr>
            </w:pPr>
            <w:r>
              <w:rPr>
                <w:rFonts w:ascii="Arial" w:cs="Arial" w:eastAsia="Arial" w:hAnsi="Arial"/>
                <w:sz w:val="12"/>
                <w:szCs w:val="12"/>
                <w:color w:val="auto"/>
              </w:rPr>
              <w:t>2024</w:t>
            </w:r>
          </w:p>
        </w:tc>
        <w:tc>
          <w:tcPr>
            <w:tcW w:w="7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5</w:t>
            </w:r>
          </w:p>
        </w:tc>
      </w:tr>
      <w:tr>
        <w:trPr>
          <w:trHeight w:val="157"/>
        </w:trPr>
        <w:tc>
          <w:tcPr>
            <w:tcW w:w="280" w:type="dxa"/>
            <w:vAlign w:val="bottom"/>
          </w:tcPr>
          <w:p>
            <w:pPr>
              <w:spacing w:after="0"/>
              <w:rPr>
                <w:sz w:val="13"/>
                <w:szCs w:val="13"/>
                <w:color w:val="auto"/>
              </w:rPr>
            </w:pPr>
          </w:p>
        </w:tc>
        <w:tc>
          <w:tcPr>
            <w:tcW w:w="20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2025</w:t>
            </w:r>
          </w:p>
        </w:tc>
        <w:tc>
          <w:tcPr>
            <w:tcW w:w="7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w:t>
            </w:r>
          </w:p>
        </w:tc>
      </w:tr>
      <w:tr>
        <w:trPr>
          <w:trHeight w:val="157"/>
        </w:trPr>
        <w:tc>
          <w:tcPr>
            <w:tcW w:w="2280" w:type="dxa"/>
            <w:vAlign w:val="bottom"/>
            <w:gridSpan w:val="2"/>
          </w:tcPr>
          <w:p>
            <w:pPr>
              <w:ind w:left="560"/>
              <w:spacing w:after="0"/>
              <w:rPr>
                <w:sz w:val="20"/>
                <w:szCs w:val="20"/>
                <w:color w:val="auto"/>
              </w:rPr>
            </w:pPr>
            <w:r>
              <w:rPr>
                <w:rFonts w:ascii="Arial" w:cs="Arial" w:eastAsia="Arial" w:hAnsi="Arial"/>
                <w:sz w:val="12"/>
                <w:szCs w:val="12"/>
                <w:color w:val="auto"/>
              </w:rPr>
              <w:t>2026</w:t>
            </w:r>
          </w:p>
        </w:tc>
        <w:tc>
          <w:tcPr>
            <w:tcW w:w="7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r>
        <w:trPr>
          <w:trHeight w:val="148"/>
        </w:trPr>
        <w:tc>
          <w:tcPr>
            <w:tcW w:w="280" w:type="dxa"/>
            <w:vAlign w:val="bottom"/>
          </w:tcPr>
          <w:p>
            <w:pPr>
              <w:spacing w:after="0"/>
              <w:rPr>
                <w:sz w:val="12"/>
                <w:szCs w:val="12"/>
                <w:color w:val="auto"/>
              </w:rPr>
            </w:pPr>
          </w:p>
        </w:tc>
        <w:tc>
          <w:tcPr>
            <w:tcW w:w="900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2"/>
                <w:szCs w:val="12"/>
                <w:color w:val="auto"/>
              </w:rPr>
              <w:t>Total future lease payments</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w:t>
            </w:r>
          </w:p>
        </w:tc>
      </w:tr>
      <w:tr>
        <w:trPr>
          <w:trHeight w:val="157"/>
        </w:trPr>
        <w:tc>
          <w:tcPr>
            <w:tcW w:w="280" w:type="dxa"/>
            <w:vAlign w:val="bottom"/>
          </w:tcPr>
          <w:p>
            <w:pPr>
              <w:spacing w:after="0"/>
              <w:rPr>
                <w:sz w:val="13"/>
                <w:szCs w:val="13"/>
                <w:color w:val="auto"/>
              </w:rPr>
            </w:pPr>
          </w:p>
        </w:tc>
        <w:tc>
          <w:tcPr>
            <w:tcW w:w="9000" w:type="dxa"/>
            <w:vAlign w:val="bottom"/>
            <w:tcBorders>
              <w:bottom w:val="single" w:sz="8" w:color="CCEEFF"/>
            </w:tcBorders>
            <w:gridSpan w:val="2"/>
          </w:tcPr>
          <w:p>
            <w:pPr>
              <w:ind w:left="280"/>
              <w:spacing w:after="0"/>
              <w:rPr>
                <w:sz w:val="20"/>
                <w:szCs w:val="20"/>
                <w:color w:val="auto"/>
              </w:rPr>
            </w:pPr>
            <w:r>
              <w:rPr>
                <w:rFonts w:ascii="Arial" w:cs="Arial" w:eastAsia="Arial" w:hAnsi="Arial"/>
                <w:sz w:val="12"/>
                <w:szCs w:val="12"/>
                <w:color w:val="auto"/>
              </w:rPr>
              <w:t>Discount of cash flows</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r>
      <w:tr>
        <w:trPr>
          <w:trHeight w:val="168"/>
        </w:trPr>
        <w:tc>
          <w:tcPr>
            <w:tcW w:w="280" w:type="dxa"/>
            <w:vAlign w:val="bottom"/>
          </w:tcPr>
          <w:p>
            <w:pPr>
              <w:spacing w:after="0"/>
              <w:rPr>
                <w:sz w:val="14"/>
                <w:szCs w:val="14"/>
                <w:color w:val="auto"/>
              </w:rPr>
            </w:pPr>
          </w:p>
        </w:tc>
        <w:tc>
          <w:tcPr>
            <w:tcW w:w="90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Present value of net future lease payments</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2,7</w:t>
            </w:r>
          </w:p>
        </w:tc>
      </w:tr>
      <w:tr>
        <w:trPr>
          <w:trHeight w:val="20"/>
        </w:trPr>
        <w:tc>
          <w:tcPr>
            <w:tcW w:w="28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Operating lease and rent expense were $1.2 million and $1.6 million for the years ended December 31, 2021 and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 Derivative Financial Instruments</w:t>
      </w:r>
    </w:p>
    <w:p>
      <w:pPr>
        <w:spacing w:after="0" w:line="204" w:lineRule="exact"/>
        <w:rPr>
          <w:sz w:val="20"/>
          <w:szCs w:val="20"/>
          <w:color w:val="auto"/>
        </w:rPr>
      </w:pPr>
    </w:p>
    <w:p>
      <w:pPr>
        <w:jc w:val="both"/>
        <w:ind w:right="80" w:firstLine="268"/>
        <w:spacing w:after="0" w:line="250" w:lineRule="auto"/>
        <w:rPr>
          <w:sz w:val="20"/>
          <w:szCs w:val="20"/>
          <w:color w:val="auto"/>
        </w:rPr>
      </w:pPr>
      <w:r>
        <w:rPr>
          <w:rFonts w:ascii="Arial" w:cs="Arial" w:eastAsia="Arial" w:hAnsi="Arial"/>
          <w:sz w:val="15"/>
          <w:szCs w:val="15"/>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measuring the fair value of the underlying asset, which is impacted by current interest rates and takes into consideration the probability that the rate lock commitments will close or will be funded.</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reports the commitment and fair value amounts on the outstanding derivatives:</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724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(in thousands)</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December 31, 2021</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December 31, 2020</w:t>
            </w:r>
          </w:p>
        </w:tc>
      </w:tr>
      <w:tr>
        <w:trPr>
          <w:trHeight w:val="148"/>
        </w:trPr>
        <w:tc>
          <w:tcPr>
            <w:tcW w:w="73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Notional amount of open forward sales agreements</w:t>
            </w: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22,500</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r>
      <w:tr>
        <w:trPr>
          <w:trHeight w:val="157"/>
        </w:trPr>
        <w:tc>
          <w:tcPr>
            <w:tcW w:w="7360" w:type="dxa"/>
            <w:vAlign w:val="bottom"/>
            <w:gridSpan w:val="2"/>
          </w:tcPr>
          <w:p>
            <w:pPr>
              <w:ind w:left="280"/>
              <w:spacing w:after="0"/>
              <w:rPr>
                <w:sz w:val="20"/>
                <w:szCs w:val="20"/>
                <w:color w:val="auto"/>
              </w:rPr>
            </w:pPr>
            <w:r>
              <w:rPr>
                <w:rFonts w:ascii="Arial" w:cs="Arial" w:eastAsia="Arial" w:hAnsi="Arial"/>
                <w:sz w:val="12"/>
                <w:szCs w:val="12"/>
                <w:color w:val="auto"/>
              </w:rPr>
              <w:t>Fair value of open forward delivery sales agreements</w:t>
            </w:r>
          </w:p>
        </w:tc>
        <w:tc>
          <w:tcPr>
            <w:tcW w:w="4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7"/>
        </w:trPr>
        <w:tc>
          <w:tcPr>
            <w:tcW w:w="73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Notional amount of open mandatory delivery commitments</w:t>
            </w: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2,971</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r>
      <w:tr>
        <w:trPr>
          <w:trHeight w:val="157"/>
        </w:trPr>
        <w:tc>
          <w:tcPr>
            <w:tcW w:w="7360" w:type="dxa"/>
            <w:vAlign w:val="bottom"/>
            <w:gridSpan w:val="2"/>
          </w:tcPr>
          <w:p>
            <w:pPr>
              <w:ind w:left="280"/>
              <w:spacing w:after="0"/>
              <w:rPr>
                <w:sz w:val="20"/>
                <w:szCs w:val="20"/>
                <w:color w:val="auto"/>
              </w:rPr>
            </w:pPr>
            <w:r>
              <w:rPr>
                <w:rFonts w:ascii="Arial" w:cs="Arial" w:eastAsia="Arial" w:hAnsi="Arial"/>
                <w:sz w:val="12"/>
                <w:szCs w:val="12"/>
                <w:color w:val="auto"/>
              </w:rPr>
              <w:t>Fair value of open mandatory delivery commitments</w:t>
            </w:r>
          </w:p>
        </w:tc>
        <w:tc>
          <w:tcPr>
            <w:tcW w:w="4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90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7"/>
        </w:trPr>
        <w:tc>
          <w:tcPr>
            <w:tcW w:w="73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Notional amount of interest rate lock commitments</w:t>
            </w: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18,053</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w:t>
            </w:r>
          </w:p>
        </w:tc>
      </w:tr>
      <w:tr>
        <w:trPr>
          <w:trHeight w:val="159"/>
        </w:trPr>
        <w:tc>
          <w:tcPr>
            <w:tcW w:w="7360" w:type="dxa"/>
            <w:vAlign w:val="bottom"/>
            <w:gridSpan w:val="2"/>
          </w:tcPr>
          <w:p>
            <w:pPr>
              <w:ind w:left="280"/>
              <w:spacing w:after="0"/>
              <w:rPr>
                <w:sz w:val="20"/>
                <w:szCs w:val="20"/>
                <w:color w:val="auto"/>
              </w:rPr>
            </w:pPr>
            <w:r>
              <w:rPr>
                <w:rFonts w:ascii="Arial" w:cs="Arial" w:eastAsia="Arial" w:hAnsi="Arial"/>
                <w:sz w:val="12"/>
                <w:szCs w:val="12"/>
                <w:color w:val="auto"/>
              </w:rPr>
              <w:t>Fair value of interest rate lock commitments</w:t>
            </w:r>
          </w:p>
        </w:tc>
        <w:tc>
          <w:tcPr>
            <w:tcW w:w="4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34</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42" w:right="239" w:bottom="1440" w:gutter="0" w:footer="0" w:header="0"/>
        </w:sectPr>
      </w:pPr>
    </w:p>
    <w:bookmarkStart w:id="84" w:name="page85"/>
    <w:bookmarkEnd w:id="84"/>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 Interest-Bearing Deposits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Major categories of interest bearing deposits are as follows:</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6820" w:type="dxa"/>
            <w:vAlign w:val="bottom"/>
          </w:tcPr>
          <w:p>
            <w:pPr>
              <w:ind w:left="280"/>
              <w:spacing w:after="0"/>
              <w:rPr>
                <w:sz w:val="20"/>
                <w:szCs w:val="20"/>
                <w:color w:val="auto"/>
              </w:rPr>
            </w:pPr>
            <w:r>
              <w:rPr>
                <w:rFonts w:ascii="Arial" w:cs="Arial" w:eastAsia="Arial" w:hAnsi="Arial"/>
                <w:sz w:val="9"/>
                <w:szCs w:val="9"/>
                <w:color w:val="auto"/>
              </w:rPr>
              <w:t>(in thousands)</w:t>
            </w: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33"/>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r>
      <w:tr>
        <w:trPr>
          <w:trHeight w:val="172"/>
        </w:trPr>
        <w:tc>
          <w:tcPr>
            <w:tcW w:w="6820" w:type="dxa"/>
            <w:vAlign w:val="bottom"/>
          </w:tcPr>
          <w:p>
            <w:pPr>
              <w:ind w:left="280"/>
              <w:spacing w:after="0"/>
              <w:rPr>
                <w:sz w:val="20"/>
                <w:szCs w:val="20"/>
                <w:color w:val="auto"/>
              </w:rPr>
            </w:pPr>
            <w:r>
              <w:rPr>
                <w:rFonts w:ascii="Arial" w:cs="Arial" w:eastAsia="Arial" w:hAnsi="Arial"/>
                <w:sz w:val="13"/>
                <w:szCs w:val="13"/>
                <w:color w:val="auto"/>
              </w:rPr>
              <w:t>Interest-bearing demand accounts</w:t>
            </w:r>
          </w:p>
        </w:tc>
        <w:tc>
          <w:tcPr>
            <w:tcW w:w="70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330,924</w:t>
            </w:r>
          </w:p>
        </w:tc>
        <w:tc>
          <w:tcPr>
            <w:tcW w:w="160" w:type="dxa"/>
            <w:vAlign w:val="bottom"/>
          </w:tcPr>
          <w:p>
            <w:pPr>
              <w:spacing w:after="0"/>
              <w:rPr>
                <w:sz w:val="14"/>
                <w:szCs w:val="14"/>
                <w:color w:val="auto"/>
              </w:rPr>
            </w:pPr>
          </w:p>
        </w:tc>
        <w:tc>
          <w:tcPr>
            <w:tcW w:w="7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257,1</w:t>
            </w:r>
          </w:p>
        </w:tc>
      </w:tr>
      <w:tr>
        <w:trPr>
          <w:trHeight w:val="180"/>
        </w:trPr>
        <w:tc>
          <w:tcPr>
            <w:tcW w:w="6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Money market accounts</w:t>
            </w:r>
          </w:p>
        </w:tc>
        <w:tc>
          <w:tcPr>
            <w:tcW w:w="7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493,919</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447,0</w:t>
            </w:r>
          </w:p>
        </w:tc>
      </w:tr>
      <w:tr>
        <w:trPr>
          <w:trHeight w:val="178"/>
        </w:trPr>
        <w:tc>
          <w:tcPr>
            <w:tcW w:w="6820" w:type="dxa"/>
            <w:vAlign w:val="bottom"/>
          </w:tcPr>
          <w:p>
            <w:pPr>
              <w:ind w:left="280"/>
              <w:spacing w:after="0"/>
              <w:rPr>
                <w:sz w:val="20"/>
                <w:szCs w:val="20"/>
                <w:color w:val="auto"/>
              </w:rPr>
            </w:pPr>
            <w:r>
              <w:rPr>
                <w:rFonts w:ascii="Arial" w:cs="Arial" w:eastAsia="Arial" w:hAnsi="Arial"/>
                <w:sz w:val="13"/>
                <w:szCs w:val="13"/>
                <w:color w:val="auto"/>
              </w:rPr>
              <w:t>Savings</w:t>
            </w:r>
          </w:p>
        </w:tc>
        <w:tc>
          <w:tcPr>
            <w:tcW w:w="7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6,994</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80"/>
        </w:trPr>
        <w:tc>
          <w:tcPr>
            <w:tcW w:w="6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Certificates of deposit of $250,000 or more</w:t>
            </w:r>
          </w:p>
        </w:tc>
        <w:tc>
          <w:tcPr>
            <w:tcW w:w="7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108,827</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w:t>
            </w:r>
          </w:p>
        </w:tc>
      </w:tr>
      <w:tr>
        <w:trPr>
          <w:trHeight w:val="178"/>
        </w:trPr>
        <w:tc>
          <w:tcPr>
            <w:tcW w:w="68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time deposits</w:t>
            </w: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68,823</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199,8</w:t>
            </w:r>
          </w:p>
        </w:tc>
      </w:tr>
      <w:tr>
        <w:trPr>
          <w:trHeight w:val="196"/>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Total interest-bearing deposits</w:t>
            </w:r>
          </w:p>
        </w:tc>
        <w:tc>
          <w:tcPr>
            <w:tcW w:w="7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1,009,487</w:t>
            </w: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1,043,5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360" w:type="dxa"/>
            <w:vAlign w:val="bottom"/>
            <w:gridSpan w:val="4"/>
          </w:tcPr>
          <w:p>
            <w:pPr>
              <w:ind w:left="280"/>
              <w:spacing w:after="0"/>
              <w:rPr>
                <w:sz w:val="20"/>
                <w:szCs w:val="20"/>
                <w:color w:val="auto"/>
              </w:rPr>
            </w:pPr>
            <w:r>
              <w:rPr>
                <w:rFonts w:ascii="Arial" w:cs="Arial" w:eastAsia="Arial" w:hAnsi="Arial"/>
                <w:sz w:val="15"/>
                <w:szCs w:val="15"/>
                <w:color w:val="auto"/>
              </w:rPr>
              <w:t>The Company did not have any brokered deposits at December 31, 2021 compared to $45.1 million at December 31, 2020. The aggregate amount of Certificate of</w:t>
            </w:r>
          </w:p>
        </w:tc>
      </w:tr>
      <w:tr>
        <w:trPr>
          <w:trHeight w:val="179"/>
        </w:trPr>
        <w:tc>
          <w:tcPr>
            <w:tcW w:w="9620" w:type="dxa"/>
            <w:vAlign w:val="bottom"/>
            <w:gridSpan w:val="2"/>
          </w:tcPr>
          <w:p>
            <w:pPr>
              <w:spacing w:after="0"/>
              <w:rPr>
                <w:sz w:val="20"/>
                <w:szCs w:val="20"/>
                <w:color w:val="auto"/>
              </w:rPr>
            </w:pPr>
            <w:r>
              <w:rPr>
                <w:rFonts w:ascii="Arial" w:cs="Arial" w:eastAsia="Arial" w:hAnsi="Arial"/>
                <w:sz w:val="15"/>
                <w:szCs w:val="15"/>
                <w:color w:val="auto"/>
              </w:rPr>
              <w:t>Deposit Account Registry Service (“CDARS”) deposits was $8.6 million and $10.7 million at December 31, 2021 and 2020, respectively.</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8"/>
        </w:trPr>
        <w:tc>
          <w:tcPr>
            <w:tcW w:w="9620" w:type="dxa"/>
            <w:vAlign w:val="bottom"/>
            <w:gridSpan w:val="2"/>
          </w:tcPr>
          <w:p>
            <w:pPr>
              <w:ind w:left="280"/>
              <w:spacing w:after="0"/>
              <w:rPr>
                <w:sz w:val="20"/>
                <w:szCs w:val="20"/>
                <w:color w:val="auto"/>
              </w:rPr>
            </w:pPr>
            <w:r>
              <w:rPr>
                <w:rFonts w:ascii="Arial" w:cs="Arial" w:eastAsia="Arial" w:hAnsi="Arial"/>
                <w:sz w:val="15"/>
                <w:szCs w:val="15"/>
                <w:color w:val="auto"/>
              </w:rPr>
              <w:t>Certificates of deposit, as of December 31, 2021, mature as follows: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7"/>
        </w:trPr>
        <w:tc>
          <w:tcPr>
            <w:tcW w:w="280" w:type="dxa"/>
            <w:vAlign w:val="bottom"/>
          </w:tcPr>
          <w:p>
            <w:pPr>
              <w:spacing w:after="0"/>
              <w:rPr>
                <w:sz w:val="24"/>
                <w:szCs w:val="24"/>
                <w:color w:val="auto"/>
              </w:rPr>
            </w:pPr>
          </w:p>
        </w:tc>
        <w:tc>
          <w:tcPr>
            <w:tcW w:w="9340" w:type="dxa"/>
            <w:vAlign w:val="bottom"/>
          </w:tcPr>
          <w:p>
            <w:pPr>
              <w:ind w:left="280"/>
              <w:spacing w:after="0"/>
              <w:rPr>
                <w:sz w:val="20"/>
                <w:szCs w:val="20"/>
                <w:color w:val="auto"/>
              </w:rPr>
            </w:pPr>
            <w:r>
              <w:rPr>
                <w:rFonts w:ascii="Arial" w:cs="Arial" w:eastAsia="Arial" w:hAnsi="Arial"/>
                <w:sz w:val="9"/>
                <w:szCs w:val="9"/>
                <w:color w:val="auto"/>
              </w:rPr>
              <w:t>(in thousands)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8"/>
        </w:trPr>
        <w:tc>
          <w:tcPr>
            <w:tcW w:w="280" w:type="dxa"/>
            <w:vAlign w:val="bottom"/>
          </w:tcPr>
          <w:p>
            <w:pPr>
              <w:spacing w:after="0"/>
              <w:rPr>
                <w:sz w:val="16"/>
                <w:szCs w:val="16"/>
                <w:color w:val="auto"/>
              </w:rPr>
            </w:pPr>
          </w:p>
        </w:tc>
        <w:tc>
          <w:tcPr>
            <w:tcW w:w="9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2022</w:t>
            </w:r>
          </w:p>
        </w:tc>
        <w:tc>
          <w:tcPr>
            <w:tcW w:w="880" w:type="dxa"/>
            <w:vAlign w:val="bottom"/>
            <w:shd w:val="clear" w:color="auto" w:fill="CCEEFF"/>
          </w:tcPr>
          <w:p>
            <w:pPr>
              <w:jc w:val="right"/>
              <w:ind w:right="453"/>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167,3</w:t>
            </w:r>
          </w:p>
        </w:tc>
      </w:tr>
      <w:tr>
        <w:trPr>
          <w:trHeight w:val="178"/>
        </w:trPr>
        <w:tc>
          <w:tcPr>
            <w:tcW w:w="9620" w:type="dxa"/>
            <w:vAlign w:val="bottom"/>
            <w:gridSpan w:val="2"/>
          </w:tcPr>
          <w:p>
            <w:pPr>
              <w:ind w:left="560"/>
              <w:spacing w:after="0"/>
              <w:rPr>
                <w:sz w:val="20"/>
                <w:szCs w:val="20"/>
                <w:color w:val="auto"/>
              </w:rPr>
            </w:pPr>
            <w:r>
              <w:rPr>
                <w:rFonts w:ascii="Arial" w:cs="Arial" w:eastAsia="Arial" w:hAnsi="Arial"/>
                <w:sz w:val="13"/>
                <w:szCs w:val="13"/>
                <w:color w:val="auto"/>
              </w:rPr>
              <w:t>2023</w:t>
            </w:r>
          </w:p>
        </w:tc>
        <w:tc>
          <w:tcPr>
            <w:tcW w:w="8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7,8</w:t>
            </w:r>
          </w:p>
        </w:tc>
      </w:tr>
      <w:tr>
        <w:trPr>
          <w:trHeight w:val="180"/>
        </w:trPr>
        <w:tc>
          <w:tcPr>
            <w:tcW w:w="280" w:type="dxa"/>
            <w:vAlign w:val="bottom"/>
          </w:tcPr>
          <w:p>
            <w:pPr>
              <w:spacing w:after="0"/>
              <w:rPr>
                <w:sz w:val="15"/>
                <w:szCs w:val="15"/>
                <w:color w:val="auto"/>
              </w:rPr>
            </w:pPr>
          </w:p>
        </w:tc>
        <w:tc>
          <w:tcPr>
            <w:tcW w:w="9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2024</w:t>
            </w:r>
          </w:p>
        </w:tc>
        <w:tc>
          <w:tcPr>
            <w:tcW w:w="8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r>
      <w:tr>
        <w:trPr>
          <w:trHeight w:val="178"/>
        </w:trPr>
        <w:tc>
          <w:tcPr>
            <w:tcW w:w="9620" w:type="dxa"/>
            <w:vAlign w:val="bottom"/>
            <w:gridSpan w:val="2"/>
          </w:tcPr>
          <w:p>
            <w:pPr>
              <w:ind w:left="560"/>
              <w:spacing w:after="0"/>
              <w:rPr>
                <w:sz w:val="20"/>
                <w:szCs w:val="20"/>
                <w:color w:val="auto"/>
              </w:rPr>
            </w:pPr>
            <w:r>
              <w:rPr>
                <w:rFonts w:ascii="Arial" w:cs="Arial" w:eastAsia="Arial" w:hAnsi="Arial"/>
                <w:sz w:val="13"/>
                <w:szCs w:val="13"/>
                <w:color w:val="auto"/>
              </w:rPr>
              <w:t>2025</w:t>
            </w:r>
          </w:p>
        </w:tc>
        <w:tc>
          <w:tcPr>
            <w:tcW w:w="8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8</w:t>
            </w:r>
          </w:p>
        </w:tc>
      </w:tr>
      <w:tr>
        <w:trPr>
          <w:trHeight w:val="179"/>
        </w:trPr>
        <w:tc>
          <w:tcPr>
            <w:tcW w:w="280" w:type="dxa"/>
            <w:vAlign w:val="bottom"/>
          </w:tcPr>
          <w:p>
            <w:pPr>
              <w:spacing w:after="0"/>
              <w:rPr>
                <w:sz w:val="15"/>
                <w:szCs w:val="15"/>
                <w:color w:val="auto"/>
              </w:rPr>
            </w:pPr>
          </w:p>
        </w:tc>
        <w:tc>
          <w:tcPr>
            <w:tcW w:w="9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2026, and thereafter</w:t>
            </w:r>
          </w:p>
        </w:tc>
        <w:tc>
          <w:tcPr>
            <w:tcW w:w="8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r>
      <w:tr>
        <w:trPr>
          <w:trHeight w:val="170"/>
        </w:trPr>
        <w:tc>
          <w:tcPr>
            <w:tcW w:w="28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177,6</w:t>
            </w:r>
          </w:p>
        </w:tc>
      </w:tr>
      <w:tr>
        <w:trPr>
          <w:trHeight w:val="20"/>
        </w:trPr>
        <w:tc>
          <w:tcPr>
            <w:tcW w:w="28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 Borrowed Funds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December 31, 2021 and 2020, the Company was indebted as follows:</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5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2"/>
                <w:szCs w:val="12"/>
                <w:b w:val="1"/>
                <w:bCs w:val="1"/>
                <w:color w:val="auto"/>
              </w:rPr>
              <w:t>2020</w:t>
            </w:r>
          </w:p>
        </w:tc>
      </w:tr>
      <w:tr>
        <w:trPr>
          <w:trHeight w:val="148"/>
        </w:trPr>
        <w:tc>
          <w:tcPr>
            <w:tcW w:w="5120" w:type="dxa"/>
            <w:vAlign w:val="bottom"/>
            <w:tcBorders>
              <w:bottom w:val="single" w:sz="8" w:color="CCEEFF"/>
            </w:tcBorders>
          </w:tcPr>
          <w:p>
            <w:pPr>
              <w:ind w:left="280"/>
              <w:spacing w:after="0"/>
              <w:rPr>
                <w:sz w:val="20"/>
                <w:szCs w:val="20"/>
                <w:color w:val="auto"/>
              </w:rPr>
            </w:pPr>
            <w:r>
              <w:rPr>
                <w:rFonts w:ascii="Arial" w:cs="Arial" w:eastAsia="Arial" w:hAnsi="Arial"/>
                <w:sz w:val="9"/>
                <w:szCs w:val="9"/>
                <w:color w:val="auto"/>
              </w:rPr>
              <w:t>(dollars in thousands)</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Balance</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Interest</w:t>
            </w: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Balance</w:t>
            </w:r>
          </w:p>
        </w:tc>
        <w:tc>
          <w:tcPr>
            <w:tcW w:w="14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Interest</w:t>
            </w:r>
          </w:p>
        </w:tc>
      </w:tr>
      <w:tr>
        <w:trPr>
          <w:trHeight w:val="150"/>
        </w:trPr>
        <w:tc>
          <w:tcPr>
            <w:tcW w:w="5120" w:type="dxa"/>
            <w:vAlign w:val="bottom"/>
            <w:tcBorders>
              <w:bottom w:val="single" w:sz="8" w:color="CCEEFF"/>
            </w:tcBorders>
            <w:shd w:val="clear" w:color="auto" w:fill="CCEEFF"/>
          </w:tcPr>
          <w:p>
            <w:pPr>
              <w:ind w:left="280"/>
              <w:spacing w:after="0" w:line="126" w:lineRule="exact"/>
              <w:rPr>
                <w:sz w:val="20"/>
                <w:szCs w:val="20"/>
                <w:color w:val="auto"/>
              </w:rPr>
            </w:pPr>
            <w:r>
              <w:rPr>
                <w:rFonts w:ascii="Arial" w:cs="Arial" w:eastAsia="Arial" w:hAnsi="Arial"/>
                <w:sz w:val="12"/>
                <w:szCs w:val="12"/>
                <w:color w:val="auto"/>
              </w:rPr>
              <w:t>FHLB fixed rate advance due October 16, 2025</w:t>
            </w:r>
          </w:p>
        </w:tc>
        <w:tc>
          <w:tcPr>
            <w:tcW w:w="480" w:type="dxa"/>
            <w:vAlign w:val="bottom"/>
            <w:tcBorders>
              <w:bottom w:val="single" w:sz="8" w:color="auto"/>
            </w:tcBorders>
            <w:shd w:val="clear" w:color="auto" w:fill="CCEEFF"/>
          </w:tcPr>
          <w:p>
            <w:pPr>
              <w:jc w:val="right"/>
              <w:ind w:right="60"/>
              <w:spacing w:after="0" w:line="126" w:lineRule="exact"/>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22,000</w:t>
            </w: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140"/>
              <w:spacing w:after="0" w:line="126" w:lineRule="exact"/>
              <w:rPr>
                <w:sz w:val="20"/>
                <w:szCs w:val="20"/>
                <w:color w:val="auto"/>
              </w:rPr>
            </w:pPr>
            <w:r>
              <w:rPr>
                <w:rFonts w:ascii="Arial" w:cs="Arial" w:eastAsia="Arial" w:hAnsi="Arial"/>
                <w:sz w:val="12"/>
                <w:szCs w:val="12"/>
                <w:b w:val="1"/>
                <w:bCs w:val="1"/>
                <w:color w:val="auto"/>
              </w:rPr>
              <w:t>0.93</w:t>
            </w:r>
          </w:p>
        </w:tc>
        <w:tc>
          <w:tcPr>
            <w:tcW w:w="240" w:type="dxa"/>
            <w:vAlign w:val="bottom"/>
            <w:tcBorders>
              <w:bottom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22,000</w:t>
            </w:r>
          </w:p>
        </w:tc>
        <w:tc>
          <w:tcPr>
            <w:tcW w:w="1320" w:type="dxa"/>
            <w:vAlign w:val="bottom"/>
            <w:tcBorders>
              <w:bottom w:val="single" w:sz="8" w:color="CCEEFF"/>
            </w:tcBorders>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0.93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121"/>
        </w:trPr>
        <w:tc>
          <w:tcPr>
            <w:tcW w:w="5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57"/>
        </w:trPr>
        <w:tc>
          <w:tcPr>
            <w:tcW w:w="51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Junior subordinated debentures due June 15, 2036</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2,062</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2.07</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2,062</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2.09</w:t>
            </w:r>
          </w:p>
        </w:tc>
      </w:tr>
      <w:tr>
        <w:trPr>
          <w:trHeight w:val="157"/>
        </w:trPr>
        <w:tc>
          <w:tcPr>
            <w:tcW w:w="5120" w:type="dxa"/>
            <w:vAlign w:val="bottom"/>
          </w:tcPr>
          <w:p>
            <w:pPr>
              <w:ind w:left="20"/>
              <w:spacing w:after="0"/>
              <w:rPr>
                <w:sz w:val="20"/>
                <w:szCs w:val="20"/>
                <w:color w:val="auto"/>
              </w:rPr>
            </w:pPr>
            <w:r>
              <w:rPr>
                <w:rFonts w:ascii="Arial" w:cs="Arial" w:eastAsia="Arial" w:hAnsi="Arial"/>
                <w:sz w:val="12"/>
                <w:szCs w:val="12"/>
                <w:color w:val="auto"/>
              </w:rPr>
              <w:t>Other subordinated notes due November 30, 2030</w:t>
            </w:r>
          </w:p>
        </w:tc>
        <w:tc>
          <w:tcPr>
            <w:tcW w:w="4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10,000</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ind w:right="140"/>
              <w:spacing w:after="0"/>
              <w:rPr>
                <w:sz w:val="20"/>
                <w:szCs w:val="20"/>
                <w:color w:val="auto"/>
              </w:rPr>
            </w:pPr>
            <w:r>
              <w:rPr>
                <w:rFonts w:ascii="Arial" w:cs="Arial" w:eastAsia="Arial" w:hAnsi="Arial"/>
                <w:sz w:val="12"/>
                <w:szCs w:val="12"/>
                <w:b w:val="1"/>
                <w:bCs w:val="1"/>
                <w:color w:val="auto"/>
              </w:rPr>
              <w:t>5.00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10,000</w:t>
            </w: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5.00</w:t>
            </w:r>
          </w:p>
        </w:tc>
      </w:tr>
      <w:tr>
        <w:trPr>
          <w:trHeight w:val="157"/>
        </w:trPr>
        <w:tc>
          <w:tcPr>
            <w:tcW w:w="51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FRB advances under the SBA-PPP Liquidity Facility</w:t>
            </w:r>
          </w:p>
        </w:tc>
        <w:tc>
          <w:tcPr>
            <w:tcW w:w="48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66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1,954</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r>
      <w:tr>
        <w:trPr>
          <w:trHeight w:val="148"/>
        </w:trPr>
        <w:tc>
          <w:tcPr>
            <w:tcW w:w="5120" w:type="dxa"/>
            <w:vAlign w:val="bottom"/>
          </w:tcPr>
          <w:p>
            <w:pPr>
              <w:ind w:left="560"/>
              <w:spacing w:after="0"/>
              <w:rPr>
                <w:sz w:val="20"/>
                <w:szCs w:val="20"/>
                <w:color w:val="auto"/>
              </w:rPr>
            </w:pPr>
            <w:r>
              <w:rPr>
                <w:rFonts w:ascii="Arial" w:cs="Arial" w:eastAsia="Arial" w:hAnsi="Arial"/>
                <w:sz w:val="12"/>
                <w:szCs w:val="12"/>
                <w:color w:val="auto"/>
              </w:rPr>
              <w:t>Total - Other borrowed funds</w:t>
            </w: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12,062</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14,016</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5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FHLB fixed rate advance accrues interest on a daily basis and is paid semi-annually.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Junior subordinated debentures</w:t>
      </w:r>
    </w:p>
    <w:p>
      <w:pPr>
        <w:spacing w:after="0" w:line="202"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In June 2006, the Company formed Capital Bancorp (MD) Statutory Trust I (the “Trust”) and on June 15, 2006, the Trust issued 2,000 floating rate capital securities (the “Capital Securities”) with an aggregate liquidation value of $2,000,000 to a third party in a private placement. Concurrent with the issuance of the Capital Securities, the Trust issued trust common securities to the Company in the aggregate liquidation value of $62,000.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85" w:name="page86"/>
    <w:bookmarkEnd w:id="85"/>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 Borrowed Funds (continued)</w:t>
      </w:r>
    </w:p>
    <w:p>
      <w:pPr>
        <w:spacing w:after="0" w:line="204"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The proceeds of the issuance of the Capital Securities and trust common securities were invested in the Company’s Floating Rate Junior Subordinated Deferrable Interest Debentures (the “Floating Rate Debentures”). The Floating Rate Debentures for the Trust will mature on June 15, 2036, which may be shortened if certain conditions are met (including the Company having received prior approval of the Board of Governors of the Federal Reserve System and any other required regulatory approvals). These Floating Rate Debentures, which are the only assets of the Trust, are subordinate and junior in right of payment to all present and future senior indebtedness (as defined in the Indenture dated June 15, 2006) of the Company. The Floating Rate Debentures for the Trust accrue interest at a floating rate equal to the three-month LIBOR plus 1.89%, payable quarterly. As of December 31, 2021 and 2020, the rate for the Trust was 2.07% and 2.09%, respectively. The quarterly distributions on the Capital Securities will be paid at the same rate that interest is paid on the Floating Rate Debentures.</w:t>
      </w:r>
    </w:p>
    <w:p>
      <w:pPr>
        <w:spacing w:after="0" w:line="175"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The Company has fully and unconditionally guaranteed the Trust’s obligation under the Capital Securities. The Trust must redeem the Capital Securities when the Floating Rate Debentures are paid at maturity or upon any earlier prepayment of the Floating Rate Debentures. The Floating Rate Debentures may be prepaid if certain events occur, including a change in the tax status or regulatory capital treatment of the Capital Securities, or a change in existing laws that requires the Trust to register as an investment company.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junior subordinated debentures are treated as Tier 1 capital by the Company, to a limited extent, by the Federal Reserve.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subordinated notes</w:t>
      </w:r>
    </w:p>
    <w:p>
      <w:pPr>
        <w:spacing w:after="0" w:line="202"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On November 30, 2020, the Company issued $10.0 million of subordinated notes. The notes mature on November 30, 2030 and are redeemable in whole or part on November 30, 2025. The notes bear interest at a fixed annual rate of 5.00% for the first five years, then adjust quarterly to an interest rate per annum equal to a benchmark rate, which is expected to be the three-month SOFR, plus 490 basis points. There were related debt issuance costs incurred totaling $50,000 which were fully expensed at the time of issuance. The Company used the proceeds from the offering to redeem the outstanding $13.5 million, 6.95% fixed-to-floating rate subordinated notes issued in November 2015 and called on December 1, 2020.</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Available lines of credit</w:t>
      </w:r>
    </w:p>
    <w:p>
      <w:pPr>
        <w:spacing w:after="0" w:line="202"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Company has available lines of credit of $76.0 million with other correspondent banks. There were no outstanding line of credit balances at December 31, 2021 and December 31, 2020.</w:t>
      </w:r>
    </w:p>
    <w:p>
      <w:pPr>
        <w:spacing w:after="0" w:line="166" w:lineRule="exact"/>
        <w:rPr>
          <w:sz w:val="20"/>
          <w:szCs w:val="20"/>
          <w:color w:val="auto"/>
        </w:rPr>
      </w:pPr>
    </w:p>
    <w:p>
      <w:pPr>
        <w:jc w:val="both"/>
        <w:ind w:firstLine="268"/>
        <w:spacing w:after="0" w:line="251" w:lineRule="auto"/>
        <w:rPr>
          <w:sz w:val="20"/>
          <w:szCs w:val="20"/>
          <w:color w:val="auto"/>
        </w:rPr>
      </w:pPr>
      <w:r>
        <w:rPr>
          <w:rFonts w:ascii="Arial" w:cs="Arial" w:eastAsia="Arial" w:hAnsi="Arial"/>
          <w:sz w:val="15"/>
          <w:szCs w:val="15"/>
          <w:color w:val="auto"/>
        </w:rPr>
        <w:t>The Company may borrow up to 25% of its assets from the FHLB, based on collateral available to pledge to secure the borrowings. Borrowings from the FHLB are secured by a portion of the Company’s loan and/or investment portfolio. As of December 31, 2021 and 2020, the Company had pledged loans providing borrowing capacity of $205.3 million and $222.0 million, respectively. As of December 31, 2021, the Company did not have any pledged investment securities to the FHLB while at December 31, 2020, the Company had pledged investment securities with a fair value of $1.2 million. As of December 31, 2021 and 2020, the Company had available borrowing capacity, net of advances and amounts pledged for letters of credit, from the FHLB of $183.3 million and $201.2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86" w:name="page87"/>
    <w:bookmarkEnd w:id="86"/>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 Borrowed Funds (continued)</w:t>
      </w:r>
    </w:p>
    <w:p>
      <w:pPr>
        <w:spacing w:after="0" w:line="204"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As of December 31, 2021 and 2020, the Company had pledged commercial loans to the Federal Reserve Bank of Richmond to secure a borrowing capacity totaling $15.9 million and $15.6 million, respectively, under its discount window program. In addition, the Company had the ability to borrow from the SBA-PPP Liquidity Facility by pledging SBA-PPP loans during 2020 and up through July 30, 2021 after which no new extensions of credit would be made under the facility .</w:t>
      </w:r>
    </w:p>
    <w:p>
      <w:pPr>
        <w:spacing w:after="0" w:line="171"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The Company limits its certificate of deposit funding through financial networks to 15% of the Bank’s assets, or approximately $302.1 million and $277.1 million as of December 31, 2021 and 2020, respectively. No amount was outstanding as of December 31, 2021 and $45.1 million was outstanding as of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 Retirement Plans</w:t>
      </w:r>
    </w:p>
    <w:p>
      <w:pPr>
        <w:spacing w:after="0" w:line="204" w:lineRule="exact"/>
        <w:rPr>
          <w:sz w:val="20"/>
          <w:szCs w:val="20"/>
          <w:color w:val="auto"/>
        </w:rPr>
      </w:pPr>
    </w:p>
    <w:p>
      <w:pPr>
        <w:jc w:val="both"/>
        <w:ind w:right="80" w:firstLine="268"/>
        <w:spacing w:after="0" w:line="179" w:lineRule="exact"/>
        <w:rPr>
          <w:sz w:val="20"/>
          <w:szCs w:val="20"/>
          <w:color w:val="auto"/>
        </w:rPr>
      </w:pPr>
      <w:r>
        <w:rPr>
          <w:rFonts w:ascii="Arial" w:cs="Arial" w:eastAsia="Arial" w:hAnsi="Arial"/>
          <w:sz w:val="15"/>
          <w:szCs w:val="15"/>
          <w:color w:val="auto"/>
        </w:rPr>
        <w:t>The Company provides a defined contribution plan qualifying under Section 401(k) of the Internal Revenue Code to eligible employees. The Company contributes 3% of eligible compensation on behalf of all full</w:t>
      </w:r>
      <w:r>
        <w:rPr>
          <w:rFonts w:ascii="MS PGothic" w:cs="MS PGothic" w:eastAsia="MS PGothic" w:hAnsi="MS PGothic"/>
          <w:sz w:val="15"/>
          <w:szCs w:val="15"/>
          <w:color w:val="auto"/>
        </w:rPr>
        <w:t>‑</w:t>
      </w:r>
      <w:r>
        <w:rPr>
          <w:rFonts w:ascii="Arial" w:cs="Arial" w:eastAsia="Arial" w:hAnsi="Arial"/>
          <w:sz w:val="15"/>
          <w:szCs w:val="15"/>
          <w:color w:val="auto"/>
        </w:rPr>
        <w:t>time employees up to limits prescribed by the Internal Revenue Code. The Company’s contribution to the plan was $398 thousand in 2021 and $879 thousand in 2020.</w:t>
      </w:r>
    </w:p>
    <w:p>
      <w:pPr>
        <w:spacing w:after="0" w:line="179" w:lineRule="exact"/>
        <w:rPr>
          <w:sz w:val="20"/>
          <w:szCs w:val="20"/>
          <w:color w:val="auto"/>
        </w:rPr>
      </w:pPr>
    </w:p>
    <w:p>
      <w:pPr>
        <w:jc w:val="both"/>
        <w:ind w:right="80" w:firstLine="268"/>
        <w:spacing w:after="0" w:line="270" w:lineRule="auto"/>
        <w:rPr>
          <w:sz w:val="20"/>
          <w:szCs w:val="20"/>
          <w:color w:val="auto"/>
        </w:rPr>
      </w:pPr>
      <w:r>
        <w:rPr>
          <w:rFonts w:ascii="Arial" w:cs="Arial" w:eastAsia="Arial" w:hAnsi="Arial"/>
          <w:sz w:val="14"/>
          <w:szCs w:val="14"/>
          <w:color w:val="auto"/>
        </w:rPr>
        <w:t>The Bank adopted a Long-Term Incentive Plan (“LTIP”) for executive management members in 2021. The LTIP is in the form of a nonqualified deferred compensation plan and complies with IRC Section 409A as well as related guidance and regulations. The LTIP was introduced in order to align long-term interests of the Bank with the Bank’s key executive management members. Under the LTIP, the CEO is eligible to earn an annual contribution of 20 percent of salary for achieving targeted performance levels while other executive management members are eligible to earn an annual contribution of 15 percent of salary for achieving targeted performance levels. The Compensation Committee may award more for overachievement of the targets, and all targets are set for participants at the beginning of a fiscal year. All participants are subject to the following vesting schedule for any earnings (or losses) on the investment of the contribution: 100 percent vesting following completion of either (i) ten years of service by the applicable executive from the later of the effective date of the LTIP or the executive’s hire date or (ii) ten years of continuous, full-time employment with the Bank by the applicable executive (to include continuous employment prior to the effective date of the LTIP) and retirement, which is defined in the LTIP as the later of a participant’s separation from service or the executive attaining 67 years of age. Any executive not fulfilling either vesting requirement will forfeit any employer contributions.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12 - Related-Party Transactions</w:t>
      </w:r>
    </w:p>
    <w:p>
      <w:pPr>
        <w:spacing w:after="0" w:line="204"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Certain executive officers and directors of the Company and Bank, and companies with which they are affiliated, are clients of and have banking transactions with the Company in the ordinary course of business. These transactions are conducted on substantially the same terms, including interest rates and collateral, as those prevailing at the time for comparable transactions with persons not related to the Company.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Activity in related-party loans during 2021 and 2020 is shown below:</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6840" w:type="dxa"/>
            <w:vAlign w:val="bottom"/>
            <w:tcBorders>
              <w:bottom w:val="single" w:sz="8" w:color="CCEEFF"/>
            </w:tcBorders>
          </w:tcPr>
          <w:p>
            <w:pPr>
              <w:ind w:left="280"/>
              <w:spacing w:after="0"/>
              <w:rPr>
                <w:sz w:val="20"/>
                <w:szCs w:val="20"/>
                <w:color w:val="auto"/>
              </w:rPr>
            </w:pPr>
            <w:r>
              <w:rPr>
                <w:rFonts w:ascii="Arial" w:cs="Arial" w:eastAsia="Arial" w:hAnsi="Arial"/>
                <w:sz w:val="9"/>
                <w:szCs w:val="9"/>
                <w:color w:val="auto"/>
              </w:rPr>
              <w:t>(in thousands)</w:t>
            </w: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r>
      <w:tr>
        <w:trPr>
          <w:trHeight w:val="173"/>
        </w:trPr>
        <w:tc>
          <w:tcPr>
            <w:tcW w:w="6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Balance at beginning of year</w:t>
            </w:r>
          </w:p>
        </w:tc>
        <w:tc>
          <w:tcPr>
            <w:tcW w:w="700" w:type="dxa"/>
            <w:vAlign w:val="bottom"/>
            <w:shd w:val="clear" w:color="auto" w:fill="CCEEFF"/>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19,275</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178"/>
        </w:trPr>
        <w:tc>
          <w:tcPr>
            <w:tcW w:w="6840" w:type="dxa"/>
            <w:vAlign w:val="bottom"/>
          </w:tcPr>
          <w:p>
            <w:pPr>
              <w:ind w:left="380"/>
              <w:spacing w:after="0"/>
              <w:rPr>
                <w:sz w:val="20"/>
                <w:szCs w:val="20"/>
                <w:color w:val="auto"/>
              </w:rPr>
            </w:pPr>
            <w:r>
              <w:rPr>
                <w:rFonts w:ascii="Arial" w:cs="Arial" w:eastAsia="Arial" w:hAnsi="Arial"/>
                <w:sz w:val="13"/>
                <w:szCs w:val="13"/>
                <w:color w:val="auto"/>
              </w:rPr>
              <w:t>Add: New loans</w:t>
            </w:r>
          </w:p>
        </w:tc>
        <w:tc>
          <w:tcPr>
            <w:tcW w:w="7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15,717</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8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Less: Amounts collected</w:t>
            </w:r>
          </w:p>
        </w:tc>
        <w:tc>
          <w:tcPr>
            <w:tcW w:w="7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(2,468)</w:t>
            </w:r>
          </w:p>
        </w:tc>
        <w:tc>
          <w:tcPr>
            <w:tcW w:w="1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70"/>
        </w:trPr>
        <w:tc>
          <w:tcPr>
            <w:tcW w:w="6840" w:type="dxa"/>
            <w:vAlign w:val="bottom"/>
          </w:tcPr>
          <w:p>
            <w:pPr>
              <w:ind w:left="280"/>
              <w:spacing w:after="0"/>
              <w:rPr>
                <w:sz w:val="20"/>
                <w:szCs w:val="20"/>
                <w:color w:val="auto"/>
              </w:rPr>
            </w:pPr>
            <w:r>
              <w:rPr>
                <w:rFonts w:ascii="Arial" w:cs="Arial" w:eastAsia="Arial" w:hAnsi="Arial"/>
                <w:sz w:val="13"/>
                <w:szCs w:val="13"/>
                <w:color w:val="auto"/>
              </w:rPr>
              <w:t>Balance at end of year</w:t>
            </w: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32,524</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w:t>
            </w:r>
          </w:p>
        </w:tc>
      </w:tr>
      <w:tr>
        <w:trPr>
          <w:trHeight w:val="20"/>
        </w:trPr>
        <w:tc>
          <w:tcPr>
            <w:tcW w:w="6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87" w:name="page88"/>
    <w:bookmarkEnd w:id="87"/>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12 - Related-Party Transactions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Deposits from officers and directors and their related interests were $113.8 million at December 31, 2021, and $148.4 million at December 31, 2020.</w:t>
      </w:r>
    </w:p>
    <w:p>
      <w:pPr>
        <w:spacing w:after="0" w:line="186"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A director of the Company owns an interest in an entity from which the Company leases space for one of its Rockville, Maryland locations. Payments made in accordance with the lease were $79.0 thousand and $76.3 thousand in 2021 and 2020, respectively.</w:t>
      </w:r>
    </w:p>
    <w:p>
      <w:pPr>
        <w:spacing w:after="0" w:line="166" w:lineRule="exact"/>
        <w:rPr>
          <w:sz w:val="20"/>
          <w:szCs w:val="20"/>
          <w:color w:val="auto"/>
        </w:rPr>
      </w:pPr>
    </w:p>
    <w:p>
      <w:pPr>
        <w:jc w:val="both"/>
        <w:ind w:right="100" w:firstLine="268"/>
        <w:spacing w:after="0" w:line="258" w:lineRule="auto"/>
        <w:rPr>
          <w:sz w:val="20"/>
          <w:szCs w:val="20"/>
          <w:color w:val="auto"/>
        </w:rPr>
      </w:pPr>
      <w:r>
        <w:rPr>
          <w:rFonts w:ascii="Arial" w:cs="Arial" w:eastAsia="Arial" w:hAnsi="Arial"/>
          <w:sz w:val="15"/>
          <w:szCs w:val="15"/>
          <w:color w:val="auto"/>
        </w:rPr>
        <w:t>Company directors, or their related interests, held $2.5 million of the subordinated notes outstanding as of December 31, 2021. These notes hold a fixed rate of interest until November 30, 2025, after which it converts to variable rate.</w:t>
      </w:r>
    </w:p>
    <w:p>
      <w:pPr>
        <w:spacing w:after="0" w:line="166"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Company directors, or their related interests, did not hold any participation loans from the Bank as of December 31, 2021 or December 31, 2020. Company and Bank directors, or their related interests, held no participation loans from Church Street Capital as of December 31, 2021, and $120.9 thousand of participation loans from Church Street Capital as of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13 - Income Taxes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components of income tax expense were as follows:</w:t>
      </w:r>
    </w:p>
    <w:p>
      <w:pPr>
        <w:spacing w:after="0" w:line="205" w:lineRule="exact"/>
        <w:rPr>
          <w:sz w:val="20"/>
          <w:szCs w:val="20"/>
          <w:color w:val="auto"/>
        </w:rPr>
      </w:pPr>
    </w:p>
    <w:p>
      <w:pPr>
        <w:ind w:left="8400"/>
        <w:spacing w:after="0"/>
        <w:rPr>
          <w:sz w:val="20"/>
          <w:szCs w:val="20"/>
          <w:color w:val="auto"/>
        </w:rPr>
      </w:pPr>
      <w:r>
        <w:rPr>
          <w:rFonts w:ascii="Arial" w:cs="Arial" w:eastAsia="Arial" w:hAnsi="Arial"/>
          <w:sz w:val="13"/>
          <w:szCs w:val="13"/>
          <w:b w:val="1"/>
          <w:bCs w:val="1"/>
          <w:color w:val="auto"/>
        </w:rPr>
        <w:t>For the Years Ended December 31,</w:t>
      </w:r>
    </w:p>
    <w:p>
      <w:pPr>
        <w:spacing w:after="0" w:line="28"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6900" w:type="dxa"/>
            <w:vAlign w:val="bottom"/>
            <w:tcBorders>
              <w:bottom w:val="single" w:sz="8" w:color="CCEEFF"/>
            </w:tcBorders>
          </w:tcPr>
          <w:p>
            <w:pPr>
              <w:ind w:left="280"/>
              <w:spacing w:after="0"/>
              <w:rPr>
                <w:sz w:val="20"/>
                <w:szCs w:val="20"/>
                <w:color w:val="auto"/>
              </w:rPr>
            </w:pPr>
            <w:r>
              <w:rPr>
                <w:rFonts w:ascii="Arial" w:cs="Arial" w:eastAsia="Arial" w:hAnsi="Arial"/>
                <w:sz w:val="9"/>
                <w:szCs w:val="9"/>
                <w:color w:val="auto"/>
              </w:rPr>
              <w:t>(in thousands)</w:t>
            </w:r>
          </w:p>
        </w:tc>
        <w:tc>
          <w:tcPr>
            <w:tcW w:w="7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r>
      <w:tr>
        <w:trPr>
          <w:trHeight w:val="159"/>
        </w:trPr>
        <w:tc>
          <w:tcPr>
            <w:tcW w:w="6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7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8"/>
        </w:trPr>
        <w:tc>
          <w:tcPr>
            <w:tcW w:w="6900" w:type="dxa"/>
            <w:vAlign w:val="bottom"/>
          </w:tcPr>
          <w:p>
            <w:pPr>
              <w:ind w:left="380"/>
              <w:spacing w:after="0"/>
              <w:rPr>
                <w:sz w:val="20"/>
                <w:szCs w:val="20"/>
                <w:color w:val="auto"/>
              </w:rPr>
            </w:pPr>
            <w:r>
              <w:rPr>
                <w:rFonts w:ascii="Arial" w:cs="Arial" w:eastAsia="Arial" w:hAnsi="Arial"/>
                <w:sz w:val="13"/>
                <w:szCs w:val="13"/>
                <w:color w:val="auto"/>
              </w:rPr>
              <w:t>Federal</w:t>
            </w:r>
          </w:p>
        </w:tc>
        <w:tc>
          <w:tcPr>
            <w:tcW w:w="70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12,990</w:t>
            </w:r>
          </w:p>
        </w:tc>
        <w:tc>
          <w:tcPr>
            <w:tcW w:w="120" w:type="dxa"/>
            <w:vAlign w:val="bottom"/>
          </w:tcPr>
          <w:p>
            <w:pPr>
              <w:spacing w:after="0"/>
              <w:rPr>
                <w:sz w:val="15"/>
                <w:szCs w:val="15"/>
                <w:color w:val="auto"/>
              </w:rPr>
            </w:pPr>
          </w:p>
        </w:tc>
        <w:tc>
          <w:tcPr>
            <w:tcW w:w="7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79"/>
        </w:trPr>
        <w:tc>
          <w:tcPr>
            <w:tcW w:w="6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State</w:t>
            </w:r>
          </w:p>
        </w:tc>
        <w:tc>
          <w:tcPr>
            <w:tcW w:w="7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2,835</w:t>
            </w: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70"/>
        </w:trPr>
        <w:tc>
          <w:tcPr>
            <w:tcW w:w="6900" w:type="dxa"/>
            <w:vAlign w:val="bottom"/>
          </w:tcPr>
          <w:p>
            <w:pPr>
              <w:ind w:left="440"/>
              <w:spacing w:after="0"/>
              <w:rPr>
                <w:sz w:val="20"/>
                <w:szCs w:val="20"/>
                <w:color w:val="auto"/>
              </w:rPr>
            </w:pPr>
            <w:r>
              <w:rPr>
                <w:rFonts w:ascii="Arial" w:cs="Arial" w:eastAsia="Arial" w:hAnsi="Arial"/>
                <w:sz w:val="13"/>
                <w:szCs w:val="13"/>
                <w:color w:val="auto"/>
              </w:rPr>
              <w:t>Total current expense</w:t>
            </w:r>
          </w:p>
        </w:tc>
        <w:tc>
          <w:tcPr>
            <w:tcW w:w="7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15,825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179"/>
        </w:trPr>
        <w:tc>
          <w:tcPr>
            <w:tcW w:w="6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tax benefit</w:t>
            </w:r>
          </w:p>
        </w:tc>
        <w:tc>
          <w:tcPr>
            <w:tcW w:w="7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(1,927)</w:t>
            </w: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71"/>
        </w:trPr>
        <w:tc>
          <w:tcPr>
            <w:tcW w:w="6900" w:type="dxa"/>
            <w:vAlign w:val="bottom"/>
          </w:tcPr>
          <w:p>
            <w:pPr>
              <w:ind w:left="560"/>
              <w:spacing w:after="0"/>
              <w:rPr>
                <w:sz w:val="20"/>
                <w:szCs w:val="20"/>
                <w:color w:val="auto"/>
              </w:rPr>
            </w:pPr>
            <w:r>
              <w:rPr>
                <w:rFonts w:ascii="Arial" w:cs="Arial" w:eastAsia="Arial" w:hAnsi="Arial"/>
                <w:sz w:val="13"/>
                <w:szCs w:val="13"/>
                <w:color w:val="auto"/>
              </w:rPr>
              <w:t>Total income tax expense</w:t>
            </w: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13,898</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r>
      <w:tr>
        <w:trPr>
          <w:trHeight w:val="20"/>
        </w:trPr>
        <w:tc>
          <w:tcPr>
            <w:tcW w:w="6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components of the net deferred tax asset at December 31, 2021 and 2020 were:</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6880" w:type="dxa"/>
            <w:vAlign w:val="bottom"/>
            <w:tcBorders>
              <w:bottom w:val="single" w:sz="8" w:color="CCEEFF"/>
            </w:tcBorders>
          </w:tcPr>
          <w:p>
            <w:pPr>
              <w:ind w:left="280"/>
              <w:spacing w:after="0"/>
              <w:rPr>
                <w:sz w:val="20"/>
                <w:szCs w:val="20"/>
                <w:color w:val="auto"/>
              </w:rPr>
            </w:pPr>
            <w:r>
              <w:rPr>
                <w:rFonts w:ascii="Arial" w:cs="Arial" w:eastAsia="Arial" w:hAnsi="Arial"/>
                <w:sz w:val="9"/>
                <w:szCs w:val="9"/>
                <w:color w:val="auto"/>
              </w:rPr>
              <w:t>(in thousands)</w:t>
            </w: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r>
      <w:tr>
        <w:trPr>
          <w:trHeight w:val="161"/>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tax assets:</w:t>
            </w:r>
          </w:p>
        </w:tc>
        <w:tc>
          <w:tcPr>
            <w:tcW w:w="7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8"/>
        </w:trPr>
        <w:tc>
          <w:tcPr>
            <w:tcW w:w="6880" w:type="dxa"/>
            <w:vAlign w:val="bottom"/>
          </w:tcPr>
          <w:p>
            <w:pPr>
              <w:ind w:left="380"/>
              <w:spacing w:after="0"/>
              <w:rPr>
                <w:sz w:val="20"/>
                <w:szCs w:val="20"/>
                <w:color w:val="auto"/>
              </w:rPr>
            </w:pPr>
            <w:r>
              <w:rPr>
                <w:rFonts w:ascii="Arial" w:cs="Arial" w:eastAsia="Arial" w:hAnsi="Arial"/>
                <w:sz w:val="13"/>
                <w:szCs w:val="13"/>
                <w:color w:val="auto"/>
              </w:rPr>
              <w:t>Allowance for loan and credit losses</w:t>
            </w:r>
          </w:p>
        </w:tc>
        <w:tc>
          <w:tcPr>
            <w:tcW w:w="70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6,674</w:t>
            </w:r>
          </w:p>
        </w:tc>
        <w:tc>
          <w:tcPr>
            <w:tcW w:w="140" w:type="dxa"/>
            <w:vAlign w:val="bottom"/>
          </w:tcPr>
          <w:p>
            <w:pPr>
              <w:spacing w:after="0"/>
              <w:rPr>
                <w:sz w:val="15"/>
                <w:szCs w:val="15"/>
                <w:color w:val="auto"/>
              </w:rPr>
            </w:pPr>
          </w:p>
        </w:tc>
        <w:tc>
          <w:tcPr>
            <w:tcW w:w="7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80"/>
        </w:trPr>
        <w:tc>
          <w:tcPr>
            <w:tcW w:w="68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Reserve for recourse on mortgage loans sold</w:t>
            </w: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364</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8"/>
        </w:trPr>
        <w:tc>
          <w:tcPr>
            <w:tcW w:w="6880" w:type="dxa"/>
            <w:vAlign w:val="bottom"/>
          </w:tcPr>
          <w:p>
            <w:pPr>
              <w:ind w:left="380"/>
              <w:spacing w:after="0"/>
              <w:rPr>
                <w:sz w:val="20"/>
                <w:szCs w:val="20"/>
                <w:color w:val="auto"/>
              </w:rPr>
            </w:pPr>
            <w:r>
              <w:rPr>
                <w:rFonts w:ascii="Arial" w:cs="Arial" w:eastAsia="Arial" w:hAnsi="Arial"/>
                <w:sz w:val="13"/>
                <w:szCs w:val="13"/>
                <w:color w:val="auto"/>
              </w:rPr>
              <w:t>Deferred loan fees - PPP</w:t>
            </w:r>
          </w:p>
        </w:tc>
        <w:tc>
          <w:tcPr>
            <w:tcW w:w="7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1,076</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8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Stock-based compensation</w:t>
            </w: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320</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8"/>
        </w:trPr>
        <w:tc>
          <w:tcPr>
            <w:tcW w:w="6880" w:type="dxa"/>
            <w:vAlign w:val="bottom"/>
          </w:tcPr>
          <w:p>
            <w:pPr>
              <w:ind w:left="380"/>
              <w:spacing w:after="0"/>
              <w:rPr>
                <w:sz w:val="20"/>
                <w:szCs w:val="20"/>
                <w:color w:val="auto"/>
              </w:rPr>
            </w:pPr>
            <w:r>
              <w:rPr>
                <w:rFonts w:ascii="Arial" w:cs="Arial" w:eastAsia="Arial" w:hAnsi="Arial"/>
                <w:sz w:val="13"/>
                <w:szCs w:val="13"/>
                <w:color w:val="auto"/>
              </w:rPr>
              <w:t>Long-term incentive program</w:t>
            </w:r>
          </w:p>
        </w:tc>
        <w:tc>
          <w:tcPr>
            <w:tcW w:w="7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507</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80"/>
        </w:trPr>
        <w:tc>
          <w:tcPr>
            <w:tcW w:w="68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Unrealized loss on investment securities available for sale</w:t>
            </w: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428</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8"/>
        </w:trPr>
        <w:tc>
          <w:tcPr>
            <w:tcW w:w="6880" w:type="dxa"/>
            <w:vAlign w:val="bottom"/>
          </w:tcPr>
          <w:p>
            <w:pPr>
              <w:ind w:left="380"/>
              <w:spacing w:after="0"/>
              <w:rPr>
                <w:sz w:val="20"/>
                <w:szCs w:val="20"/>
                <w:color w:val="auto"/>
              </w:rPr>
            </w:pPr>
            <w:r>
              <w:rPr>
                <w:rFonts w:ascii="Arial" w:cs="Arial" w:eastAsia="Arial" w:hAnsi="Arial"/>
                <w:sz w:val="13"/>
                <w:szCs w:val="13"/>
                <w:color w:val="auto"/>
              </w:rPr>
              <w:t>Net operating loss carryforward</w:t>
            </w:r>
          </w:p>
        </w:tc>
        <w:tc>
          <w:tcPr>
            <w:tcW w:w="7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67</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9"/>
        </w:trPr>
        <w:tc>
          <w:tcPr>
            <w:tcW w:w="68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Other</w:t>
            </w:r>
          </w:p>
        </w:tc>
        <w:tc>
          <w:tcPr>
            <w:tcW w:w="7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532</w:t>
            </w:r>
          </w:p>
        </w:tc>
        <w:tc>
          <w:tcPr>
            <w:tcW w:w="1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0"/>
        </w:trPr>
        <w:tc>
          <w:tcPr>
            <w:tcW w:w="68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9,968</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r>
      <w:tr>
        <w:trPr>
          <w:trHeight w:val="160"/>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tax liabilities:</w:t>
            </w:r>
          </w:p>
        </w:tc>
        <w:tc>
          <w:tcPr>
            <w:tcW w:w="7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8"/>
        </w:trPr>
        <w:tc>
          <w:tcPr>
            <w:tcW w:w="6880" w:type="dxa"/>
            <w:vAlign w:val="bottom"/>
          </w:tcPr>
          <w:p>
            <w:pPr>
              <w:ind w:left="380"/>
              <w:spacing w:after="0"/>
              <w:rPr>
                <w:sz w:val="20"/>
                <w:szCs w:val="20"/>
                <w:color w:val="auto"/>
              </w:rPr>
            </w:pPr>
            <w:r>
              <w:rPr>
                <w:rFonts w:ascii="Arial" w:cs="Arial" w:eastAsia="Arial" w:hAnsi="Arial"/>
                <w:sz w:val="13"/>
                <w:szCs w:val="13"/>
                <w:color w:val="auto"/>
              </w:rPr>
              <w:t>Unrealized gains on investment securities available for sale</w:t>
            </w:r>
          </w:p>
        </w:tc>
        <w:tc>
          <w:tcPr>
            <w:tcW w:w="70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80"/>
        </w:trPr>
        <w:tc>
          <w:tcPr>
            <w:tcW w:w="68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Accumulated depreciation</w:t>
            </w: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107</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8"/>
        </w:trPr>
        <w:tc>
          <w:tcPr>
            <w:tcW w:w="688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Other</w:t>
            </w: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0"/>
        </w:trPr>
        <w:tc>
          <w:tcPr>
            <w:tcW w:w="68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w:t>
            </w:r>
          </w:p>
        </w:tc>
        <w:tc>
          <w:tcPr>
            <w:tcW w:w="14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70"/>
        </w:trPr>
        <w:tc>
          <w:tcPr>
            <w:tcW w:w="6880" w:type="dxa"/>
            <w:vAlign w:val="bottom"/>
          </w:tcPr>
          <w:p>
            <w:pPr>
              <w:ind w:left="280"/>
              <w:spacing w:after="0"/>
              <w:rPr>
                <w:sz w:val="20"/>
                <w:szCs w:val="20"/>
                <w:color w:val="auto"/>
              </w:rPr>
            </w:pPr>
            <w:r>
              <w:rPr>
                <w:rFonts w:ascii="Arial" w:cs="Arial" w:eastAsia="Arial" w:hAnsi="Arial"/>
                <w:sz w:val="13"/>
                <w:szCs w:val="13"/>
                <w:color w:val="auto"/>
              </w:rPr>
              <w:t>Net deferred tax asset before valuation allowance</w:t>
            </w:r>
          </w:p>
        </w:tc>
        <w:tc>
          <w:tcPr>
            <w:tcW w:w="7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9,860</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79"/>
        </w:trPr>
        <w:tc>
          <w:tcPr>
            <w:tcW w:w="68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Less: Valuation allowance</w:t>
            </w:r>
          </w:p>
        </w:tc>
        <w:tc>
          <w:tcPr>
            <w:tcW w:w="7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67</w:t>
            </w:r>
          </w:p>
        </w:tc>
        <w:tc>
          <w:tcPr>
            <w:tcW w:w="1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6880" w:type="dxa"/>
            <w:vAlign w:val="bottom"/>
          </w:tcPr>
          <w:p>
            <w:pPr>
              <w:ind w:left="280"/>
              <w:spacing w:after="0"/>
              <w:rPr>
                <w:sz w:val="20"/>
                <w:szCs w:val="20"/>
                <w:color w:val="auto"/>
              </w:rPr>
            </w:pPr>
            <w:r>
              <w:rPr>
                <w:rFonts w:ascii="Arial" w:cs="Arial" w:eastAsia="Arial" w:hAnsi="Arial"/>
                <w:sz w:val="13"/>
                <w:szCs w:val="13"/>
                <w:color w:val="auto"/>
              </w:rPr>
              <w:t>Net deferred tax asset</w:t>
            </w: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9,793</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r>
      <w:tr>
        <w:trPr>
          <w:trHeight w:val="20"/>
        </w:trPr>
        <w:tc>
          <w:tcPr>
            <w:tcW w:w="6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88" w:name="page89"/>
    <w:bookmarkEnd w:id="88"/>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13 - Income Taxes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differences between the federal income tax rate and the effective tax rate for the Company are reconciled as follows:</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664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2020</w:t>
            </w:r>
          </w:p>
        </w:tc>
      </w:tr>
      <w:tr>
        <w:trPr>
          <w:trHeight w:val="173"/>
        </w:trPr>
        <w:tc>
          <w:tcPr>
            <w:tcW w:w="80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Statutory federal income tax rate</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21.00</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21.00</w:t>
            </w:r>
          </w:p>
        </w:tc>
      </w:tr>
      <w:tr>
        <w:trPr>
          <w:trHeight w:val="177"/>
        </w:trPr>
        <w:tc>
          <w:tcPr>
            <w:tcW w:w="8060" w:type="dxa"/>
            <w:vAlign w:val="bottom"/>
            <w:gridSpan w:val="2"/>
          </w:tcPr>
          <w:p>
            <w:pPr>
              <w:ind w:left="280"/>
              <w:spacing w:after="0"/>
              <w:rPr>
                <w:sz w:val="20"/>
                <w:szCs w:val="20"/>
                <w:color w:val="auto"/>
              </w:rPr>
            </w:pPr>
            <w:r>
              <w:rPr>
                <w:rFonts w:ascii="Arial" w:cs="Arial" w:eastAsia="Arial" w:hAnsi="Arial"/>
                <w:sz w:val="13"/>
                <w:szCs w:val="13"/>
                <w:color w:val="auto"/>
              </w:rPr>
              <w:t>Increase (decrease) resulting from:</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1"/>
        </w:trPr>
        <w:tc>
          <w:tcPr>
            <w:tcW w:w="80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State income taxes, net of federal income tax benefit</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3.97</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5.40</w:t>
            </w:r>
          </w:p>
        </w:tc>
      </w:tr>
      <w:tr>
        <w:trPr>
          <w:trHeight w:val="178"/>
        </w:trPr>
        <w:tc>
          <w:tcPr>
            <w:tcW w:w="8060" w:type="dxa"/>
            <w:vAlign w:val="bottom"/>
            <w:gridSpan w:val="2"/>
          </w:tcPr>
          <w:p>
            <w:pPr>
              <w:ind w:left="380"/>
              <w:spacing w:after="0"/>
              <w:rPr>
                <w:sz w:val="20"/>
                <w:szCs w:val="20"/>
                <w:color w:val="auto"/>
              </w:rPr>
            </w:pPr>
            <w:r>
              <w:rPr>
                <w:rFonts w:ascii="Arial" w:cs="Arial" w:eastAsia="Arial" w:hAnsi="Arial"/>
                <w:sz w:val="13"/>
                <w:szCs w:val="13"/>
                <w:color w:val="auto"/>
              </w:rPr>
              <w:t>Nondeductible expenses</w:t>
            </w:r>
          </w:p>
        </w:tc>
        <w:tc>
          <w:tcPr>
            <w:tcW w:w="540" w:type="dxa"/>
            <w:vAlign w:val="bottom"/>
          </w:tcPr>
          <w:p>
            <w:pPr>
              <w:jc w:val="right"/>
              <w:ind w:right="93"/>
              <w:spacing w:after="0"/>
              <w:rPr>
                <w:sz w:val="20"/>
                <w:szCs w:val="20"/>
                <w:color w:val="auto"/>
              </w:rPr>
            </w:pPr>
            <w:r>
              <w:rPr>
                <w:rFonts w:ascii="Arial" w:cs="Arial" w:eastAsia="Arial" w:hAnsi="Arial"/>
                <w:sz w:val="13"/>
                <w:szCs w:val="13"/>
                <w:b w:val="1"/>
                <w:bCs w:val="1"/>
                <w:color w:val="auto"/>
              </w:rPr>
              <w:t>0.44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jc w:val="right"/>
              <w:ind w:right="193"/>
              <w:spacing w:after="0"/>
              <w:rPr>
                <w:sz w:val="20"/>
                <w:szCs w:val="20"/>
                <w:color w:val="auto"/>
              </w:rPr>
            </w:pPr>
            <w:r>
              <w:rPr>
                <w:rFonts w:ascii="Arial" w:cs="Arial" w:eastAsia="Arial" w:hAnsi="Arial"/>
                <w:sz w:val="13"/>
                <w:szCs w:val="13"/>
                <w:color w:val="auto"/>
              </w:rPr>
              <w:t>0.49</w:t>
            </w:r>
          </w:p>
        </w:tc>
      </w:tr>
      <w:tr>
        <w:trPr>
          <w:trHeight w:val="180"/>
        </w:trPr>
        <w:tc>
          <w:tcPr>
            <w:tcW w:w="80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Tax exempt income</w:t>
            </w:r>
          </w:p>
        </w:tc>
        <w:tc>
          <w:tcPr>
            <w:tcW w:w="5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(0.20)</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(0.01)</w:t>
            </w:r>
          </w:p>
        </w:tc>
      </w:tr>
      <w:tr>
        <w:trPr>
          <w:trHeight w:val="178"/>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Other</w:t>
            </w:r>
          </w:p>
        </w:tc>
        <w:tc>
          <w:tcPr>
            <w:tcW w:w="1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0.59</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(0.37)</w:t>
            </w:r>
          </w:p>
        </w:tc>
      </w:tr>
      <w:tr>
        <w:trPr>
          <w:trHeight w:val="191"/>
        </w:trPr>
        <w:tc>
          <w:tcPr>
            <w:tcW w:w="80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Effective Tax Rate</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25.80</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26.51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ind w:right="80" w:firstLine="268"/>
        <w:spacing w:after="0" w:line="252" w:lineRule="auto"/>
        <w:rPr>
          <w:sz w:val="20"/>
          <w:szCs w:val="20"/>
          <w:color w:val="auto"/>
        </w:rPr>
      </w:pPr>
      <w:r>
        <w:rPr>
          <w:rFonts w:ascii="Arial" w:cs="Arial" w:eastAsia="Arial" w:hAnsi="Arial"/>
          <w:sz w:val="15"/>
          <w:szCs w:val="15"/>
          <w:color w:val="auto"/>
        </w:rPr>
        <w:t>Deferred tax assets represent the future tax benefit of deductible differences and, if it is more likely than not that a tax asset will not be realized, a valuation allowance is required to reduce the net deferred tax assets to net realizable value. As of December 31, 2021, management has determined that it is more likely than not that the majority of the deferred tax asset from continuing operations will be realized. At December 31, 2021 and 2020, a valuation allowance of $67 thousand and $123 thousand was recognized, respectively, for a State of Maryland net operating loss carryforward that may not be realizable.</w:t>
      </w:r>
    </w:p>
    <w:p>
      <w:pPr>
        <w:spacing w:after="0" w:line="171"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The Company does not have material uncertain tax positions and did not recognize any adjustments for unrecognized tax benefits. The Company remains subject to examination of income tax returns for the years ending after December 31, 2017.</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14 - Capital Standards</w:t>
      </w:r>
    </w:p>
    <w:p>
      <w:pPr>
        <w:spacing w:after="0" w:line="204" w:lineRule="exact"/>
        <w:rPr>
          <w:sz w:val="20"/>
          <w:szCs w:val="20"/>
          <w:color w:val="auto"/>
        </w:rPr>
      </w:pPr>
    </w:p>
    <w:p>
      <w:pPr>
        <w:jc w:val="both"/>
        <w:ind w:right="80" w:firstLine="268"/>
        <w:spacing w:after="0" w:line="251" w:lineRule="auto"/>
        <w:rPr>
          <w:sz w:val="20"/>
          <w:szCs w:val="20"/>
          <w:color w:val="auto"/>
        </w:rPr>
      </w:pPr>
      <w:r>
        <w:rPr>
          <w:rFonts w:ascii="Arial" w:cs="Arial" w:eastAsia="Arial" w:hAnsi="Arial"/>
          <w:sz w:val="15"/>
          <w:szCs w:val="15"/>
          <w:color w:val="auto"/>
        </w:rPr>
        <w:t>The Company and Bank are subject to various regulatory capital requirements administered by the federal banking agencies. Failure to meet minimum capital requirements can precipitate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 and other factors.</w:t>
      </w:r>
    </w:p>
    <w:p>
      <w:pPr>
        <w:spacing w:after="0" w:line="172"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Quantitative measures established and defined by regulation to ensure capital adequacy require the Company and the Bank to maintain minimum amounts and ratios of Total, Tier 1 and Common Equity Tier 1 capital to risk-weighted assets, and of Tier 1 capital to average assets. As of December 31, 2021 and 2020, the capital levels of the Company and the Bank exceeded all applicable capital adequacy requirements.</w:t>
      </w:r>
    </w:p>
    <w:p>
      <w:pPr>
        <w:spacing w:after="0" w:line="171"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As of December 31, 2021 the most recent notification from the OCC has categorized the Bank as well capitalized under the regulatory framework for prompt corrective action. To be categorized as well capitalized, the Bank must maintain ratios as set forth in the table. There have been no conditions or events since that notification that management believes have changed the Bank’s category.</w:t>
      </w:r>
    </w:p>
    <w:p>
      <w:pPr>
        <w:spacing w:after="0" w:line="171" w:lineRule="exact"/>
        <w:rPr>
          <w:sz w:val="20"/>
          <w:szCs w:val="20"/>
          <w:color w:val="auto"/>
        </w:rPr>
      </w:pPr>
    </w:p>
    <w:p>
      <w:pPr>
        <w:jc w:val="both"/>
        <w:ind w:right="80" w:firstLine="268"/>
        <w:spacing w:after="0" w:line="252" w:lineRule="auto"/>
        <w:rPr>
          <w:sz w:val="20"/>
          <w:szCs w:val="20"/>
          <w:color w:val="auto"/>
        </w:rPr>
      </w:pPr>
      <w:r>
        <w:rPr>
          <w:rFonts w:ascii="Arial" w:cs="Arial" w:eastAsia="Arial" w:hAnsi="Arial"/>
          <w:sz w:val="15"/>
          <w:szCs w:val="15"/>
          <w:color w:val="auto"/>
        </w:rPr>
        <w:t>The following table presents actual and required capital ratios as of December 31, 2021 and 2020 for the Bank under the Basel III Capital Rules. The minimum required capital amounts presented include the minimum required capital levels as of December 31, 2021 and 2020 based on the phase-in provisions of the Basel III Capital Rules. Capital levels required to be considered well capitalized are based upon prompt corrective action regulations, as amended to reflect the changes under the Basel III Capital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89" w:name="page90"/>
    <w:bookmarkEnd w:id="89"/>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14 - Capital Standards (continued)</w:t>
      </w:r>
    </w:p>
    <w:p>
      <w:pPr>
        <w:spacing w:after="0" w:line="204" w:lineRule="exact"/>
        <w:rPr>
          <w:sz w:val="20"/>
          <w:szCs w:val="20"/>
          <w:color w:val="auto"/>
        </w:rPr>
      </w:pPr>
    </w:p>
    <w:p>
      <w:pPr>
        <w:jc w:val="both"/>
        <w:ind w:right="80"/>
        <w:spacing w:after="0" w:line="252" w:lineRule="auto"/>
        <w:rPr>
          <w:sz w:val="20"/>
          <w:szCs w:val="20"/>
          <w:color w:val="auto"/>
        </w:rPr>
      </w:pPr>
      <w:r>
        <w:rPr>
          <w:rFonts w:ascii="Arial" w:cs="Arial" w:eastAsia="Arial" w:hAnsi="Arial"/>
          <w:sz w:val="15"/>
          <w:szCs w:val="15"/>
          <w:color w:val="auto"/>
        </w:rPr>
        <w:t>Based on recent changes to the Federal Reserve’s definition of a “Small Bank Holding Company” that increased the threshold to $3 billion in assets, the Company is not currently subject to separate minimum capital measurements. At such time as the Company reaches the $3 billion asset level, it will again be subject to capital measurements independent of the Bank. For comparison purposes, the Company’s ratios are presented in the following table as well, all of which would have exceeded the “well-capitalized” level had the Company been subject to separate capital minimums.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Regulatory Capital</w:t>
      </w:r>
    </w:p>
    <w:p>
      <w:pPr>
        <w:spacing w:after="0" w:line="19" w:lineRule="exact"/>
        <w:rPr>
          <w:sz w:val="20"/>
          <w:szCs w:val="20"/>
          <w:color w:val="auto"/>
        </w:rPr>
      </w:pPr>
    </w:p>
    <w:tbl>
      <w:tblPr>
        <w:tblLayout w:type="fixed"/>
        <w:tblInd w:w="280" w:type="dxa"/>
        <w:tblCellMar>
          <w:top w:w="0" w:type="dxa"/>
          <w:left w:w="0" w:type="dxa"/>
          <w:bottom w:w="0" w:type="dxa"/>
          <w:right w:w="0" w:type="dxa"/>
        </w:tblCellMar>
      </w:tblPr>
      <w:tr>
        <w:trPr>
          <w:trHeight w:val="115"/>
        </w:trPr>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vMerge w:val="restart"/>
          </w:tcPr>
          <w:p>
            <w:pPr>
              <w:jc w:val="right"/>
              <w:ind w:right="588"/>
              <w:spacing w:after="0"/>
              <w:rPr>
                <w:sz w:val="20"/>
                <w:szCs w:val="20"/>
                <w:color w:val="auto"/>
              </w:rPr>
            </w:pPr>
            <w:r>
              <w:rPr>
                <w:rFonts w:ascii="Arial" w:cs="Arial" w:eastAsia="Arial" w:hAnsi="Arial"/>
                <w:sz w:val="10"/>
                <w:szCs w:val="10"/>
                <w:b w:val="1"/>
                <w:bCs w:val="1"/>
                <w:color w:val="auto"/>
                <w:w w:val="98"/>
              </w:rPr>
              <w:t>Actual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20" w:type="dxa"/>
            <w:vAlign w:val="bottom"/>
            <w:gridSpan w:val="4"/>
          </w:tcPr>
          <w:p>
            <w:pPr>
              <w:jc w:val="right"/>
              <w:ind w:right="308"/>
              <w:spacing w:after="0"/>
              <w:rPr>
                <w:sz w:val="20"/>
                <w:szCs w:val="20"/>
                <w:color w:val="auto"/>
              </w:rPr>
            </w:pPr>
            <w:r>
              <w:rPr>
                <w:rFonts w:ascii="Arial" w:cs="Arial" w:eastAsia="Arial" w:hAnsi="Arial"/>
                <w:sz w:val="10"/>
                <w:szCs w:val="10"/>
                <w:b w:val="1"/>
                <w:bCs w:val="1"/>
                <w:color w:val="auto"/>
              </w:rPr>
              <w:t>Minimum Capital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3"/>
          </w:tcPr>
          <w:p>
            <w:pPr>
              <w:ind w:left="580"/>
              <w:spacing w:after="0"/>
              <w:rPr>
                <w:sz w:val="20"/>
                <w:szCs w:val="20"/>
                <w:color w:val="auto"/>
              </w:rPr>
            </w:pPr>
            <w:r>
              <w:rPr>
                <w:rFonts w:ascii="Arial" w:cs="Arial" w:eastAsia="Arial" w:hAnsi="Arial"/>
                <w:sz w:val="10"/>
                <w:szCs w:val="10"/>
                <w:b w:val="1"/>
                <w:bCs w:val="1"/>
                <w:color w:val="auto"/>
              </w:rPr>
              <w:t>To Be Well</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3"/>
            <w:vMerge w:val="restart"/>
          </w:tcPr>
          <w:p>
            <w:pPr>
              <w:jc w:val="right"/>
              <w:ind w:right="8"/>
              <w:spacing w:after="0"/>
              <w:rPr>
                <w:sz w:val="20"/>
                <w:szCs w:val="20"/>
                <w:color w:val="auto"/>
              </w:rPr>
            </w:pPr>
            <w:r>
              <w:rPr>
                <w:rFonts w:ascii="Arial" w:cs="Arial" w:eastAsia="Arial" w:hAnsi="Arial"/>
                <w:sz w:val="10"/>
                <w:szCs w:val="10"/>
                <w:b w:val="1"/>
                <w:bCs w:val="1"/>
                <w:color w:val="auto"/>
              </w:rPr>
              <w:t>Full Phase In of Basel III</w:t>
            </w:r>
          </w:p>
        </w:tc>
        <w:tc>
          <w:tcPr>
            <w:tcW w:w="0" w:type="dxa"/>
            <w:vAlign w:val="bottom"/>
          </w:tcPr>
          <w:p>
            <w:pPr>
              <w:spacing w:after="0"/>
              <w:rPr>
                <w:sz w:val="1"/>
                <w:szCs w:val="1"/>
                <w:color w:val="auto"/>
              </w:rPr>
            </w:pPr>
          </w:p>
        </w:tc>
      </w:tr>
      <w:tr>
        <w:trPr>
          <w:trHeight w:val="141"/>
        </w:trPr>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440"/>
              <w:spacing w:after="0"/>
              <w:rPr>
                <w:sz w:val="20"/>
                <w:szCs w:val="20"/>
                <w:color w:val="auto"/>
              </w:rPr>
            </w:pPr>
            <w:r>
              <w:rPr>
                <w:rFonts w:ascii="Arial" w:cs="Arial" w:eastAsia="Arial" w:hAnsi="Arial"/>
                <w:sz w:val="10"/>
                <w:szCs w:val="10"/>
                <w:b w:val="1"/>
                <w:bCs w:val="1"/>
                <w:color w:val="auto"/>
              </w:rPr>
              <w:t>Adequacy</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0"/>
                <w:szCs w:val="10"/>
                <w:b w:val="1"/>
                <w:bCs w:val="1"/>
                <w:color w:val="auto"/>
              </w:rPr>
              <w:t>Capitalized</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60" w:type="dxa"/>
            <w:vAlign w:val="bottom"/>
          </w:tcPr>
          <w:p>
            <w:pPr>
              <w:ind w:left="280"/>
              <w:spacing w:after="0"/>
              <w:rPr>
                <w:sz w:val="20"/>
                <w:szCs w:val="20"/>
                <w:color w:val="auto"/>
              </w:rPr>
            </w:pPr>
            <w:r>
              <w:rPr>
                <w:rFonts w:ascii="Arial" w:cs="Arial" w:eastAsia="Arial" w:hAnsi="Arial"/>
                <w:sz w:val="9"/>
                <w:szCs w:val="9"/>
                <w:i w:val="1"/>
                <w:iCs w:val="1"/>
                <w:color w:val="auto"/>
              </w:rPr>
              <w:t>(Dollar amounts in thousands)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right"/>
              <w:ind w:right="168"/>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1"/>
                <w:szCs w:val="11"/>
                <w:color w:val="auto"/>
              </w:rPr>
            </w:pPr>
          </w:p>
        </w:tc>
        <w:tc>
          <w:tcPr>
            <w:tcW w:w="880" w:type="dxa"/>
            <w:vAlign w:val="bottom"/>
          </w:tcPr>
          <w:p>
            <w:pPr>
              <w:jc w:val="right"/>
              <w:ind w:right="28"/>
              <w:spacing w:after="0"/>
              <w:rPr>
                <w:sz w:val="20"/>
                <w:szCs w:val="20"/>
                <w:color w:val="auto"/>
              </w:rPr>
            </w:pPr>
            <w:r>
              <w:rPr>
                <w:rFonts w:ascii="Arial" w:cs="Arial" w:eastAsia="Arial" w:hAnsi="Arial"/>
                <w:sz w:val="10"/>
                <w:szCs w:val="10"/>
                <w:b w:val="1"/>
                <w:bCs w:val="1"/>
                <w:color w:val="auto"/>
              </w:rPr>
              <w:t>Ratio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560" w:type="dxa"/>
            <w:vAlign w:val="bottom"/>
          </w:tcPr>
          <w:p>
            <w:pPr>
              <w:jc w:val="right"/>
              <w:ind w:right="8"/>
              <w:spacing w:after="0"/>
              <w:rPr>
                <w:sz w:val="20"/>
                <w:szCs w:val="20"/>
                <w:color w:val="auto"/>
              </w:rPr>
            </w:pPr>
            <w:r>
              <w:rPr>
                <w:rFonts w:ascii="Arial" w:cs="Arial" w:eastAsia="Arial" w:hAnsi="Arial"/>
                <w:sz w:val="10"/>
                <w:szCs w:val="10"/>
                <w:b w:val="1"/>
                <w:bCs w:val="1"/>
                <w:color w:val="auto"/>
              </w:rPr>
              <w:t>Ratio</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jc w:val="center"/>
              <w:ind w:right="620"/>
              <w:spacing w:after="0"/>
              <w:rPr>
                <w:sz w:val="20"/>
                <w:szCs w:val="20"/>
                <w:color w:val="auto"/>
              </w:rPr>
            </w:pPr>
            <w:r>
              <w:rPr>
                <w:rFonts w:ascii="Arial" w:cs="Arial" w:eastAsia="Arial" w:hAnsi="Arial"/>
                <w:sz w:val="10"/>
                <w:szCs w:val="10"/>
                <w:b w:val="1"/>
                <w:bCs w:val="1"/>
                <w:color w:val="auto"/>
              </w:rPr>
              <w:t>Amount</w:t>
            </w:r>
          </w:p>
        </w:tc>
        <w:tc>
          <w:tcPr>
            <w:tcW w:w="500" w:type="dxa"/>
            <w:vAlign w:val="bottom"/>
          </w:tcPr>
          <w:p>
            <w:pPr>
              <w:jc w:val="right"/>
              <w:ind w:right="28"/>
              <w:spacing w:after="0"/>
              <w:rPr>
                <w:sz w:val="20"/>
                <w:szCs w:val="20"/>
                <w:color w:val="auto"/>
              </w:rPr>
            </w:pPr>
            <w:r>
              <w:rPr>
                <w:rFonts w:ascii="Arial" w:cs="Arial" w:eastAsia="Arial" w:hAnsi="Arial"/>
                <w:sz w:val="10"/>
                <w:szCs w:val="10"/>
                <w:b w:val="1"/>
                <w:bCs w:val="1"/>
                <w:color w:val="auto"/>
              </w:rPr>
              <w:t>Ratio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40"/>
              <w:spacing w:after="0"/>
              <w:rPr>
                <w:sz w:val="20"/>
                <w:szCs w:val="20"/>
                <w:color w:val="auto"/>
              </w:rPr>
            </w:pPr>
            <w:r>
              <w:rPr>
                <w:rFonts w:ascii="Arial" w:cs="Arial" w:eastAsia="Arial" w:hAnsi="Arial"/>
                <w:sz w:val="10"/>
                <w:szCs w:val="10"/>
                <w:b w:val="1"/>
                <w:bCs w:val="1"/>
                <w:color w:val="auto"/>
              </w:rPr>
              <w:t>Amount</w:t>
            </w:r>
          </w:p>
        </w:tc>
        <w:tc>
          <w:tcPr>
            <w:tcW w:w="880" w:type="dxa"/>
            <w:vAlign w:val="bottom"/>
          </w:tcPr>
          <w:p>
            <w:pPr>
              <w:jc w:val="right"/>
              <w:ind w:right="28"/>
              <w:spacing w:after="0"/>
              <w:rPr>
                <w:sz w:val="20"/>
                <w:szCs w:val="20"/>
                <w:color w:val="auto"/>
              </w:rPr>
            </w:pPr>
            <w:r>
              <w:rPr>
                <w:rFonts w:ascii="Arial" w:cs="Arial" w:eastAsia="Arial" w:hAnsi="Arial"/>
                <w:sz w:val="10"/>
                <w:szCs w:val="10"/>
                <w:b w:val="1"/>
                <w:bCs w:val="1"/>
                <w:color w:val="auto"/>
              </w:rPr>
              <w:t>Ratio</w:t>
            </w:r>
          </w:p>
        </w:tc>
        <w:tc>
          <w:tcPr>
            <w:tcW w:w="0" w:type="dxa"/>
            <w:vAlign w:val="bottom"/>
          </w:tcPr>
          <w:p>
            <w:pPr>
              <w:spacing w:after="0"/>
              <w:rPr>
                <w:sz w:val="1"/>
                <w:szCs w:val="1"/>
                <w:color w:val="auto"/>
              </w:rPr>
            </w:pPr>
          </w:p>
        </w:tc>
      </w:tr>
      <w:tr>
        <w:trPr>
          <w:trHeight w:val="125"/>
        </w:trPr>
        <w:tc>
          <w:tcPr>
            <w:tcW w:w="2260" w:type="dxa"/>
            <w:vAlign w:val="bottom"/>
            <w:tcBorders>
              <w:top w:val="single" w:sz="8" w:color="CCEEFF"/>
              <w:bottom w:val="single" w:sz="8" w:color="auto"/>
            </w:tcBorders>
            <w:shd w:val="clear" w:color="auto" w:fill="CCEEFF"/>
          </w:tcPr>
          <w:p>
            <w:pPr>
              <w:ind w:left="280"/>
              <w:spacing w:after="0"/>
              <w:rPr>
                <w:sz w:val="20"/>
                <w:szCs w:val="20"/>
                <w:color w:val="auto"/>
              </w:rPr>
            </w:pPr>
            <w:r>
              <w:rPr>
                <w:rFonts w:ascii="Arial" w:cs="Arial" w:eastAsia="Arial" w:hAnsi="Arial"/>
                <w:sz w:val="10"/>
                <w:szCs w:val="10"/>
                <w:b w:val="1"/>
                <w:bCs w:val="1"/>
                <w:color w:val="auto"/>
              </w:rPr>
              <w:t>December 31, 2021</w:t>
            </w: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60" w:type="dxa"/>
            <w:vAlign w:val="bottom"/>
          </w:tcPr>
          <w:p>
            <w:pPr>
              <w:ind w:left="280"/>
              <w:spacing w:after="0"/>
              <w:rPr>
                <w:sz w:val="20"/>
                <w:szCs w:val="20"/>
                <w:color w:val="auto"/>
              </w:rPr>
            </w:pPr>
            <w:r>
              <w:rPr>
                <w:rFonts w:ascii="Arial" w:cs="Arial" w:eastAsia="Arial" w:hAnsi="Arial"/>
                <w:sz w:val="10"/>
                <w:szCs w:val="10"/>
                <w:b w:val="1"/>
                <w:bCs w:val="1"/>
                <w:color w:val="auto"/>
              </w:rPr>
              <w:t>The Company</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26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Tier 1 leverage ratio (to average assets)</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b w:val="1"/>
                <w:bCs w:val="1"/>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201,040</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9.73</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82,683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center"/>
              <w:ind w:right="600"/>
              <w:spacing w:after="0"/>
              <w:rPr>
                <w:sz w:val="20"/>
                <w:szCs w:val="20"/>
                <w:color w:val="auto"/>
              </w:rPr>
            </w:pPr>
            <w:r>
              <w:rPr>
                <w:rFonts w:ascii="Arial" w:cs="Arial" w:eastAsia="Arial" w:hAnsi="Arial"/>
                <w:sz w:val="10"/>
                <w:szCs w:val="10"/>
                <w:b w:val="1"/>
                <w:bCs w:val="1"/>
                <w:color w:val="auto"/>
              </w:rPr>
              <w:t>N/A</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0"/>
                <w:szCs w:val="10"/>
                <w:b w:val="1"/>
                <w:bCs w:val="1"/>
                <w:color w:val="auto"/>
              </w:rPr>
              <w:t>N/A</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0"/>
                <w:szCs w:val="10"/>
                <w:b w:val="1"/>
                <w:bCs w:val="1"/>
                <w:color w:val="auto"/>
              </w:rPr>
              <w:t>N/A</w:t>
            </w: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60" w:type="dxa"/>
            <w:vAlign w:val="bottom"/>
          </w:tcPr>
          <w:p>
            <w:pPr>
              <w:ind w:left="380"/>
              <w:spacing w:after="0"/>
              <w:rPr>
                <w:sz w:val="20"/>
                <w:szCs w:val="20"/>
                <w:color w:val="auto"/>
              </w:rPr>
            </w:pPr>
            <w:r>
              <w:rPr>
                <w:rFonts w:ascii="Arial" w:cs="Arial" w:eastAsia="Arial" w:hAnsi="Arial"/>
                <w:sz w:val="10"/>
                <w:szCs w:val="10"/>
                <w:color w:val="auto"/>
              </w:rPr>
              <w:t>Tier 1 capital (to risk-weighted assets)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Arial" w:cs="Arial" w:eastAsia="Arial" w:hAnsi="Arial"/>
                <w:sz w:val="10"/>
                <w:szCs w:val="10"/>
                <w:b w:val="1"/>
                <w:bCs w:val="1"/>
                <w:color w:val="auto"/>
              </w:rPr>
              <w:t>201,040</w:t>
            </w:r>
          </w:p>
        </w:tc>
        <w:tc>
          <w:tcPr>
            <w:tcW w:w="96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14.43</w:t>
            </w: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83,596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168"/>
              <w:spacing w:after="0"/>
              <w:rPr>
                <w:sz w:val="20"/>
                <w:szCs w:val="20"/>
                <w:color w:val="auto"/>
              </w:rPr>
            </w:pPr>
            <w:r>
              <w:rPr>
                <w:rFonts w:ascii="Arial" w:cs="Arial" w:eastAsia="Arial" w:hAnsi="Arial"/>
                <w:sz w:val="10"/>
                <w:szCs w:val="10"/>
                <w:b w:val="1"/>
                <w:bCs w:val="1"/>
                <w:color w:val="auto"/>
              </w:rPr>
              <w:t>6.00</w:t>
            </w: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3"/>
          </w:tcPr>
          <w:p>
            <w:pPr>
              <w:jc w:val="center"/>
              <w:ind w:right="600"/>
              <w:spacing w:after="0"/>
              <w:rPr>
                <w:sz w:val="20"/>
                <w:szCs w:val="20"/>
                <w:color w:val="auto"/>
              </w:rPr>
            </w:pPr>
            <w:r>
              <w:rPr>
                <w:rFonts w:ascii="Arial" w:cs="Arial" w:eastAsia="Arial" w:hAnsi="Arial"/>
                <w:sz w:val="10"/>
                <w:szCs w:val="10"/>
                <w:b w:val="1"/>
                <w:bCs w:val="1"/>
                <w:color w:val="auto"/>
              </w:rPr>
              <w:t>N/A</w:t>
            </w:r>
          </w:p>
        </w:tc>
        <w:tc>
          <w:tcPr>
            <w:tcW w:w="500" w:type="dxa"/>
            <w:vAlign w:val="bottom"/>
          </w:tcPr>
          <w:p>
            <w:pPr>
              <w:jc w:val="right"/>
              <w:ind w:right="68"/>
              <w:spacing w:after="0"/>
              <w:rPr>
                <w:sz w:val="20"/>
                <w:szCs w:val="20"/>
                <w:color w:val="auto"/>
              </w:rPr>
            </w:pPr>
            <w:r>
              <w:rPr>
                <w:rFonts w:ascii="Arial" w:cs="Arial" w:eastAsia="Arial" w:hAnsi="Arial"/>
                <w:sz w:val="10"/>
                <w:szCs w:val="10"/>
                <w:b w:val="1"/>
                <w:bCs w:val="1"/>
                <w:color w:val="auto"/>
              </w:rPr>
              <w:t>N/A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118,428</w:t>
            </w:r>
          </w:p>
        </w:tc>
        <w:tc>
          <w:tcPr>
            <w:tcW w:w="100" w:type="dxa"/>
            <w:vAlign w:val="bottom"/>
          </w:tcPr>
          <w:p>
            <w:pPr>
              <w:spacing w:after="0"/>
              <w:rPr>
                <w:sz w:val="12"/>
                <w:szCs w:val="12"/>
                <w:color w:val="auto"/>
              </w:rPr>
            </w:pPr>
          </w:p>
        </w:tc>
        <w:tc>
          <w:tcPr>
            <w:tcW w:w="880" w:type="dxa"/>
            <w:vAlign w:val="bottom"/>
          </w:tcPr>
          <w:p>
            <w:pPr>
              <w:jc w:val="right"/>
              <w:ind w:right="168"/>
              <w:spacing w:after="0"/>
              <w:rPr>
                <w:sz w:val="20"/>
                <w:szCs w:val="20"/>
                <w:color w:val="auto"/>
              </w:rPr>
            </w:pPr>
            <w:r>
              <w:rPr>
                <w:rFonts w:ascii="Arial" w:cs="Arial" w:eastAsia="Arial" w:hAnsi="Arial"/>
                <w:sz w:val="10"/>
                <w:szCs w:val="10"/>
                <w:b w:val="1"/>
                <w:bCs w:val="1"/>
                <w:color w:val="auto"/>
              </w:rPr>
              <w:t>8.50</w:t>
            </w:r>
          </w:p>
        </w:tc>
        <w:tc>
          <w:tcPr>
            <w:tcW w:w="0" w:type="dxa"/>
            <w:vAlign w:val="bottom"/>
          </w:tcPr>
          <w:p>
            <w:pPr>
              <w:spacing w:after="0"/>
              <w:rPr>
                <w:sz w:val="1"/>
                <w:szCs w:val="1"/>
                <w:color w:val="auto"/>
              </w:rPr>
            </w:pPr>
          </w:p>
        </w:tc>
      </w:tr>
      <w:tr>
        <w:trPr>
          <w:trHeight w:val="111"/>
        </w:trPr>
        <w:tc>
          <w:tcPr>
            <w:tcW w:w="2260" w:type="dxa"/>
            <w:vAlign w:val="bottom"/>
            <w:shd w:val="clear" w:color="auto" w:fill="CCEEFF"/>
          </w:tcPr>
          <w:p>
            <w:pPr>
              <w:ind w:left="120"/>
              <w:spacing w:after="0" w:line="112" w:lineRule="exact"/>
              <w:rPr>
                <w:sz w:val="20"/>
                <w:szCs w:val="20"/>
                <w:color w:val="auto"/>
              </w:rPr>
            </w:pPr>
            <w:r>
              <w:rPr>
                <w:rFonts w:ascii="Arial" w:cs="Arial" w:eastAsia="Arial" w:hAnsi="Arial"/>
                <w:sz w:val="10"/>
                <w:szCs w:val="10"/>
                <w:color w:val="auto"/>
              </w:rPr>
              <w:t>Common equity tier 1 capital ratio (to risk-</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198,978</w:t>
            </w:r>
          </w:p>
        </w:tc>
        <w:tc>
          <w:tcPr>
            <w:tcW w:w="960" w:type="dxa"/>
            <w:vAlign w:val="bottom"/>
            <w:gridSpan w:val="2"/>
            <w:vMerge w:val="restart"/>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14.28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62,697</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4.50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gridSpan w:val="3"/>
            <w:vMerge w:val="restart"/>
            <w:shd w:val="clear" w:color="auto" w:fill="CCEEFF"/>
          </w:tcPr>
          <w:p>
            <w:pPr>
              <w:jc w:val="center"/>
              <w:ind w:right="600"/>
              <w:spacing w:after="0"/>
              <w:rPr>
                <w:sz w:val="20"/>
                <w:szCs w:val="20"/>
                <w:color w:val="auto"/>
              </w:rPr>
            </w:pPr>
            <w:r>
              <w:rPr>
                <w:rFonts w:ascii="Arial" w:cs="Arial" w:eastAsia="Arial" w:hAnsi="Arial"/>
                <w:sz w:val="10"/>
                <w:szCs w:val="10"/>
                <w:b w:val="1"/>
                <w:bCs w:val="1"/>
                <w:color w:val="auto"/>
              </w:rPr>
              <w:t>N/A</w:t>
            </w:r>
          </w:p>
        </w:tc>
        <w:tc>
          <w:tcPr>
            <w:tcW w:w="500" w:type="dxa"/>
            <w:vAlign w:val="bottom"/>
            <w:vMerge w:val="restart"/>
            <w:shd w:val="clear" w:color="auto" w:fill="CCEEFF"/>
          </w:tcPr>
          <w:p>
            <w:pPr>
              <w:jc w:val="right"/>
              <w:ind w:right="68"/>
              <w:spacing w:after="0"/>
              <w:rPr>
                <w:sz w:val="20"/>
                <w:szCs w:val="20"/>
                <w:color w:val="auto"/>
              </w:rPr>
            </w:pPr>
            <w:r>
              <w:rPr>
                <w:rFonts w:ascii="Arial" w:cs="Arial" w:eastAsia="Arial" w:hAnsi="Arial"/>
                <w:sz w:val="10"/>
                <w:szCs w:val="10"/>
                <w:b w:val="1"/>
                <w:bCs w:val="1"/>
                <w:color w:val="auto"/>
              </w:rPr>
              <w:t>N/A</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97,529</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7.00</w:t>
            </w: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weighted 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gridSpan w:val="3"/>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260" w:type="dxa"/>
            <w:vAlign w:val="bottom"/>
          </w:tcPr>
          <w:p>
            <w:pPr>
              <w:ind w:left="380"/>
              <w:spacing w:after="0" w:line="107" w:lineRule="exact"/>
              <w:rPr>
                <w:sz w:val="20"/>
                <w:szCs w:val="20"/>
                <w:color w:val="auto"/>
              </w:rPr>
            </w:pPr>
            <w:r>
              <w:rPr>
                <w:rFonts w:ascii="Arial" w:cs="Arial" w:eastAsia="Arial" w:hAnsi="Arial"/>
                <w:sz w:val="10"/>
                <w:szCs w:val="10"/>
                <w:color w:val="auto"/>
              </w:rPr>
              <w:t>Total capital ratio (to risk-weighted</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228,574</w:t>
            </w:r>
          </w:p>
        </w:tc>
        <w:tc>
          <w:tcPr>
            <w:tcW w:w="960" w:type="dxa"/>
            <w:vAlign w:val="bottom"/>
            <w:gridSpan w:val="2"/>
            <w:vMerge w:val="restart"/>
          </w:tcPr>
          <w:p>
            <w:pPr>
              <w:jc w:val="right"/>
              <w:ind w:right="168"/>
              <w:spacing w:after="0"/>
              <w:rPr>
                <w:sz w:val="20"/>
                <w:szCs w:val="20"/>
                <w:color w:val="auto"/>
              </w:rPr>
            </w:pPr>
            <w:r>
              <w:rPr>
                <w:rFonts w:ascii="Arial" w:cs="Arial" w:eastAsia="Arial" w:hAnsi="Arial"/>
                <w:sz w:val="10"/>
                <w:szCs w:val="10"/>
                <w:b w:val="1"/>
                <w:bCs w:val="1"/>
                <w:color w:val="auto"/>
              </w:rPr>
              <w:t>16.41</w:t>
            </w:r>
          </w:p>
        </w:tc>
        <w:tc>
          <w:tcPr>
            <w:tcW w:w="1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111,462</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8.00</w:t>
            </w:r>
          </w:p>
        </w:tc>
        <w:tc>
          <w:tcPr>
            <w:tcW w:w="1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3"/>
            <w:vMerge w:val="restart"/>
          </w:tcPr>
          <w:p>
            <w:pPr>
              <w:jc w:val="center"/>
              <w:ind w:right="600"/>
              <w:spacing w:after="0"/>
              <w:rPr>
                <w:sz w:val="20"/>
                <w:szCs w:val="20"/>
                <w:color w:val="auto"/>
              </w:rPr>
            </w:pPr>
            <w:r>
              <w:rPr>
                <w:rFonts w:ascii="Arial" w:cs="Arial" w:eastAsia="Arial" w:hAnsi="Arial"/>
                <w:sz w:val="10"/>
                <w:szCs w:val="10"/>
                <w:b w:val="1"/>
                <w:bCs w:val="1"/>
                <w:color w:val="auto"/>
              </w:rPr>
              <w:t>N/A</w:t>
            </w:r>
          </w:p>
        </w:tc>
        <w:tc>
          <w:tcPr>
            <w:tcW w:w="500" w:type="dxa"/>
            <w:vAlign w:val="bottom"/>
            <w:vMerge w:val="restart"/>
          </w:tcPr>
          <w:p>
            <w:pPr>
              <w:jc w:val="right"/>
              <w:ind w:right="68"/>
              <w:spacing w:after="0"/>
              <w:rPr>
                <w:sz w:val="20"/>
                <w:szCs w:val="20"/>
                <w:color w:val="auto"/>
              </w:rPr>
            </w:pPr>
            <w:r>
              <w:rPr>
                <w:rFonts w:ascii="Arial" w:cs="Arial" w:eastAsia="Arial" w:hAnsi="Arial"/>
                <w:sz w:val="10"/>
                <w:szCs w:val="10"/>
                <w:b w:val="1"/>
                <w:bCs w:val="1"/>
                <w:color w:val="auto"/>
              </w:rPr>
              <w:t>N/A</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146,294</w:t>
            </w:r>
          </w:p>
        </w:tc>
        <w:tc>
          <w:tcPr>
            <w:tcW w:w="100" w:type="dxa"/>
            <w:vAlign w:val="bottom"/>
          </w:tcPr>
          <w:p>
            <w:pPr>
              <w:spacing w:after="0"/>
              <w:rPr>
                <w:sz w:val="9"/>
                <w:szCs w:val="9"/>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10.50</w:t>
            </w:r>
          </w:p>
        </w:tc>
        <w:tc>
          <w:tcPr>
            <w:tcW w:w="0" w:type="dxa"/>
            <w:vAlign w:val="bottom"/>
          </w:tcPr>
          <w:p>
            <w:pPr>
              <w:spacing w:after="0"/>
              <w:rPr>
                <w:sz w:val="1"/>
                <w:szCs w:val="1"/>
                <w:color w:val="auto"/>
              </w:rPr>
            </w:pPr>
          </w:p>
        </w:tc>
      </w:tr>
      <w:tr>
        <w:trPr>
          <w:trHeight w:val="132"/>
        </w:trPr>
        <w:tc>
          <w:tcPr>
            <w:tcW w:w="2260" w:type="dxa"/>
            <w:vAlign w:val="bottom"/>
          </w:tcPr>
          <w:p>
            <w:pPr>
              <w:ind w:left="120"/>
              <w:spacing w:after="0"/>
              <w:rPr>
                <w:sz w:val="20"/>
                <w:szCs w:val="20"/>
                <w:color w:val="auto"/>
              </w:rPr>
            </w:pPr>
            <w:r>
              <w:rPr>
                <w:rFonts w:ascii="Arial" w:cs="Arial" w:eastAsia="Arial" w:hAnsi="Arial"/>
                <w:sz w:val="10"/>
                <w:szCs w:val="10"/>
                <w:color w:val="auto"/>
              </w:rPr>
              <w:t>assets)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260" w:type="dxa"/>
            <w:vAlign w:val="bottom"/>
          </w:tcPr>
          <w:p>
            <w:pPr>
              <w:ind w:left="280"/>
              <w:spacing w:after="0"/>
              <w:rPr>
                <w:sz w:val="20"/>
                <w:szCs w:val="20"/>
                <w:color w:val="auto"/>
              </w:rPr>
            </w:pPr>
            <w:r>
              <w:rPr>
                <w:rFonts w:ascii="Arial" w:cs="Arial" w:eastAsia="Arial" w:hAnsi="Arial"/>
                <w:sz w:val="10"/>
                <w:szCs w:val="10"/>
                <w:b w:val="1"/>
                <w:bCs w:val="1"/>
                <w:color w:val="auto"/>
              </w:rPr>
              <w:t>The Bank</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26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Tier 1 leverage ratio (to average assets)</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b w:val="1"/>
                <w:bCs w:val="1"/>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169,384</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8.36</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81,070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101,338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0"/>
                <w:szCs w:val="10"/>
                <w:b w:val="1"/>
                <w:bCs w:val="1"/>
                <w:color w:val="auto"/>
              </w:rPr>
              <w:t>N/A</w:t>
            </w: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60" w:type="dxa"/>
            <w:vAlign w:val="bottom"/>
          </w:tcPr>
          <w:p>
            <w:pPr>
              <w:ind w:left="380"/>
              <w:spacing w:after="0"/>
              <w:rPr>
                <w:sz w:val="20"/>
                <w:szCs w:val="20"/>
                <w:color w:val="auto"/>
              </w:rPr>
            </w:pPr>
            <w:r>
              <w:rPr>
                <w:rFonts w:ascii="Arial" w:cs="Arial" w:eastAsia="Arial" w:hAnsi="Arial"/>
                <w:sz w:val="10"/>
                <w:szCs w:val="10"/>
                <w:color w:val="auto"/>
              </w:rPr>
              <w:t>Tier 1 capital (to risk-weighted assets)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Arial" w:cs="Arial" w:eastAsia="Arial" w:hAnsi="Arial"/>
                <w:sz w:val="10"/>
                <w:szCs w:val="10"/>
                <w:b w:val="1"/>
                <w:bCs w:val="1"/>
                <w:color w:val="auto"/>
              </w:rPr>
              <w:t>169,384</w:t>
            </w:r>
          </w:p>
        </w:tc>
        <w:tc>
          <w:tcPr>
            <w:tcW w:w="96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12.53</w:t>
            </w: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81,097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168"/>
              <w:spacing w:after="0"/>
              <w:rPr>
                <w:sz w:val="20"/>
                <w:szCs w:val="20"/>
                <w:color w:val="auto"/>
              </w:rPr>
            </w:pPr>
            <w:r>
              <w:rPr>
                <w:rFonts w:ascii="Arial" w:cs="Arial" w:eastAsia="Arial" w:hAnsi="Arial"/>
                <w:sz w:val="10"/>
                <w:szCs w:val="10"/>
                <w:b w:val="1"/>
                <w:bCs w:val="1"/>
                <w:color w:val="auto"/>
              </w:rPr>
              <w:t>6.00</w:t>
            </w: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Arial" w:cs="Arial" w:eastAsia="Arial" w:hAnsi="Arial"/>
                <w:sz w:val="10"/>
                <w:szCs w:val="10"/>
                <w:b w:val="1"/>
                <w:bCs w:val="1"/>
                <w:color w:val="auto"/>
              </w:rPr>
              <w:t>108,130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ind w:right="168"/>
              <w:spacing w:after="0"/>
              <w:rPr>
                <w:sz w:val="20"/>
                <w:szCs w:val="20"/>
                <w:color w:val="auto"/>
              </w:rPr>
            </w:pPr>
            <w:r>
              <w:rPr>
                <w:rFonts w:ascii="Arial" w:cs="Arial" w:eastAsia="Arial" w:hAnsi="Arial"/>
                <w:sz w:val="10"/>
                <w:szCs w:val="10"/>
                <w:b w:val="1"/>
                <w:bCs w:val="1"/>
                <w:color w:val="auto"/>
              </w:rPr>
              <w:t>8.00</w:t>
            </w: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114,888</w:t>
            </w:r>
          </w:p>
        </w:tc>
        <w:tc>
          <w:tcPr>
            <w:tcW w:w="100" w:type="dxa"/>
            <w:vAlign w:val="bottom"/>
          </w:tcPr>
          <w:p>
            <w:pPr>
              <w:spacing w:after="0"/>
              <w:rPr>
                <w:sz w:val="12"/>
                <w:szCs w:val="12"/>
                <w:color w:val="auto"/>
              </w:rPr>
            </w:pPr>
          </w:p>
        </w:tc>
        <w:tc>
          <w:tcPr>
            <w:tcW w:w="880" w:type="dxa"/>
            <w:vAlign w:val="bottom"/>
          </w:tcPr>
          <w:p>
            <w:pPr>
              <w:jc w:val="right"/>
              <w:ind w:right="168"/>
              <w:spacing w:after="0"/>
              <w:rPr>
                <w:sz w:val="20"/>
                <w:szCs w:val="20"/>
                <w:color w:val="auto"/>
              </w:rPr>
            </w:pPr>
            <w:r>
              <w:rPr>
                <w:rFonts w:ascii="Arial" w:cs="Arial" w:eastAsia="Arial" w:hAnsi="Arial"/>
                <w:sz w:val="10"/>
                <w:szCs w:val="10"/>
                <w:b w:val="1"/>
                <w:bCs w:val="1"/>
                <w:color w:val="auto"/>
              </w:rPr>
              <w:t>8.50</w:t>
            </w:r>
          </w:p>
        </w:tc>
        <w:tc>
          <w:tcPr>
            <w:tcW w:w="0" w:type="dxa"/>
            <w:vAlign w:val="bottom"/>
          </w:tcPr>
          <w:p>
            <w:pPr>
              <w:spacing w:after="0"/>
              <w:rPr>
                <w:sz w:val="1"/>
                <w:szCs w:val="1"/>
                <w:color w:val="auto"/>
              </w:rPr>
            </w:pPr>
          </w:p>
        </w:tc>
      </w:tr>
      <w:tr>
        <w:trPr>
          <w:trHeight w:val="111"/>
        </w:trPr>
        <w:tc>
          <w:tcPr>
            <w:tcW w:w="2260" w:type="dxa"/>
            <w:vAlign w:val="bottom"/>
            <w:shd w:val="clear" w:color="auto" w:fill="CCEEFF"/>
          </w:tcPr>
          <w:p>
            <w:pPr>
              <w:ind w:left="120"/>
              <w:spacing w:after="0" w:line="112" w:lineRule="exact"/>
              <w:rPr>
                <w:sz w:val="20"/>
                <w:szCs w:val="20"/>
                <w:color w:val="auto"/>
              </w:rPr>
            </w:pPr>
            <w:r>
              <w:rPr>
                <w:rFonts w:ascii="Arial" w:cs="Arial" w:eastAsia="Arial" w:hAnsi="Arial"/>
                <w:sz w:val="10"/>
                <w:szCs w:val="10"/>
                <w:color w:val="auto"/>
              </w:rPr>
              <w:t>Common equity tier 1 capital ratio (to risk-</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169,384</w:t>
            </w:r>
          </w:p>
        </w:tc>
        <w:tc>
          <w:tcPr>
            <w:tcW w:w="960" w:type="dxa"/>
            <w:vAlign w:val="bottom"/>
            <w:gridSpan w:val="2"/>
            <w:vMerge w:val="restart"/>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12.53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60,823</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4.50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87,856</w:t>
            </w: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6.50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94,614</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168"/>
              <w:spacing w:after="0"/>
              <w:rPr>
                <w:sz w:val="20"/>
                <w:szCs w:val="20"/>
                <w:color w:val="auto"/>
              </w:rPr>
            </w:pPr>
            <w:r>
              <w:rPr>
                <w:rFonts w:ascii="Arial" w:cs="Arial" w:eastAsia="Arial" w:hAnsi="Arial"/>
                <w:sz w:val="10"/>
                <w:szCs w:val="10"/>
                <w:b w:val="1"/>
                <w:bCs w:val="1"/>
                <w:color w:val="auto"/>
              </w:rPr>
              <w:t>7.00</w:t>
            </w: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weighted 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260" w:type="dxa"/>
            <w:vAlign w:val="bottom"/>
          </w:tcPr>
          <w:p>
            <w:pPr>
              <w:ind w:left="380"/>
              <w:spacing w:after="0" w:line="107" w:lineRule="exact"/>
              <w:rPr>
                <w:sz w:val="20"/>
                <w:szCs w:val="20"/>
                <w:color w:val="auto"/>
              </w:rPr>
            </w:pPr>
            <w:r>
              <w:rPr>
                <w:rFonts w:ascii="Arial" w:cs="Arial" w:eastAsia="Arial" w:hAnsi="Arial"/>
                <w:sz w:val="10"/>
                <w:szCs w:val="10"/>
                <w:color w:val="auto"/>
              </w:rPr>
              <w:t>Total capital ratio (to risk-weighted</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186,397</w:t>
            </w:r>
          </w:p>
        </w:tc>
        <w:tc>
          <w:tcPr>
            <w:tcW w:w="960" w:type="dxa"/>
            <w:vAlign w:val="bottom"/>
            <w:gridSpan w:val="2"/>
            <w:vMerge w:val="restart"/>
          </w:tcPr>
          <w:p>
            <w:pPr>
              <w:jc w:val="right"/>
              <w:ind w:right="168"/>
              <w:spacing w:after="0"/>
              <w:rPr>
                <w:sz w:val="20"/>
                <w:szCs w:val="20"/>
                <w:color w:val="auto"/>
              </w:rPr>
            </w:pPr>
            <w:r>
              <w:rPr>
                <w:rFonts w:ascii="Arial" w:cs="Arial" w:eastAsia="Arial" w:hAnsi="Arial"/>
                <w:sz w:val="10"/>
                <w:szCs w:val="10"/>
                <w:b w:val="1"/>
                <w:bCs w:val="1"/>
                <w:color w:val="auto"/>
              </w:rPr>
              <w:t>13.79</w:t>
            </w:r>
          </w:p>
        </w:tc>
        <w:tc>
          <w:tcPr>
            <w:tcW w:w="1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108,130</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8.00</w:t>
            </w:r>
          </w:p>
        </w:tc>
        <w:tc>
          <w:tcPr>
            <w:tcW w:w="1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135,162</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10.00</w:t>
            </w:r>
          </w:p>
        </w:tc>
        <w:tc>
          <w:tcPr>
            <w:tcW w:w="1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141,921</w:t>
            </w:r>
          </w:p>
        </w:tc>
        <w:tc>
          <w:tcPr>
            <w:tcW w:w="100" w:type="dxa"/>
            <w:vAlign w:val="bottom"/>
          </w:tcPr>
          <w:p>
            <w:pPr>
              <w:spacing w:after="0"/>
              <w:rPr>
                <w:sz w:val="9"/>
                <w:szCs w:val="9"/>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10.50</w:t>
            </w:r>
          </w:p>
        </w:tc>
        <w:tc>
          <w:tcPr>
            <w:tcW w:w="0" w:type="dxa"/>
            <w:vAlign w:val="bottom"/>
          </w:tcPr>
          <w:p>
            <w:pPr>
              <w:spacing w:after="0"/>
              <w:rPr>
                <w:sz w:val="1"/>
                <w:szCs w:val="1"/>
                <w:color w:val="auto"/>
              </w:rPr>
            </w:pPr>
          </w:p>
        </w:tc>
      </w:tr>
      <w:tr>
        <w:trPr>
          <w:trHeight w:val="132"/>
        </w:trPr>
        <w:tc>
          <w:tcPr>
            <w:tcW w:w="2260" w:type="dxa"/>
            <w:vAlign w:val="bottom"/>
          </w:tcPr>
          <w:p>
            <w:pPr>
              <w:ind w:left="120"/>
              <w:spacing w:after="0"/>
              <w:rPr>
                <w:sz w:val="20"/>
                <w:szCs w:val="20"/>
                <w:color w:val="auto"/>
              </w:rPr>
            </w:pPr>
            <w:r>
              <w:rPr>
                <w:rFonts w:ascii="Arial" w:cs="Arial" w:eastAsia="Arial" w:hAnsi="Arial"/>
                <w:sz w:val="10"/>
                <w:szCs w:val="10"/>
                <w:color w:val="auto"/>
              </w:rPr>
              <w:t>assets)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26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December 31, 2020</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2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The Company</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60" w:type="dxa"/>
            <w:vAlign w:val="bottom"/>
          </w:tcPr>
          <w:p>
            <w:pPr>
              <w:ind w:left="380"/>
              <w:spacing w:after="0"/>
              <w:rPr>
                <w:sz w:val="20"/>
                <w:szCs w:val="20"/>
                <w:color w:val="auto"/>
              </w:rPr>
            </w:pPr>
            <w:r>
              <w:rPr>
                <w:rFonts w:ascii="Arial" w:cs="Arial" w:eastAsia="Arial" w:hAnsi="Arial"/>
                <w:sz w:val="10"/>
                <w:szCs w:val="10"/>
                <w:color w:val="auto"/>
              </w:rPr>
              <w:t>Tier 1 leverage ratio (to average assets)</w:t>
            </w:r>
          </w:p>
        </w:tc>
        <w:tc>
          <w:tcPr>
            <w:tcW w:w="5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159,656</w:t>
            </w:r>
          </w:p>
        </w:tc>
        <w:tc>
          <w:tcPr>
            <w:tcW w:w="960" w:type="dxa"/>
            <w:vAlign w:val="bottom"/>
            <w:gridSpan w:val="2"/>
          </w:tcPr>
          <w:p>
            <w:pPr>
              <w:jc w:val="right"/>
              <w:ind w:right="168"/>
              <w:spacing w:after="0"/>
              <w:rPr>
                <w:sz w:val="20"/>
                <w:szCs w:val="20"/>
                <w:color w:val="auto"/>
              </w:rPr>
            </w:pPr>
            <w:r>
              <w:rPr>
                <w:rFonts w:ascii="Arial" w:cs="Arial" w:eastAsia="Arial" w:hAnsi="Arial"/>
                <w:sz w:val="10"/>
                <w:szCs w:val="10"/>
                <w:color w:val="auto"/>
              </w:rPr>
              <w:t>8.78</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72,770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168"/>
              <w:spacing w:after="0"/>
              <w:rPr>
                <w:sz w:val="20"/>
                <w:szCs w:val="20"/>
                <w:color w:val="auto"/>
              </w:rPr>
            </w:pPr>
            <w:r>
              <w:rPr>
                <w:rFonts w:ascii="Arial" w:cs="Arial" w:eastAsia="Arial" w:hAnsi="Arial"/>
                <w:sz w:val="10"/>
                <w:szCs w:val="10"/>
                <w:color w:val="auto"/>
              </w:rPr>
              <w:t>4.00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3"/>
          </w:tcPr>
          <w:p>
            <w:pPr>
              <w:jc w:val="center"/>
              <w:ind w:right="600"/>
              <w:spacing w:after="0"/>
              <w:rPr>
                <w:sz w:val="20"/>
                <w:szCs w:val="20"/>
                <w:color w:val="auto"/>
              </w:rPr>
            </w:pPr>
            <w:r>
              <w:rPr>
                <w:rFonts w:ascii="Arial" w:cs="Arial" w:eastAsia="Arial" w:hAnsi="Arial"/>
                <w:sz w:val="10"/>
                <w:szCs w:val="10"/>
                <w:color w:val="auto"/>
              </w:rPr>
              <w:t>N/A</w:t>
            </w:r>
          </w:p>
        </w:tc>
        <w:tc>
          <w:tcPr>
            <w:tcW w:w="500" w:type="dxa"/>
            <w:vAlign w:val="bottom"/>
          </w:tcPr>
          <w:p>
            <w:pPr>
              <w:jc w:val="right"/>
              <w:ind w:right="68"/>
              <w:spacing w:after="0"/>
              <w:rPr>
                <w:sz w:val="20"/>
                <w:szCs w:val="20"/>
                <w:color w:val="auto"/>
              </w:rPr>
            </w:pPr>
            <w:r>
              <w:rPr>
                <w:rFonts w:ascii="Arial" w:cs="Arial" w:eastAsia="Arial" w:hAnsi="Arial"/>
                <w:sz w:val="10"/>
                <w:szCs w:val="10"/>
                <w:color w:val="auto"/>
              </w:rPr>
              <w:t>N/A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20"/>
              <w:spacing w:after="0"/>
              <w:rPr>
                <w:sz w:val="20"/>
                <w:szCs w:val="20"/>
                <w:color w:val="auto"/>
              </w:rPr>
            </w:pPr>
            <w:r>
              <w:rPr>
                <w:rFonts w:ascii="Arial" w:cs="Arial" w:eastAsia="Arial" w:hAnsi="Arial"/>
                <w:sz w:val="10"/>
                <w:szCs w:val="10"/>
                <w:color w:val="auto"/>
              </w:rPr>
              <w:t>N/A</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Tier 1 capital (to risk-weighted assets)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159,656</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0"/>
                <w:szCs w:val="10"/>
                <w:color w:val="auto"/>
              </w:rPr>
              <w:t>13.10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73,100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center"/>
              <w:ind w:right="600"/>
              <w:spacing w:after="0"/>
              <w:rPr>
                <w:sz w:val="20"/>
                <w:szCs w:val="20"/>
                <w:color w:val="auto"/>
              </w:rPr>
            </w:pPr>
            <w:r>
              <w:rPr>
                <w:rFonts w:ascii="Arial" w:cs="Arial" w:eastAsia="Arial" w:hAnsi="Arial"/>
                <w:sz w:val="10"/>
                <w:szCs w:val="10"/>
                <w:color w:val="auto"/>
              </w:rPr>
              <w:t>N/A</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N/A</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103,559</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8.50</w:t>
            </w:r>
          </w:p>
        </w:tc>
        <w:tc>
          <w:tcPr>
            <w:tcW w:w="0" w:type="dxa"/>
            <w:vAlign w:val="bottom"/>
          </w:tcPr>
          <w:p>
            <w:pPr>
              <w:spacing w:after="0"/>
              <w:rPr>
                <w:sz w:val="1"/>
                <w:szCs w:val="1"/>
                <w:color w:val="auto"/>
              </w:rPr>
            </w:pPr>
          </w:p>
        </w:tc>
      </w:tr>
      <w:tr>
        <w:trPr>
          <w:trHeight w:val="107"/>
        </w:trPr>
        <w:tc>
          <w:tcPr>
            <w:tcW w:w="2260" w:type="dxa"/>
            <w:vAlign w:val="bottom"/>
          </w:tcPr>
          <w:p>
            <w:pPr>
              <w:ind w:left="120"/>
              <w:spacing w:after="0" w:line="107" w:lineRule="exact"/>
              <w:rPr>
                <w:sz w:val="20"/>
                <w:szCs w:val="20"/>
                <w:color w:val="auto"/>
              </w:rPr>
            </w:pPr>
            <w:r>
              <w:rPr>
                <w:rFonts w:ascii="Arial" w:cs="Arial" w:eastAsia="Arial" w:hAnsi="Arial"/>
                <w:sz w:val="10"/>
                <w:szCs w:val="10"/>
                <w:color w:val="auto"/>
              </w:rPr>
              <w:t>Common equity tier 1 capital ratio (to risk-</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60" w:type="dxa"/>
            <w:vAlign w:val="bottom"/>
          </w:tcPr>
          <w:p>
            <w:pPr>
              <w:ind w:left="240"/>
              <w:spacing w:after="0"/>
              <w:rPr>
                <w:sz w:val="20"/>
                <w:szCs w:val="20"/>
                <w:color w:val="auto"/>
              </w:rPr>
            </w:pPr>
            <w:r>
              <w:rPr>
                <w:rFonts w:ascii="Arial" w:cs="Arial" w:eastAsia="Arial" w:hAnsi="Arial"/>
                <w:sz w:val="10"/>
                <w:szCs w:val="10"/>
                <w:color w:val="auto"/>
              </w:rPr>
              <w:t>weighted assets)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157,594</w:t>
            </w:r>
          </w:p>
        </w:tc>
        <w:tc>
          <w:tcPr>
            <w:tcW w:w="960" w:type="dxa"/>
            <w:vAlign w:val="bottom"/>
            <w:gridSpan w:val="2"/>
          </w:tcPr>
          <w:p>
            <w:pPr>
              <w:jc w:val="right"/>
              <w:ind w:right="168"/>
              <w:spacing w:after="0"/>
              <w:rPr>
                <w:sz w:val="20"/>
                <w:szCs w:val="20"/>
                <w:color w:val="auto"/>
              </w:rPr>
            </w:pPr>
            <w:r>
              <w:rPr>
                <w:rFonts w:ascii="Arial" w:cs="Arial" w:eastAsia="Arial" w:hAnsi="Arial"/>
                <w:sz w:val="10"/>
                <w:szCs w:val="10"/>
                <w:color w:val="auto"/>
              </w:rPr>
              <w:t>12.94</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54,825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ind w:right="168"/>
              <w:spacing w:after="0"/>
              <w:rPr>
                <w:sz w:val="20"/>
                <w:szCs w:val="20"/>
                <w:color w:val="auto"/>
              </w:rPr>
            </w:pPr>
            <w:r>
              <w:rPr>
                <w:rFonts w:ascii="Arial" w:cs="Arial" w:eastAsia="Arial" w:hAnsi="Arial"/>
                <w:sz w:val="10"/>
                <w:szCs w:val="10"/>
                <w:color w:val="auto"/>
              </w:rPr>
              <w:t>4.50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jc w:val="center"/>
              <w:ind w:right="600"/>
              <w:spacing w:after="0"/>
              <w:rPr>
                <w:sz w:val="20"/>
                <w:szCs w:val="20"/>
                <w:color w:val="auto"/>
              </w:rPr>
            </w:pPr>
            <w:r>
              <w:rPr>
                <w:rFonts w:ascii="Arial" w:cs="Arial" w:eastAsia="Arial" w:hAnsi="Arial"/>
                <w:sz w:val="10"/>
                <w:szCs w:val="10"/>
                <w:color w:val="auto"/>
              </w:rPr>
              <w:t>N/A</w:t>
            </w:r>
          </w:p>
        </w:tc>
        <w:tc>
          <w:tcPr>
            <w:tcW w:w="500" w:type="dxa"/>
            <w:vAlign w:val="bottom"/>
          </w:tcPr>
          <w:p>
            <w:pPr>
              <w:jc w:val="right"/>
              <w:ind w:right="68"/>
              <w:spacing w:after="0"/>
              <w:rPr>
                <w:sz w:val="20"/>
                <w:szCs w:val="20"/>
                <w:color w:val="auto"/>
              </w:rPr>
            </w:pPr>
            <w:r>
              <w:rPr>
                <w:rFonts w:ascii="Arial" w:cs="Arial" w:eastAsia="Arial" w:hAnsi="Arial"/>
                <w:sz w:val="10"/>
                <w:szCs w:val="10"/>
                <w:color w:val="auto"/>
              </w:rPr>
              <w:t>N/A</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85,284</w:t>
            </w:r>
          </w:p>
        </w:tc>
        <w:tc>
          <w:tcPr>
            <w:tcW w:w="100" w:type="dxa"/>
            <w:vAlign w:val="bottom"/>
          </w:tcPr>
          <w:p>
            <w:pPr>
              <w:spacing w:after="0"/>
              <w:rPr>
                <w:sz w:val="11"/>
                <w:szCs w:val="11"/>
                <w:color w:val="auto"/>
              </w:rPr>
            </w:pPr>
          </w:p>
        </w:tc>
        <w:tc>
          <w:tcPr>
            <w:tcW w:w="880" w:type="dxa"/>
            <w:vAlign w:val="bottom"/>
          </w:tcPr>
          <w:p>
            <w:pPr>
              <w:jc w:val="right"/>
              <w:ind w:right="168"/>
              <w:spacing w:after="0"/>
              <w:rPr>
                <w:sz w:val="20"/>
                <w:szCs w:val="20"/>
                <w:color w:val="auto"/>
              </w:rPr>
            </w:pPr>
            <w:r>
              <w:rPr>
                <w:rFonts w:ascii="Arial" w:cs="Arial" w:eastAsia="Arial" w:hAnsi="Arial"/>
                <w:sz w:val="10"/>
                <w:szCs w:val="10"/>
                <w:color w:val="auto"/>
              </w:rPr>
              <w:t>7.00</w:t>
            </w:r>
          </w:p>
        </w:tc>
        <w:tc>
          <w:tcPr>
            <w:tcW w:w="0" w:type="dxa"/>
            <w:vAlign w:val="bottom"/>
          </w:tcPr>
          <w:p>
            <w:pPr>
              <w:spacing w:after="0"/>
              <w:rPr>
                <w:sz w:val="1"/>
                <w:szCs w:val="1"/>
                <w:color w:val="auto"/>
              </w:rPr>
            </w:pPr>
          </w:p>
        </w:tc>
      </w:tr>
      <w:tr>
        <w:trPr>
          <w:trHeight w:val="114"/>
        </w:trPr>
        <w:tc>
          <w:tcPr>
            <w:tcW w:w="226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Total capital ratio (to risk-weighted</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185,008</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0"/>
                <w:szCs w:val="10"/>
                <w:color w:val="auto"/>
              </w:rPr>
              <w:t>15.19</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97,467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center"/>
              <w:ind w:right="600"/>
              <w:spacing w:after="0"/>
              <w:rPr>
                <w:sz w:val="20"/>
                <w:szCs w:val="20"/>
                <w:color w:val="auto"/>
              </w:rPr>
            </w:pPr>
            <w:r>
              <w:rPr>
                <w:rFonts w:ascii="Arial" w:cs="Arial" w:eastAsia="Arial" w:hAnsi="Arial"/>
                <w:sz w:val="10"/>
                <w:szCs w:val="10"/>
                <w:color w:val="auto"/>
              </w:rPr>
              <w:t>N/A</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N/A</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127,926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10.50</w:t>
            </w:r>
          </w:p>
        </w:tc>
        <w:tc>
          <w:tcPr>
            <w:tcW w:w="0" w:type="dxa"/>
            <w:vAlign w:val="bottom"/>
          </w:tcPr>
          <w:p>
            <w:pPr>
              <w:spacing w:after="0"/>
              <w:rPr>
                <w:sz w:val="1"/>
                <w:szCs w:val="1"/>
                <w:color w:val="auto"/>
              </w:rPr>
            </w:pPr>
          </w:p>
        </w:tc>
      </w:tr>
      <w:tr>
        <w:trPr>
          <w:trHeight w:val="179"/>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The Bank</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60" w:type="dxa"/>
            <w:vAlign w:val="bottom"/>
          </w:tcPr>
          <w:p>
            <w:pPr>
              <w:ind w:left="380"/>
              <w:spacing w:after="0"/>
              <w:rPr>
                <w:sz w:val="20"/>
                <w:szCs w:val="20"/>
                <w:color w:val="auto"/>
              </w:rPr>
            </w:pPr>
            <w:r>
              <w:rPr>
                <w:rFonts w:ascii="Arial" w:cs="Arial" w:eastAsia="Arial" w:hAnsi="Arial"/>
                <w:sz w:val="10"/>
                <w:szCs w:val="10"/>
                <w:color w:val="auto"/>
              </w:rPr>
              <w:t>Tier 1 leverage ratio (to average assets)</w:t>
            </w:r>
          </w:p>
        </w:tc>
        <w:tc>
          <w:tcPr>
            <w:tcW w:w="5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135,527</w:t>
            </w:r>
          </w:p>
        </w:tc>
        <w:tc>
          <w:tcPr>
            <w:tcW w:w="960" w:type="dxa"/>
            <w:vAlign w:val="bottom"/>
            <w:gridSpan w:val="2"/>
          </w:tcPr>
          <w:p>
            <w:pPr>
              <w:jc w:val="right"/>
              <w:ind w:right="168"/>
              <w:spacing w:after="0"/>
              <w:rPr>
                <w:sz w:val="20"/>
                <w:szCs w:val="20"/>
                <w:color w:val="auto"/>
              </w:rPr>
            </w:pPr>
            <w:r>
              <w:rPr>
                <w:rFonts w:ascii="Arial" w:cs="Arial" w:eastAsia="Arial" w:hAnsi="Arial"/>
                <w:sz w:val="10"/>
                <w:szCs w:val="10"/>
                <w:color w:val="auto"/>
              </w:rPr>
              <w:t>7.44</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72,770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168"/>
              <w:spacing w:after="0"/>
              <w:rPr>
                <w:sz w:val="20"/>
                <w:szCs w:val="20"/>
                <w:color w:val="auto"/>
              </w:rPr>
            </w:pPr>
            <w:r>
              <w:rPr>
                <w:rFonts w:ascii="Arial" w:cs="Arial" w:eastAsia="Arial" w:hAnsi="Arial"/>
                <w:sz w:val="10"/>
                <w:szCs w:val="10"/>
                <w:color w:val="auto"/>
              </w:rPr>
              <w:t>4.00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90,962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ind w:right="168"/>
              <w:spacing w:after="0"/>
              <w:rPr>
                <w:sz w:val="20"/>
                <w:szCs w:val="20"/>
                <w:color w:val="auto"/>
              </w:rPr>
            </w:pPr>
            <w:r>
              <w:rPr>
                <w:rFonts w:ascii="Arial" w:cs="Arial" w:eastAsia="Arial" w:hAnsi="Arial"/>
                <w:sz w:val="10"/>
                <w:szCs w:val="10"/>
                <w:color w:val="auto"/>
              </w:rPr>
              <w:t>5.00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900" w:type="dxa"/>
            <w:vAlign w:val="bottom"/>
            <w:gridSpan w:val="2"/>
          </w:tcPr>
          <w:p>
            <w:pPr>
              <w:ind w:left="620"/>
              <w:spacing w:after="0"/>
              <w:rPr>
                <w:sz w:val="20"/>
                <w:szCs w:val="20"/>
                <w:color w:val="auto"/>
              </w:rPr>
            </w:pPr>
            <w:r>
              <w:rPr>
                <w:rFonts w:ascii="Arial" w:cs="Arial" w:eastAsia="Arial" w:hAnsi="Arial"/>
                <w:sz w:val="10"/>
                <w:szCs w:val="10"/>
                <w:color w:val="auto"/>
              </w:rPr>
              <w:t>N/A</w:t>
            </w:r>
          </w:p>
        </w:tc>
        <w:tc>
          <w:tcPr>
            <w:tcW w:w="880" w:type="dxa"/>
            <w:vAlign w:val="bottom"/>
          </w:tcPr>
          <w:p>
            <w:pPr>
              <w:jc w:val="right"/>
              <w:ind w:right="168"/>
              <w:spacing w:after="0"/>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Tier 1 capital (to risk-weighted assets)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135,527</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0"/>
                <w:szCs w:val="10"/>
                <w:color w:val="auto"/>
              </w:rPr>
              <w:t>12.06</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71,731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95,642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101,645</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8.00</w:t>
            </w:r>
          </w:p>
        </w:tc>
        <w:tc>
          <w:tcPr>
            <w:tcW w:w="0" w:type="dxa"/>
            <w:vAlign w:val="bottom"/>
          </w:tcPr>
          <w:p>
            <w:pPr>
              <w:spacing w:after="0"/>
              <w:rPr>
                <w:sz w:val="1"/>
                <w:szCs w:val="1"/>
                <w:color w:val="auto"/>
              </w:rPr>
            </w:pPr>
          </w:p>
        </w:tc>
      </w:tr>
      <w:tr>
        <w:trPr>
          <w:trHeight w:val="107"/>
        </w:trPr>
        <w:tc>
          <w:tcPr>
            <w:tcW w:w="2260" w:type="dxa"/>
            <w:vAlign w:val="bottom"/>
          </w:tcPr>
          <w:p>
            <w:pPr>
              <w:ind w:left="120"/>
              <w:spacing w:after="0" w:line="107" w:lineRule="exact"/>
              <w:rPr>
                <w:sz w:val="20"/>
                <w:szCs w:val="20"/>
                <w:color w:val="auto"/>
              </w:rPr>
            </w:pPr>
            <w:r>
              <w:rPr>
                <w:rFonts w:ascii="Arial" w:cs="Arial" w:eastAsia="Arial" w:hAnsi="Arial"/>
                <w:sz w:val="10"/>
                <w:szCs w:val="10"/>
                <w:color w:val="auto"/>
              </w:rPr>
              <w:t>Common equity tier 1 capital ratio (to risk-</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60" w:type="dxa"/>
            <w:vAlign w:val="bottom"/>
          </w:tcPr>
          <w:p>
            <w:pPr>
              <w:ind w:left="240"/>
              <w:spacing w:after="0"/>
              <w:rPr>
                <w:sz w:val="20"/>
                <w:szCs w:val="20"/>
                <w:color w:val="auto"/>
              </w:rPr>
            </w:pPr>
            <w:r>
              <w:rPr>
                <w:rFonts w:ascii="Arial" w:cs="Arial" w:eastAsia="Arial" w:hAnsi="Arial"/>
                <w:sz w:val="10"/>
                <w:szCs w:val="10"/>
                <w:color w:val="auto"/>
              </w:rPr>
              <w:t>weighted assets)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135,527</w:t>
            </w:r>
          </w:p>
        </w:tc>
        <w:tc>
          <w:tcPr>
            <w:tcW w:w="960" w:type="dxa"/>
            <w:vAlign w:val="bottom"/>
            <w:gridSpan w:val="2"/>
          </w:tcPr>
          <w:p>
            <w:pPr>
              <w:jc w:val="right"/>
              <w:ind w:right="168"/>
              <w:spacing w:after="0"/>
              <w:rPr>
                <w:sz w:val="20"/>
                <w:szCs w:val="20"/>
                <w:color w:val="auto"/>
              </w:rPr>
            </w:pPr>
            <w:r>
              <w:rPr>
                <w:rFonts w:ascii="Arial" w:cs="Arial" w:eastAsia="Arial" w:hAnsi="Arial"/>
                <w:sz w:val="10"/>
                <w:szCs w:val="10"/>
                <w:color w:val="auto"/>
              </w:rPr>
              <w:t>12.06</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53,798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ind w:right="168"/>
              <w:spacing w:after="0"/>
              <w:rPr>
                <w:sz w:val="20"/>
                <w:szCs w:val="20"/>
                <w:color w:val="auto"/>
              </w:rPr>
            </w:pPr>
            <w:r>
              <w:rPr>
                <w:rFonts w:ascii="Arial" w:cs="Arial" w:eastAsia="Arial" w:hAnsi="Arial"/>
                <w:sz w:val="10"/>
                <w:szCs w:val="10"/>
                <w:color w:val="auto"/>
              </w:rPr>
              <w:t>4.50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77,709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jc w:val="right"/>
              <w:ind w:right="168"/>
              <w:spacing w:after="0"/>
              <w:rPr>
                <w:sz w:val="20"/>
                <w:szCs w:val="20"/>
                <w:color w:val="auto"/>
              </w:rPr>
            </w:pPr>
            <w:r>
              <w:rPr>
                <w:rFonts w:ascii="Arial" w:cs="Arial" w:eastAsia="Arial" w:hAnsi="Arial"/>
                <w:sz w:val="10"/>
                <w:szCs w:val="10"/>
                <w:color w:val="auto"/>
              </w:rPr>
              <w:t>6.50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83,708</w:t>
            </w:r>
          </w:p>
        </w:tc>
        <w:tc>
          <w:tcPr>
            <w:tcW w:w="100" w:type="dxa"/>
            <w:vAlign w:val="bottom"/>
          </w:tcPr>
          <w:p>
            <w:pPr>
              <w:spacing w:after="0"/>
              <w:rPr>
                <w:sz w:val="11"/>
                <w:szCs w:val="11"/>
                <w:color w:val="auto"/>
              </w:rPr>
            </w:pPr>
          </w:p>
        </w:tc>
        <w:tc>
          <w:tcPr>
            <w:tcW w:w="880" w:type="dxa"/>
            <w:vAlign w:val="bottom"/>
          </w:tcPr>
          <w:p>
            <w:pPr>
              <w:jc w:val="right"/>
              <w:ind w:right="168"/>
              <w:spacing w:after="0"/>
              <w:rPr>
                <w:sz w:val="20"/>
                <w:szCs w:val="20"/>
                <w:color w:val="auto"/>
              </w:rPr>
            </w:pPr>
            <w:r>
              <w:rPr>
                <w:rFonts w:ascii="Arial" w:cs="Arial" w:eastAsia="Arial" w:hAnsi="Arial"/>
                <w:sz w:val="10"/>
                <w:szCs w:val="10"/>
                <w:color w:val="auto"/>
              </w:rPr>
              <w:t>6.50</w:t>
            </w:r>
          </w:p>
        </w:tc>
        <w:tc>
          <w:tcPr>
            <w:tcW w:w="0" w:type="dxa"/>
            <w:vAlign w:val="bottom"/>
          </w:tcPr>
          <w:p>
            <w:pPr>
              <w:spacing w:after="0"/>
              <w:rPr>
                <w:sz w:val="1"/>
                <w:szCs w:val="1"/>
                <w:color w:val="auto"/>
              </w:rPr>
            </w:pPr>
          </w:p>
        </w:tc>
      </w:tr>
      <w:tr>
        <w:trPr>
          <w:trHeight w:val="114"/>
        </w:trPr>
        <w:tc>
          <w:tcPr>
            <w:tcW w:w="2260" w:type="dxa"/>
            <w:vAlign w:val="bottom"/>
            <w:shd w:val="clear" w:color="auto" w:fill="CCEEFF"/>
          </w:tcPr>
          <w:p>
            <w:pPr>
              <w:ind w:left="380"/>
              <w:spacing w:after="0"/>
              <w:rPr>
                <w:sz w:val="20"/>
                <w:szCs w:val="20"/>
                <w:color w:val="auto"/>
              </w:rPr>
            </w:pPr>
            <w:r>
              <w:rPr>
                <w:rFonts w:ascii="Arial" w:cs="Arial" w:eastAsia="Arial" w:hAnsi="Arial"/>
                <w:sz w:val="10"/>
                <w:szCs w:val="10"/>
                <w:color w:val="auto"/>
              </w:rPr>
              <w:t>Total capital ratio (to risk-weighted</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150,593</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0"/>
                <w:szCs w:val="10"/>
                <w:color w:val="auto"/>
              </w:rPr>
              <w:t>13.40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95,642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119,552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125,562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90" w:name="page91"/>
    <w:bookmarkEnd w:id="90"/>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15 - Stock-Based Compensation</w:t>
      </w:r>
    </w:p>
    <w:p>
      <w:pPr>
        <w:spacing w:after="0" w:line="204" w:lineRule="exact"/>
        <w:rPr>
          <w:sz w:val="20"/>
          <w:szCs w:val="20"/>
          <w:color w:val="auto"/>
        </w:rPr>
      </w:pPr>
    </w:p>
    <w:p>
      <w:pPr>
        <w:jc w:val="both"/>
        <w:ind w:right="80" w:firstLine="268"/>
        <w:spacing w:after="0" w:line="251" w:lineRule="auto"/>
        <w:rPr>
          <w:sz w:val="20"/>
          <w:szCs w:val="20"/>
          <w:color w:val="auto"/>
        </w:rPr>
      </w:pPr>
      <w:r>
        <w:rPr>
          <w:rFonts w:ascii="Arial" w:cs="Arial" w:eastAsia="Arial" w:hAnsi="Arial"/>
          <w:sz w:val="15"/>
          <w:szCs w:val="15"/>
          <w:color w:val="auto"/>
        </w:rPr>
        <w:t>Compensation cost is recognized for stock options and restricted stock awards issued to employees. Compensation cost is measured as the fair value of these awards on their date of grant. A Black-Scholes model is utilized to estimate the fair value of stock options, while the market price of the Company’s common stock at the date of grant is used as the fair value of restricted stock awards. Compensation cost is recognized over the required service period, generally defined as the vesting period for stock option awards and as the restriction period for restricted stock awards. For awards with graded vesting, compensation cost is recognized on a straight-line basis over the requisite service period for the entire award.</w:t>
      </w:r>
    </w:p>
    <w:p>
      <w:pPr>
        <w:spacing w:after="0" w:line="172"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The expense recognition of employee stock option and restricted stock awards resulted in net expense of approximately $1.4 million and $1.0 million during the years ended December 31, 2021 and 2020,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Stock options:</w:t>
      </w:r>
    </w:p>
    <w:p>
      <w:pPr>
        <w:spacing w:after="0" w:line="202" w:lineRule="exact"/>
        <w:rPr>
          <w:sz w:val="20"/>
          <w:szCs w:val="20"/>
          <w:color w:val="auto"/>
        </w:rPr>
      </w:pPr>
    </w:p>
    <w:p>
      <w:pPr>
        <w:jc w:val="both"/>
        <w:ind w:right="80" w:firstLine="268"/>
        <w:spacing w:after="0" w:line="250" w:lineRule="auto"/>
        <w:rPr>
          <w:sz w:val="20"/>
          <w:szCs w:val="20"/>
          <w:color w:val="auto"/>
        </w:rPr>
      </w:pPr>
      <w:r>
        <w:rPr>
          <w:rFonts w:ascii="Arial" w:cs="Arial" w:eastAsia="Arial" w:hAnsi="Arial"/>
          <w:sz w:val="15"/>
          <w:szCs w:val="15"/>
          <w:color w:val="auto"/>
        </w:rPr>
        <w:t>The Company currently has two incentive compensation plans with outstanding stock options, the 2002 Stock Option Plan and the 2017 Stock and Incentive Compensation Plan (“the Plan”). Only the Plan, which authorizes the use of stock options, stock appreciation rights, restricted stock and/or restricted stock, is available to grant options and shares to employees and directors. At inception the Plan allowed for up to 1,120,000 shares of common stock to be issued. In 2021, an additional 900,000 shares were authorized for a total of 2,020,000. As of December 31, 2021, there are 883,381 shares available for future grant. Shares of common stock related to any unexercised or unvested award granted under the Plan that terminate or expire, or are subsequently forfeited or cancelled for any reason, become available for re-grant under the Plan. Option prices are equal to or greater than the estimated fair value of the common stock at the date of grant. Options outstanding vest over a four-year period, whereby 25% of the options become exercisable on each anniversary of the grant date.</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Information with respect to options outstanding during the years ended December 31, 2021 and 2020 is as follows:</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56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2021</w:t>
            </w: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640" w:type="dxa"/>
            <w:vAlign w:val="bottom"/>
          </w:tcPr>
          <w:p>
            <w:pPr>
              <w:spacing w:after="0"/>
              <w:rPr>
                <w:sz w:val="9"/>
                <w:szCs w:val="9"/>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12"/>
                <w:szCs w:val="12"/>
                <w:b w:val="1"/>
                <w:bCs w:val="1"/>
                <w:color w:val="auto"/>
              </w:rPr>
              <w:t>Shares</w:t>
            </w:r>
          </w:p>
        </w:tc>
        <w:tc>
          <w:tcPr>
            <w:tcW w:w="1580" w:type="dxa"/>
            <w:vAlign w:val="bottom"/>
            <w:gridSpan w:val="3"/>
          </w:tcPr>
          <w:p>
            <w:pPr>
              <w:ind w:left="340"/>
              <w:spacing w:after="0" w:line="114" w:lineRule="exact"/>
              <w:rPr>
                <w:sz w:val="20"/>
                <w:szCs w:val="20"/>
                <w:color w:val="auto"/>
              </w:rPr>
            </w:pPr>
            <w:r>
              <w:rPr>
                <w:rFonts w:ascii="Arial" w:cs="Arial" w:eastAsia="Arial" w:hAnsi="Arial"/>
                <w:sz w:val="12"/>
                <w:szCs w:val="12"/>
                <w:b w:val="1"/>
                <w:bCs w:val="1"/>
                <w:color w:val="auto"/>
              </w:rPr>
              <w:t>Weighted Average</w:t>
            </w:r>
          </w:p>
        </w:tc>
        <w:tc>
          <w:tcPr>
            <w:tcW w:w="1300" w:type="dxa"/>
            <w:vAlign w:val="bottom"/>
            <w:gridSpan w:val="2"/>
            <w:vMerge w:val="restart"/>
          </w:tcPr>
          <w:p>
            <w:pPr>
              <w:ind w:left="540"/>
              <w:spacing w:after="0"/>
              <w:rPr>
                <w:sz w:val="20"/>
                <w:szCs w:val="20"/>
                <w:color w:val="auto"/>
              </w:rPr>
            </w:pPr>
            <w:r>
              <w:rPr>
                <w:rFonts w:ascii="Arial" w:cs="Arial" w:eastAsia="Arial" w:hAnsi="Arial"/>
                <w:sz w:val="12"/>
                <w:szCs w:val="12"/>
                <w:color w:val="auto"/>
              </w:rPr>
              <w:t>Shares</w:t>
            </w:r>
          </w:p>
        </w:tc>
        <w:tc>
          <w:tcPr>
            <w:tcW w:w="360" w:type="dxa"/>
            <w:vAlign w:val="bottom"/>
          </w:tcPr>
          <w:p>
            <w:pPr>
              <w:spacing w:after="0"/>
              <w:rPr>
                <w:sz w:val="9"/>
                <w:szCs w:val="9"/>
                <w:color w:val="auto"/>
              </w:rPr>
            </w:pPr>
          </w:p>
        </w:tc>
        <w:tc>
          <w:tcPr>
            <w:tcW w:w="880" w:type="dxa"/>
            <w:vAlign w:val="bottom"/>
          </w:tcPr>
          <w:p>
            <w:pPr>
              <w:jc w:val="right"/>
              <w:spacing w:after="0" w:line="114" w:lineRule="exact"/>
              <w:rPr>
                <w:sz w:val="20"/>
                <w:szCs w:val="20"/>
                <w:color w:val="auto"/>
              </w:rPr>
            </w:pPr>
            <w:r>
              <w:rPr>
                <w:rFonts w:ascii="Arial" w:cs="Arial" w:eastAsia="Arial" w:hAnsi="Arial"/>
                <w:sz w:val="12"/>
                <w:szCs w:val="12"/>
                <w:color w:val="auto"/>
                <w:w w:val="93"/>
              </w:rPr>
              <w:t>Weighted Averag</w:t>
            </w:r>
          </w:p>
        </w:tc>
        <w:tc>
          <w:tcPr>
            <w:tcW w:w="0" w:type="dxa"/>
            <w:vAlign w:val="bottom"/>
          </w:tcPr>
          <w:p>
            <w:pPr>
              <w:spacing w:after="0"/>
              <w:rPr>
                <w:sz w:val="1"/>
                <w:szCs w:val="1"/>
                <w:color w:val="auto"/>
              </w:rPr>
            </w:pPr>
          </w:p>
        </w:tc>
      </w:tr>
      <w:tr>
        <w:trPr>
          <w:trHeight w:val="145"/>
        </w:trPr>
        <w:tc>
          <w:tcPr>
            <w:tcW w:w="56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80" w:type="dxa"/>
            <w:vAlign w:val="bottom"/>
            <w:gridSpan w:val="3"/>
          </w:tcPr>
          <w:p>
            <w:pPr>
              <w:ind w:left="320"/>
              <w:spacing w:after="0"/>
              <w:rPr>
                <w:sz w:val="20"/>
                <w:szCs w:val="20"/>
                <w:color w:val="auto"/>
              </w:rPr>
            </w:pPr>
            <w:r>
              <w:rPr>
                <w:rFonts w:ascii="Arial" w:cs="Arial" w:eastAsia="Arial" w:hAnsi="Arial"/>
                <w:sz w:val="12"/>
                <w:szCs w:val="12"/>
                <w:b w:val="1"/>
                <w:bCs w:val="1"/>
                <w:color w:val="auto"/>
              </w:rPr>
              <w:t>Exercise Price</w:t>
            </w:r>
          </w:p>
        </w:tc>
        <w:tc>
          <w:tcPr>
            <w:tcW w:w="1300" w:type="dxa"/>
            <w:vAlign w:val="bottom"/>
            <w:gridSpan w:val="2"/>
            <w:vMerge w:val="continue"/>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Exercise Price</w:t>
            </w:r>
          </w:p>
        </w:tc>
        <w:tc>
          <w:tcPr>
            <w:tcW w:w="0" w:type="dxa"/>
            <w:vAlign w:val="bottom"/>
          </w:tcPr>
          <w:p>
            <w:pPr>
              <w:spacing w:after="0"/>
              <w:rPr>
                <w:sz w:val="1"/>
                <w:szCs w:val="1"/>
                <w:color w:val="auto"/>
              </w:rPr>
            </w:pPr>
          </w:p>
        </w:tc>
      </w:tr>
      <w:tr>
        <w:trPr>
          <w:trHeight w:val="148"/>
        </w:trPr>
        <w:tc>
          <w:tcPr>
            <w:tcW w:w="5640" w:type="dxa"/>
            <w:vAlign w:val="bottom"/>
          </w:tcPr>
          <w:p>
            <w:pPr>
              <w:ind w:left="280"/>
              <w:spacing w:after="0"/>
              <w:rPr>
                <w:sz w:val="20"/>
                <w:szCs w:val="20"/>
                <w:color w:val="auto"/>
              </w:rPr>
            </w:pPr>
            <w:r>
              <w:rPr>
                <w:rFonts w:ascii="Arial" w:cs="Arial" w:eastAsia="Arial" w:hAnsi="Arial"/>
                <w:sz w:val="12"/>
                <w:szCs w:val="12"/>
                <w:color w:val="auto"/>
              </w:rPr>
              <w:t>Outstanding at beginning of year</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1,169,413</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12.21</w:t>
            </w:r>
          </w:p>
        </w:tc>
        <w:tc>
          <w:tcPr>
            <w:tcW w:w="140" w:type="dxa"/>
            <w:vAlign w:val="bottom"/>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1,308,047</w:t>
            </w:r>
          </w:p>
        </w:tc>
        <w:tc>
          <w:tcPr>
            <w:tcW w:w="100" w:type="dxa"/>
            <w:vAlign w:val="bottom"/>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Add: Granted</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170,244</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24.51</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205,100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7"/>
        </w:trPr>
        <w:tc>
          <w:tcPr>
            <w:tcW w:w="5640" w:type="dxa"/>
            <w:vAlign w:val="bottom"/>
          </w:tcPr>
          <w:p>
            <w:pPr>
              <w:ind w:left="380"/>
              <w:spacing w:after="0"/>
              <w:rPr>
                <w:sz w:val="20"/>
                <w:szCs w:val="20"/>
                <w:color w:val="auto"/>
              </w:rPr>
            </w:pPr>
            <w:r>
              <w:rPr>
                <w:rFonts w:ascii="Arial" w:cs="Arial" w:eastAsia="Arial" w:hAnsi="Arial"/>
                <w:sz w:val="12"/>
                <w:szCs w:val="12"/>
                <w:color w:val="auto"/>
              </w:rPr>
              <w:t>Less: Exercised</w:t>
            </w: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(186,461)</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9.61</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(142,901)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Less: Retired on exercise</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(54,192)</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9.41</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(137,334)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7"/>
        </w:trPr>
        <w:tc>
          <w:tcPr>
            <w:tcW w:w="56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Less: Expired/cancelled/forfeited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(38,981)</w:t>
            </w: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7.43</w:t>
            </w:r>
          </w:p>
        </w:tc>
        <w:tc>
          <w:tcPr>
            <w:tcW w:w="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(63,499)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Outstanding at end of year</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1,060,023</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14.77</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1,169,413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21"/>
        </w:trPr>
        <w:tc>
          <w:tcPr>
            <w:tcW w:w="5640" w:type="dxa"/>
            <w:vAlign w:val="bottom"/>
            <w:tcBorders>
              <w:top w:val="single" w:sz="8" w:color="CCEEFF"/>
            </w:tcBorders>
          </w:tcPr>
          <w:p>
            <w:pPr>
              <w:ind w:left="280"/>
              <w:spacing w:after="0" w:line="122" w:lineRule="exact"/>
              <w:rPr>
                <w:sz w:val="20"/>
                <w:szCs w:val="20"/>
                <w:color w:val="auto"/>
              </w:rPr>
            </w:pPr>
            <w:r>
              <w:rPr>
                <w:rFonts w:ascii="Arial" w:cs="Arial" w:eastAsia="Arial" w:hAnsi="Arial"/>
                <w:sz w:val="12"/>
                <w:szCs w:val="12"/>
                <w:color w:val="auto"/>
              </w:rPr>
              <w:t>Exercisable at end of year</w:t>
            </w:r>
          </w:p>
        </w:tc>
        <w:tc>
          <w:tcPr>
            <w:tcW w:w="11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551,804</w:t>
            </w:r>
          </w:p>
        </w:tc>
        <w:tc>
          <w:tcPr>
            <w:tcW w:w="140" w:type="dxa"/>
            <w:vAlign w:val="bottom"/>
            <w:tcBorders>
              <w:top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300"/>
              <w:spacing w:after="0" w:line="122" w:lineRule="exact"/>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12.55</w:t>
            </w:r>
          </w:p>
        </w:tc>
        <w:tc>
          <w:tcPr>
            <w:tcW w:w="140" w:type="dxa"/>
            <w:vAlign w:val="bottom"/>
            <w:tcBorders>
              <w:top w:val="single" w:sz="8" w:color="CCEEFF"/>
            </w:tcBorders>
          </w:tcPr>
          <w:p>
            <w:pPr>
              <w:spacing w:after="0"/>
              <w:rPr>
                <w:sz w:val="10"/>
                <w:szCs w:val="10"/>
                <w:color w:val="auto"/>
              </w:rPr>
            </w:pPr>
          </w:p>
        </w:tc>
        <w:tc>
          <w:tcPr>
            <w:tcW w:w="12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567,593</w:t>
            </w:r>
          </w:p>
        </w:tc>
        <w:tc>
          <w:tcPr>
            <w:tcW w:w="100" w:type="dxa"/>
            <w:vAlign w:val="bottom"/>
            <w:tcBorders>
              <w:top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weighted average fair value of options granted during the years ended December 31, 2021 and 2020, was $12.56 and $7.37,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91" w:name="page92"/>
    <w:bookmarkEnd w:id="91"/>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15 - Stock-Based Compensation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summary of information about stock options outstanding is as follows:</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Weighted Average</w:t>
            </w:r>
          </w:p>
        </w:tc>
        <w:tc>
          <w:tcPr>
            <w:tcW w:w="120" w:type="dxa"/>
            <w:vAlign w:val="bottom"/>
          </w:tcPr>
          <w:p>
            <w:pPr>
              <w:spacing w:after="0"/>
              <w:rPr>
                <w:sz w:val="13"/>
                <w:szCs w:val="13"/>
                <w:color w:val="auto"/>
              </w:rPr>
            </w:pPr>
          </w:p>
        </w:tc>
        <w:tc>
          <w:tcPr>
            <w:tcW w:w="1760" w:type="dxa"/>
            <w:vAlign w:val="bottom"/>
            <w:gridSpan w:val="3"/>
          </w:tcPr>
          <w:p>
            <w:pPr>
              <w:jc w:val="right"/>
              <w:ind w:right="740"/>
              <w:spacing w:after="0"/>
              <w:rPr>
                <w:sz w:val="20"/>
                <w:szCs w:val="20"/>
                <w:color w:val="auto"/>
              </w:rPr>
            </w:pPr>
            <w:r>
              <w:rPr>
                <w:rFonts w:ascii="Arial" w:cs="Arial" w:eastAsia="Arial" w:hAnsi="Arial"/>
                <w:sz w:val="13"/>
                <w:szCs w:val="13"/>
                <w:b w:val="1"/>
                <w:bCs w:val="1"/>
                <w:color w:val="auto"/>
              </w:rPr>
              <w:t>Average</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Exercise Price Range</w:t>
            </w:r>
          </w:p>
        </w:tc>
        <w:tc>
          <w:tcPr>
            <w:tcW w:w="46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3"/>
          </w:tcPr>
          <w:p>
            <w:pPr>
              <w:jc w:val="right"/>
              <w:ind w:right="660"/>
              <w:spacing w:after="0" w:line="134" w:lineRule="exact"/>
              <w:rPr>
                <w:sz w:val="20"/>
                <w:szCs w:val="20"/>
                <w:color w:val="auto"/>
              </w:rPr>
            </w:pPr>
            <w:r>
              <w:rPr>
                <w:rFonts w:ascii="Arial" w:cs="Arial" w:eastAsia="Arial" w:hAnsi="Arial"/>
                <w:sz w:val="13"/>
                <w:szCs w:val="13"/>
                <w:b w:val="1"/>
                <w:bCs w:val="1"/>
                <w:color w:val="auto"/>
              </w:rPr>
              <w:t>Remaining Life</w:t>
            </w:r>
          </w:p>
        </w:tc>
        <w:tc>
          <w:tcPr>
            <w:tcW w:w="1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Outstanding Shares</w:t>
            </w:r>
          </w:p>
        </w:tc>
        <w:tc>
          <w:tcPr>
            <w:tcW w:w="4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Exercisable Shares</w:t>
            </w:r>
          </w:p>
        </w:tc>
        <w:tc>
          <w:tcPr>
            <w:tcW w:w="0" w:type="dxa"/>
            <w:vAlign w:val="bottom"/>
          </w:tcPr>
          <w:p>
            <w:pPr>
              <w:spacing w:after="0"/>
              <w:rPr>
                <w:sz w:val="1"/>
                <w:szCs w:val="1"/>
                <w:color w:val="auto"/>
              </w:rPr>
            </w:pPr>
          </w:p>
        </w:tc>
      </w:tr>
      <w:tr>
        <w:trPr>
          <w:trHeight w:val="178"/>
        </w:trPr>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ind w:right="473"/>
              <w:spacing w:after="0"/>
              <w:rPr>
                <w:sz w:val="20"/>
                <w:szCs w:val="20"/>
                <w:color w:val="auto"/>
              </w:rPr>
            </w:pPr>
            <w:r>
              <w:rPr>
                <w:rFonts w:ascii="Arial" w:cs="Arial" w:eastAsia="Arial" w:hAnsi="Arial"/>
                <w:sz w:val="13"/>
                <w:szCs w:val="13"/>
                <w:b w:val="1"/>
                <w:bCs w:val="1"/>
                <w:color w:val="auto"/>
              </w:rPr>
              <w:t>Exercise Price</w:t>
            </w:r>
          </w:p>
        </w:tc>
        <w:tc>
          <w:tcPr>
            <w:tcW w:w="120" w:type="dxa"/>
            <w:vAlign w:val="bottom"/>
          </w:tcPr>
          <w:p>
            <w:pPr>
              <w:spacing w:after="0"/>
              <w:rPr>
                <w:sz w:val="15"/>
                <w:szCs w:val="15"/>
                <w:color w:val="auto"/>
              </w:rPr>
            </w:pPr>
          </w:p>
        </w:tc>
        <w:tc>
          <w:tcPr>
            <w:tcW w:w="1760" w:type="dxa"/>
            <w:vAlign w:val="bottom"/>
            <w:gridSpan w:val="3"/>
          </w:tcPr>
          <w:p>
            <w:pPr>
              <w:jc w:val="right"/>
              <w:ind w:right="920"/>
              <w:spacing w:after="0"/>
              <w:rPr>
                <w:sz w:val="20"/>
                <w:szCs w:val="20"/>
                <w:color w:val="auto"/>
              </w:rPr>
            </w:pPr>
            <w:r>
              <w:rPr>
                <w:rFonts w:ascii="Arial" w:cs="Arial" w:eastAsia="Arial" w:hAnsi="Arial"/>
                <w:sz w:val="13"/>
                <w:szCs w:val="13"/>
                <w:b w:val="1"/>
                <w:bCs w:val="1"/>
                <w:color w:val="auto"/>
              </w:rPr>
              <w:t>(years)</w:t>
            </w:r>
          </w:p>
        </w:tc>
        <w:tc>
          <w:tcPr>
            <w:tcW w:w="15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10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3"/>
                <w:szCs w:val="13"/>
                <w:b w:val="1"/>
                <w:bCs w:val="1"/>
                <w:color w:val="auto"/>
              </w:rPr>
              <w:t>December 31, 2021</w:t>
            </w:r>
          </w:p>
        </w:tc>
        <w:tc>
          <w:tcPr>
            <w:tcW w:w="1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80" w:type="dxa"/>
            <w:vAlign w:val="bottom"/>
            <w:tcBorders>
              <w:top w:val="single" w:sz="8" w:color="auto"/>
            </w:tcBorders>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$10.70 - 14.63</w:t>
            </w:r>
          </w:p>
        </w:tc>
        <w:tc>
          <w:tcPr>
            <w:tcW w:w="80" w:type="dxa"/>
            <w:vAlign w:val="bottom"/>
          </w:tcPr>
          <w:p>
            <w:pPr>
              <w:spacing w:after="0"/>
              <w:rPr>
                <w:sz w:val="13"/>
                <w:szCs w:val="13"/>
                <w:color w:val="auto"/>
              </w:rPr>
            </w:pPr>
          </w:p>
        </w:tc>
        <w:tc>
          <w:tcPr>
            <w:tcW w:w="46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12.89</w:t>
            </w:r>
          </w:p>
        </w:tc>
        <w:tc>
          <w:tcPr>
            <w:tcW w:w="1380" w:type="dxa"/>
            <w:vAlign w:val="bottom"/>
            <w:gridSpan w:val="2"/>
          </w:tcPr>
          <w:p>
            <w:pPr>
              <w:jc w:val="right"/>
              <w:spacing w:after="0"/>
              <w:rPr>
                <w:sz w:val="20"/>
                <w:szCs w:val="20"/>
                <w:color w:val="auto"/>
              </w:rPr>
            </w:pPr>
            <w:r>
              <w:rPr>
                <w:rFonts w:ascii="Arial" w:cs="Arial" w:eastAsia="Arial" w:hAnsi="Arial"/>
                <w:sz w:val="13"/>
                <w:szCs w:val="13"/>
                <w:b w:val="1"/>
                <w:bCs w:val="1"/>
                <w:color w:val="auto"/>
              </w:rPr>
              <w:t>2.45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892,529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546,8</w:t>
            </w:r>
          </w:p>
        </w:tc>
        <w:tc>
          <w:tcPr>
            <w:tcW w:w="0" w:type="dxa"/>
            <w:vAlign w:val="bottom"/>
          </w:tcPr>
          <w:p>
            <w:pPr>
              <w:spacing w:after="0"/>
              <w:rPr>
                <w:sz w:val="1"/>
                <w:szCs w:val="1"/>
                <w:color w:val="auto"/>
              </w:rPr>
            </w:pPr>
          </w:p>
        </w:tc>
      </w:tr>
      <w:tr>
        <w:trPr>
          <w:trHeight w:val="180"/>
        </w:trPr>
        <w:tc>
          <w:tcPr>
            <w:tcW w:w="38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14.64 - 18.56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14.96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3.14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22,750</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w:t>
            </w:r>
          </w:p>
        </w:tc>
        <w:tc>
          <w:tcPr>
            <w:tcW w:w="0" w:type="dxa"/>
            <w:vAlign w:val="bottom"/>
          </w:tcPr>
          <w:p>
            <w:pPr>
              <w:spacing w:after="0"/>
              <w:rPr>
                <w:sz w:val="1"/>
                <w:szCs w:val="1"/>
                <w:color w:val="auto"/>
              </w:rPr>
            </w:pPr>
          </w:p>
        </w:tc>
      </w:tr>
      <w:tr>
        <w:trPr>
          <w:trHeight w:val="178"/>
        </w:trPr>
        <w:tc>
          <w:tcPr>
            <w:tcW w:w="3880" w:type="dxa"/>
            <w:vAlign w:val="bottom"/>
            <w:gridSpan w:val="3"/>
          </w:tcPr>
          <w:p>
            <w:pPr>
              <w:jc w:val="right"/>
              <w:spacing w:after="0"/>
              <w:rPr>
                <w:sz w:val="20"/>
                <w:szCs w:val="20"/>
                <w:color w:val="auto"/>
              </w:rPr>
            </w:pPr>
            <w:r>
              <w:rPr>
                <w:rFonts w:ascii="Arial" w:cs="Arial" w:eastAsia="Arial" w:hAnsi="Arial"/>
                <w:sz w:val="13"/>
                <w:szCs w:val="13"/>
                <w:b w:val="1"/>
                <w:bCs w:val="1"/>
                <w:color w:val="auto"/>
              </w:rPr>
              <w:t>18.57 - 22.49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21.86</w:t>
            </w:r>
          </w:p>
        </w:tc>
        <w:tc>
          <w:tcPr>
            <w:tcW w:w="1380" w:type="dxa"/>
            <w:vAlign w:val="bottom"/>
            <w:gridSpan w:val="2"/>
          </w:tcPr>
          <w:p>
            <w:pPr>
              <w:jc w:val="right"/>
              <w:spacing w:after="0"/>
              <w:rPr>
                <w:sz w:val="20"/>
                <w:szCs w:val="20"/>
                <w:color w:val="auto"/>
              </w:rPr>
            </w:pPr>
            <w:r>
              <w:rPr>
                <w:rFonts w:ascii="Arial" w:cs="Arial" w:eastAsia="Arial" w:hAnsi="Arial"/>
                <w:sz w:val="13"/>
                <w:szCs w:val="13"/>
                <w:b w:val="1"/>
                <w:bCs w:val="1"/>
                <w:color w:val="auto"/>
              </w:rPr>
              <w:t>4.71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2,500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22.50 - 26.41</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26.41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142,244</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60" w:type="dxa"/>
            <w:vAlign w:val="bottom"/>
            <w:gridSpan w:val="4"/>
          </w:tcPr>
          <w:p>
            <w:pPr>
              <w:ind w:left="280"/>
              <w:spacing w:after="0"/>
              <w:rPr>
                <w:sz w:val="20"/>
                <w:szCs w:val="20"/>
                <w:color w:val="auto"/>
              </w:rPr>
            </w:pPr>
            <w:r>
              <w:rPr>
                <w:rFonts w:ascii="Arial" w:cs="Arial" w:eastAsia="Arial" w:hAnsi="Arial"/>
                <w:sz w:val="13"/>
                <w:szCs w:val="13"/>
                <w:b w:val="1"/>
                <w:bCs w:val="1"/>
                <w:color w:val="auto"/>
              </w:rPr>
              <w:t>Total outstanding options</w:t>
            </w:r>
          </w:p>
        </w:tc>
        <w:tc>
          <w:tcPr>
            <w:tcW w:w="46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14.77</w:t>
            </w:r>
          </w:p>
        </w:tc>
        <w:tc>
          <w:tcPr>
            <w:tcW w:w="1380" w:type="dxa"/>
            <w:vAlign w:val="bottom"/>
            <w:gridSpan w:val="2"/>
          </w:tcPr>
          <w:p>
            <w:pPr>
              <w:jc w:val="right"/>
              <w:spacing w:after="0"/>
              <w:rPr>
                <w:sz w:val="20"/>
                <w:szCs w:val="20"/>
                <w:color w:val="auto"/>
              </w:rPr>
            </w:pPr>
            <w:r>
              <w:rPr>
                <w:rFonts w:ascii="Arial" w:cs="Arial" w:eastAsia="Arial" w:hAnsi="Arial"/>
                <w:sz w:val="13"/>
                <w:szCs w:val="13"/>
                <w:b w:val="1"/>
                <w:bCs w:val="1"/>
                <w:color w:val="auto"/>
              </w:rPr>
              <w:t>2.80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1,060,023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551,8</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960" w:type="dxa"/>
            <w:vAlign w:val="bottom"/>
            <w:gridSpan w:val="4"/>
            <w:shd w:val="clear" w:color="auto" w:fill="CCEEFF"/>
          </w:tcPr>
          <w:p>
            <w:pPr>
              <w:ind w:left="280"/>
              <w:spacing w:after="0" w:line="97" w:lineRule="exact"/>
              <w:rPr>
                <w:sz w:val="20"/>
                <w:szCs w:val="20"/>
                <w:color w:val="auto"/>
              </w:rPr>
            </w:pPr>
            <w:r>
              <w:rPr>
                <w:rFonts w:ascii="Arial" w:cs="Arial" w:eastAsia="Arial" w:hAnsi="Arial"/>
                <w:sz w:val="11"/>
                <w:szCs w:val="11"/>
                <w:b w:val="1"/>
                <w:bCs w:val="1"/>
                <w:color w:val="auto"/>
              </w:rPr>
              <w:t>Intrinsic value on</w:t>
            </w:r>
          </w:p>
        </w:tc>
        <w:tc>
          <w:tcPr>
            <w:tcW w:w="4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88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12,143,007</w:t>
            </w:r>
          </w:p>
        </w:tc>
        <w:tc>
          <w:tcPr>
            <w:tcW w:w="12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7,529,7</w:t>
            </w:r>
          </w:p>
        </w:tc>
        <w:tc>
          <w:tcPr>
            <w:tcW w:w="0" w:type="dxa"/>
            <w:vAlign w:val="bottom"/>
          </w:tcPr>
          <w:p>
            <w:pPr>
              <w:spacing w:after="0"/>
              <w:rPr>
                <w:sz w:val="1"/>
                <w:szCs w:val="1"/>
                <w:color w:val="auto"/>
              </w:rPr>
            </w:pPr>
          </w:p>
        </w:tc>
      </w:tr>
      <w:tr>
        <w:trPr>
          <w:trHeight w:val="177"/>
        </w:trPr>
        <w:tc>
          <w:tcPr>
            <w:tcW w:w="3960" w:type="dxa"/>
            <w:vAlign w:val="bottom"/>
            <w:gridSpan w:val="4"/>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2021</w:t>
            </w: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80" w:type="dxa"/>
            <w:vAlign w:val="bottom"/>
            <w:gridSpan w:val="4"/>
            <w:vMerge w:val="continue"/>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December 31, 2020</w:t>
            </w:r>
          </w:p>
        </w:tc>
        <w:tc>
          <w:tcPr>
            <w:tcW w:w="1980" w:type="dxa"/>
            <w:vAlign w:val="bottom"/>
            <w:gridSpan w:val="3"/>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80" w:type="dxa"/>
            <w:vAlign w:val="bottom"/>
            <w:gridSpan w:val="3"/>
          </w:tcPr>
          <w:p>
            <w:pPr>
              <w:jc w:val="right"/>
              <w:spacing w:after="0"/>
              <w:rPr>
                <w:sz w:val="20"/>
                <w:szCs w:val="20"/>
                <w:color w:val="auto"/>
              </w:rPr>
            </w:pPr>
            <w:r>
              <w:rPr>
                <w:rFonts w:ascii="Arial" w:cs="Arial" w:eastAsia="Arial" w:hAnsi="Arial"/>
                <w:sz w:val="13"/>
                <w:szCs w:val="13"/>
                <w:color w:val="auto"/>
              </w:rPr>
              <w:t>$8.50 - 12.38</w:t>
            </w:r>
          </w:p>
        </w:tc>
        <w:tc>
          <w:tcPr>
            <w:tcW w:w="80" w:type="dxa"/>
            <w:vAlign w:val="bottom"/>
          </w:tcPr>
          <w:p>
            <w:pPr>
              <w:spacing w:after="0"/>
              <w:rPr>
                <w:sz w:val="13"/>
                <w:szCs w:val="13"/>
                <w:color w:val="auto"/>
              </w:rPr>
            </w:pPr>
          </w:p>
        </w:tc>
        <w:tc>
          <w:tcPr>
            <w:tcW w:w="4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11.03</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740,513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508,3</w:t>
            </w:r>
          </w:p>
        </w:tc>
        <w:tc>
          <w:tcPr>
            <w:tcW w:w="0" w:type="dxa"/>
            <w:vAlign w:val="bottom"/>
          </w:tcPr>
          <w:p>
            <w:pPr>
              <w:spacing w:after="0"/>
              <w:rPr>
                <w:sz w:val="1"/>
                <w:szCs w:val="1"/>
                <w:color w:val="auto"/>
              </w:rPr>
            </w:pPr>
          </w:p>
        </w:tc>
      </w:tr>
      <w:tr>
        <w:trPr>
          <w:trHeight w:val="181"/>
        </w:trPr>
        <w:tc>
          <w:tcPr>
            <w:tcW w:w="3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12.39 - 14.38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189,100</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7"/>
        </w:trPr>
        <w:tc>
          <w:tcPr>
            <w:tcW w:w="388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14.39 - 14.89</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239,800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98"/>
        </w:trPr>
        <w:tc>
          <w:tcPr>
            <w:tcW w:w="39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3"/>
                <w:szCs w:val="13"/>
                <w:color w:val="auto"/>
              </w:rPr>
              <w:t>Total outstanding options</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1,169,413</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gridSpan w:val="4"/>
            <w:vMerge w:val="restart"/>
          </w:tcPr>
          <w:p>
            <w:pPr>
              <w:ind w:left="280"/>
              <w:spacing w:after="0" w:line="129" w:lineRule="exact"/>
              <w:rPr>
                <w:sz w:val="20"/>
                <w:szCs w:val="20"/>
                <w:color w:val="auto"/>
              </w:rPr>
            </w:pPr>
            <w:r>
              <w:rPr>
                <w:rFonts w:ascii="Arial" w:cs="Arial" w:eastAsia="Arial" w:hAnsi="Arial"/>
                <w:sz w:val="13"/>
                <w:szCs w:val="13"/>
                <w:color w:val="auto"/>
              </w:rPr>
              <w:t>Intrinsic value on December</w:t>
            </w:r>
          </w:p>
        </w:tc>
        <w:tc>
          <w:tcPr>
            <w:tcW w:w="4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960" w:type="dxa"/>
            <w:vAlign w:val="bottom"/>
            <w:gridSpan w:val="4"/>
            <w:vMerge w:val="continue"/>
          </w:tcPr>
          <w:p>
            <w:pPr>
              <w:spacing w:after="0"/>
              <w:rPr>
                <w:sz w:val="7"/>
                <w:szCs w:val="7"/>
                <w:color w:val="auto"/>
              </w:rPr>
            </w:pPr>
          </w:p>
        </w:tc>
        <w:tc>
          <w:tcPr>
            <w:tcW w:w="4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880" w:type="dxa"/>
            <w:vAlign w:val="bottom"/>
            <w:gridSpan w:val="4"/>
            <w:vMerge w:val="restart"/>
          </w:tcPr>
          <w:p>
            <w:pPr>
              <w:jc w:val="right"/>
              <w:ind w:right="40"/>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2,164,598</w:t>
            </w:r>
          </w:p>
        </w:tc>
        <w:tc>
          <w:tcPr>
            <w:tcW w:w="12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1,620,8</w:t>
            </w:r>
          </w:p>
        </w:tc>
        <w:tc>
          <w:tcPr>
            <w:tcW w:w="0" w:type="dxa"/>
            <w:vAlign w:val="bottom"/>
          </w:tcPr>
          <w:p>
            <w:pPr>
              <w:spacing w:after="0"/>
              <w:rPr>
                <w:sz w:val="1"/>
                <w:szCs w:val="1"/>
                <w:color w:val="auto"/>
              </w:rPr>
            </w:pPr>
          </w:p>
        </w:tc>
      </w:tr>
      <w:tr>
        <w:trPr>
          <w:trHeight w:val="144"/>
        </w:trPr>
        <w:tc>
          <w:tcPr>
            <w:tcW w:w="1980" w:type="dxa"/>
            <w:vAlign w:val="bottom"/>
          </w:tcPr>
          <w:p>
            <w:pPr>
              <w:ind w:left="20"/>
              <w:spacing w:after="0" w:line="144" w:lineRule="exact"/>
              <w:rPr>
                <w:sz w:val="20"/>
                <w:szCs w:val="20"/>
                <w:color w:val="auto"/>
              </w:rPr>
            </w:pPr>
            <w:r>
              <w:rPr>
                <w:rFonts w:ascii="Arial" w:cs="Arial" w:eastAsia="Arial" w:hAnsi="Arial"/>
                <w:sz w:val="13"/>
                <w:szCs w:val="13"/>
                <w:color w:val="auto"/>
              </w:rPr>
              <w:t>31, 2020</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The aggregate intrinsic value as presented in the preceding tables is the difference between the estimated fair value of the stock as of December 31, 2021 and 2020, and the exercise price of the option multiplied by the number of options outstanding. Stock options with exercise prices greater than the estimated fair value of the stock are not included in this calculation.</w:t>
      </w:r>
    </w:p>
    <w:p>
      <w:pPr>
        <w:spacing w:after="0" w:line="171"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Total unrecognized compensation expense related to stock options to be recognized over the next five years was $2.9 million and $2.2 million at December 31, 2021 and 2020, respectively.</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intrinsic value of stock options exercised was $4.0 million and $887.7 thousand during the years ended December 31, 2021 and 2020, respectively.</w:t>
      </w:r>
    </w:p>
    <w:p>
      <w:pPr>
        <w:spacing w:after="0" w:line="186" w:lineRule="exact"/>
        <w:rPr>
          <w:sz w:val="20"/>
          <w:szCs w:val="20"/>
          <w:color w:val="auto"/>
        </w:rPr>
      </w:pPr>
    </w:p>
    <w:p>
      <w:pPr>
        <w:ind w:right="340" w:firstLine="268"/>
        <w:spacing w:after="0" w:line="258" w:lineRule="auto"/>
        <w:rPr>
          <w:sz w:val="20"/>
          <w:szCs w:val="20"/>
          <w:color w:val="auto"/>
        </w:rPr>
      </w:pPr>
      <w:r>
        <w:rPr>
          <w:rFonts w:ascii="Arial" w:cs="Arial" w:eastAsia="Arial" w:hAnsi="Arial"/>
          <w:sz w:val="15"/>
          <w:szCs w:val="15"/>
          <w:color w:val="auto"/>
        </w:rPr>
        <w:t>The weighted average fair value of options granted during 2021 and 2020 were estimated using the Black-Scholes option-pricing model with the following weighted average assumptions:</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7240" w:type="dxa"/>
            <w:vAlign w:val="bottom"/>
          </w:tcPr>
          <w:p>
            <w:pPr>
              <w:spacing w:after="0"/>
              <w:rPr>
                <w:sz w:val="15"/>
                <w:szCs w:val="15"/>
                <w:color w:val="auto"/>
              </w:rPr>
            </w:pPr>
          </w:p>
        </w:tc>
        <w:tc>
          <w:tcPr>
            <w:tcW w:w="1940" w:type="dxa"/>
            <w:vAlign w:val="bottom"/>
            <w:tcBorders>
              <w:bottom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5"/>
                <w:szCs w:val="15"/>
                <w:color w:val="auto"/>
              </w:rPr>
            </w:pPr>
          </w:p>
        </w:tc>
        <w:tc>
          <w:tcPr>
            <w:tcW w:w="1740" w:type="dxa"/>
            <w:vAlign w:val="bottom"/>
            <w:tcBorders>
              <w:bottom w:val="single" w:sz="8" w:color="auto"/>
            </w:tcBorders>
          </w:tcPr>
          <w:p>
            <w:pPr>
              <w:jc w:val="center"/>
              <w:ind w:left="373"/>
              <w:spacing w:after="0"/>
              <w:rPr>
                <w:sz w:val="20"/>
                <w:szCs w:val="20"/>
                <w:color w:val="auto"/>
              </w:rPr>
            </w:pPr>
            <w:r>
              <w:rPr>
                <w:rFonts w:ascii="Arial" w:cs="Arial" w:eastAsia="Arial" w:hAnsi="Arial"/>
                <w:sz w:val="13"/>
                <w:szCs w:val="13"/>
                <w:b w:val="1"/>
                <w:bCs w:val="1"/>
                <w:color w:val="auto"/>
              </w:rPr>
              <w:t>2020</w:t>
            </w:r>
          </w:p>
        </w:tc>
      </w:tr>
      <w:tr>
        <w:trPr>
          <w:trHeight w:val="172"/>
        </w:trPr>
        <w:tc>
          <w:tcPr>
            <w:tcW w:w="7240" w:type="dxa"/>
            <w:vAlign w:val="bottom"/>
          </w:tcPr>
          <w:p>
            <w:pPr>
              <w:ind w:left="280"/>
              <w:spacing w:after="0"/>
              <w:rPr>
                <w:sz w:val="20"/>
                <w:szCs w:val="20"/>
                <w:color w:val="auto"/>
              </w:rPr>
            </w:pPr>
            <w:r>
              <w:rPr>
                <w:rFonts w:ascii="Arial" w:cs="Arial" w:eastAsia="Arial" w:hAnsi="Arial"/>
                <w:sz w:val="13"/>
                <w:szCs w:val="13"/>
                <w:color w:val="auto"/>
              </w:rPr>
              <w:t>Dividend yield</w:t>
            </w:r>
          </w:p>
        </w:tc>
        <w:tc>
          <w:tcPr>
            <w:tcW w:w="1940" w:type="dxa"/>
            <w:vAlign w:val="bottom"/>
          </w:tcPr>
          <w:p>
            <w:pPr>
              <w:jc w:val="center"/>
              <w:ind w:left="213"/>
              <w:spacing w:after="0"/>
              <w:rPr>
                <w:sz w:val="20"/>
                <w:szCs w:val="20"/>
                <w:color w:val="auto"/>
              </w:rPr>
            </w:pPr>
            <w:r>
              <w:rPr>
                <w:rFonts w:ascii="Arial" w:cs="Arial" w:eastAsia="Arial" w:hAnsi="Arial"/>
                <w:sz w:val="13"/>
                <w:szCs w:val="13"/>
                <w:b w:val="1"/>
                <w:bCs w:val="1"/>
                <w:color w:val="auto"/>
              </w:rPr>
              <w:t>0.80%</w:t>
            </w:r>
          </w:p>
        </w:tc>
        <w:tc>
          <w:tcPr>
            <w:tcW w:w="160" w:type="dxa"/>
            <w:vAlign w:val="bottom"/>
          </w:tcPr>
          <w:p>
            <w:pPr>
              <w:spacing w:after="0"/>
              <w:rPr>
                <w:sz w:val="14"/>
                <w:szCs w:val="14"/>
                <w:color w:val="auto"/>
              </w:rPr>
            </w:pPr>
          </w:p>
        </w:tc>
        <w:tc>
          <w:tcPr>
            <w:tcW w:w="1740" w:type="dxa"/>
            <w:vAlign w:val="bottom"/>
          </w:tcPr>
          <w:p>
            <w:pPr>
              <w:jc w:val="center"/>
              <w:ind w:left="373"/>
              <w:spacing w:after="0"/>
              <w:rPr>
                <w:sz w:val="20"/>
                <w:szCs w:val="20"/>
                <w:color w:val="auto"/>
              </w:rPr>
            </w:pPr>
            <w:r>
              <w:rPr>
                <w:rFonts w:ascii="Arial" w:cs="Arial" w:eastAsia="Arial" w:hAnsi="Arial"/>
                <w:sz w:val="13"/>
                <w:szCs w:val="13"/>
                <w:color w:val="auto"/>
              </w:rPr>
              <w:t>0.00%</w:t>
            </w:r>
          </w:p>
        </w:tc>
      </w:tr>
      <w:tr>
        <w:trPr>
          <w:trHeight w:val="180"/>
        </w:trPr>
        <w:tc>
          <w:tcPr>
            <w:tcW w:w="7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Risk free interest rate</w:t>
            </w:r>
          </w:p>
        </w:tc>
        <w:tc>
          <w:tcPr>
            <w:tcW w:w="1940" w:type="dxa"/>
            <w:vAlign w:val="bottom"/>
            <w:shd w:val="clear" w:color="auto" w:fill="CCEEFF"/>
          </w:tcPr>
          <w:p>
            <w:pPr>
              <w:jc w:val="center"/>
              <w:ind w:left="213"/>
              <w:spacing w:after="0"/>
              <w:rPr>
                <w:sz w:val="20"/>
                <w:szCs w:val="20"/>
                <w:color w:val="auto"/>
              </w:rPr>
            </w:pPr>
            <w:r>
              <w:rPr>
                <w:rFonts w:ascii="Arial" w:cs="Arial" w:eastAsia="Arial" w:hAnsi="Arial"/>
                <w:sz w:val="13"/>
                <w:szCs w:val="13"/>
                <w:b w:val="1"/>
                <w:bCs w:val="1"/>
                <w:color w:val="auto"/>
              </w:rPr>
              <w:t>0.25%</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ind w:left="373"/>
              <w:spacing w:after="0"/>
              <w:rPr>
                <w:sz w:val="20"/>
                <w:szCs w:val="20"/>
                <w:color w:val="auto"/>
              </w:rPr>
            </w:pPr>
            <w:r>
              <w:rPr>
                <w:rFonts w:ascii="Arial" w:cs="Arial" w:eastAsia="Arial" w:hAnsi="Arial"/>
                <w:sz w:val="13"/>
                <w:szCs w:val="13"/>
                <w:color w:val="auto"/>
              </w:rPr>
              <w:t>0.43%</w:t>
            </w:r>
          </w:p>
        </w:tc>
      </w:tr>
      <w:tr>
        <w:trPr>
          <w:trHeight w:val="178"/>
        </w:trPr>
        <w:tc>
          <w:tcPr>
            <w:tcW w:w="7240" w:type="dxa"/>
            <w:vAlign w:val="bottom"/>
          </w:tcPr>
          <w:p>
            <w:pPr>
              <w:ind w:left="280"/>
              <w:spacing w:after="0"/>
              <w:rPr>
                <w:sz w:val="20"/>
                <w:szCs w:val="20"/>
                <w:color w:val="auto"/>
              </w:rPr>
            </w:pPr>
            <w:r>
              <w:rPr>
                <w:rFonts w:ascii="Arial" w:cs="Arial" w:eastAsia="Arial" w:hAnsi="Arial"/>
                <w:sz w:val="13"/>
                <w:szCs w:val="13"/>
                <w:color w:val="auto"/>
              </w:rPr>
              <w:t>Expected volatility</w:t>
            </w:r>
          </w:p>
        </w:tc>
        <w:tc>
          <w:tcPr>
            <w:tcW w:w="1940" w:type="dxa"/>
            <w:vAlign w:val="bottom"/>
          </w:tcPr>
          <w:p>
            <w:pPr>
              <w:jc w:val="center"/>
              <w:ind w:left="193"/>
              <w:spacing w:after="0"/>
              <w:rPr>
                <w:sz w:val="20"/>
                <w:szCs w:val="20"/>
                <w:color w:val="auto"/>
              </w:rPr>
            </w:pPr>
            <w:r>
              <w:rPr>
                <w:rFonts w:ascii="Arial" w:cs="Arial" w:eastAsia="Arial" w:hAnsi="Arial"/>
                <w:sz w:val="13"/>
                <w:szCs w:val="13"/>
                <w:b w:val="1"/>
                <w:bCs w:val="1"/>
                <w:color w:val="auto"/>
                <w:w w:val="99"/>
              </w:rPr>
              <w:t>60.97%</w:t>
            </w:r>
          </w:p>
        </w:tc>
        <w:tc>
          <w:tcPr>
            <w:tcW w:w="160" w:type="dxa"/>
            <w:vAlign w:val="bottom"/>
          </w:tcPr>
          <w:p>
            <w:pPr>
              <w:spacing w:after="0"/>
              <w:rPr>
                <w:sz w:val="15"/>
                <w:szCs w:val="15"/>
                <w:color w:val="auto"/>
              </w:rPr>
            </w:pPr>
          </w:p>
        </w:tc>
        <w:tc>
          <w:tcPr>
            <w:tcW w:w="1740" w:type="dxa"/>
            <w:vAlign w:val="bottom"/>
          </w:tcPr>
          <w:p>
            <w:pPr>
              <w:jc w:val="center"/>
              <w:ind w:left="373"/>
              <w:spacing w:after="0"/>
              <w:rPr>
                <w:sz w:val="20"/>
                <w:szCs w:val="20"/>
                <w:color w:val="auto"/>
              </w:rPr>
            </w:pPr>
            <w:r>
              <w:rPr>
                <w:rFonts w:ascii="Arial" w:cs="Arial" w:eastAsia="Arial" w:hAnsi="Arial"/>
                <w:sz w:val="13"/>
                <w:szCs w:val="13"/>
                <w:color w:val="auto"/>
              </w:rPr>
              <w:t>64.46%</w:t>
            </w:r>
          </w:p>
        </w:tc>
      </w:tr>
      <w:tr>
        <w:trPr>
          <w:trHeight w:val="180"/>
        </w:trPr>
        <w:tc>
          <w:tcPr>
            <w:tcW w:w="7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Expected life in years</w:t>
            </w:r>
          </w:p>
        </w:tc>
        <w:tc>
          <w:tcPr>
            <w:tcW w:w="1940" w:type="dxa"/>
            <w:vAlign w:val="bottom"/>
            <w:shd w:val="clear" w:color="auto" w:fill="CCEEFF"/>
          </w:tcPr>
          <w:p>
            <w:pPr>
              <w:jc w:val="center"/>
              <w:ind w:left="193"/>
              <w:spacing w:after="0"/>
              <w:rPr>
                <w:sz w:val="20"/>
                <w:szCs w:val="20"/>
                <w:color w:val="auto"/>
              </w:rPr>
            </w:pPr>
            <w:r>
              <w:rPr>
                <w:rFonts w:ascii="Arial" w:cs="Arial" w:eastAsia="Arial" w:hAnsi="Arial"/>
                <w:sz w:val="13"/>
                <w:szCs w:val="13"/>
                <w:b w:val="1"/>
                <w:bCs w:val="1"/>
                <w:color w:val="auto"/>
              </w:rPr>
              <w:t>5</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ind w:left="393"/>
              <w:spacing w:after="0"/>
              <w:rPr>
                <w:sz w:val="20"/>
                <w:szCs w:val="20"/>
                <w:color w:val="auto"/>
              </w:rPr>
            </w:pPr>
            <w:r>
              <w:rPr>
                <w:rFonts w:ascii="Arial" w:cs="Arial" w:eastAsia="Arial" w:hAnsi="Arial"/>
                <w:sz w:val="13"/>
                <w:szCs w:val="13"/>
                <w:color w:val="auto"/>
              </w:rPr>
              <w:t>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Restricted stock:</w:t>
      </w:r>
    </w:p>
    <w:p>
      <w:pPr>
        <w:spacing w:after="0" w:line="202" w:lineRule="exact"/>
        <w:rPr>
          <w:sz w:val="20"/>
          <w:szCs w:val="20"/>
          <w:color w:val="auto"/>
        </w:rPr>
      </w:pPr>
    </w:p>
    <w:p>
      <w:pPr>
        <w:jc w:val="both"/>
        <w:ind w:right="80" w:firstLine="268"/>
        <w:spacing w:after="0" w:line="252" w:lineRule="auto"/>
        <w:rPr>
          <w:sz w:val="20"/>
          <w:szCs w:val="20"/>
          <w:color w:val="auto"/>
        </w:rPr>
      </w:pPr>
      <w:r>
        <w:rPr>
          <w:rFonts w:ascii="Arial" w:cs="Arial" w:eastAsia="Arial" w:hAnsi="Arial"/>
          <w:sz w:val="15"/>
          <w:szCs w:val="15"/>
          <w:color w:val="auto"/>
        </w:rPr>
        <w:t>The Company from time-to-time also grants shares of restricted stock to key employees. These awards help align the interests of these employees with the interests of the stockholders of the Company by providing economic value directly related to increases in the value of the Company’s stock.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92" w:name="page93"/>
    <w:bookmarkEnd w:id="92"/>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15 - Stock-Based Compensation (continued)</w:t>
      </w:r>
    </w:p>
    <w:p>
      <w:pPr>
        <w:spacing w:after="0" w:line="204" w:lineRule="exact"/>
        <w:rPr>
          <w:sz w:val="20"/>
          <w:szCs w:val="20"/>
          <w:color w:val="auto"/>
        </w:rPr>
      </w:pPr>
    </w:p>
    <w:p>
      <w:pPr>
        <w:ind w:right="80" w:firstLine="268"/>
        <w:spacing w:after="0" w:line="258" w:lineRule="auto"/>
        <w:rPr>
          <w:sz w:val="20"/>
          <w:szCs w:val="20"/>
          <w:color w:val="auto"/>
        </w:rPr>
      </w:pPr>
      <w:r>
        <w:rPr>
          <w:rFonts w:ascii="Arial" w:cs="Arial" w:eastAsia="Arial" w:hAnsi="Arial"/>
          <w:sz w:val="15"/>
          <w:szCs w:val="15"/>
          <w:color w:val="auto"/>
        </w:rPr>
        <w:t>All restricted stock agreements are conditioned upon continued employment. Termination of employment prior to a vesting date, as described below, would terminate any interest in non-vested shares. All restricted shares will fully vest in the event of change in control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Nonvested restricted stock for the years ended December 31, 2021 and 2020 is summarized in the following table.</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1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restart"/>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gridSpan w:val="2"/>
          </w:tcPr>
          <w:p>
            <w:pPr>
              <w:ind w:left="20"/>
              <w:spacing w:after="0" w:line="114" w:lineRule="exact"/>
              <w:rPr>
                <w:sz w:val="20"/>
                <w:szCs w:val="20"/>
                <w:color w:val="auto"/>
              </w:rPr>
            </w:pPr>
            <w:r>
              <w:rPr>
                <w:rFonts w:ascii="Arial" w:cs="Arial" w:eastAsia="Arial" w:hAnsi="Arial"/>
                <w:sz w:val="12"/>
                <w:szCs w:val="12"/>
                <w:b w:val="1"/>
                <w:bCs w:val="1"/>
                <w:color w:val="auto"/>
              </w:rPr>
              <w:t>Weighted Average</w:t>
            </w:r>
          </w:p>
        </w:tc>
        <w:tc>
          <w:tcPr>
            <w:tcW w:w="1300" w:type="dxa"/>
            <w:vAlign w:val="bottom"/>
            <w:vMerge w:val="restart"/>
          </w:tcPr>
          <w:p>
            <w:pPr>
              <w:jc w:val="right"/>
              <w:ind w:right="280"/>
              <w:spacing w:after="0"/>
              <w:rPr>
                <w:sz w:val="20"/>
                <w:szCs w:val="20"/>
                <w:color w:val="auto"/>
              </w:rPr>
            </w:pPr>
            <w:r>
              <w:rPr>
                <w:rFonts w:ascii="Arial" w:cs="Arial" w:eastAsia="Arial" w:hAnsi="Arial"/>
                <w:sz w:val="12"/>
                <w:szCs w:val="12"/>
                <w:color w:val="auto"/>
              </w:rPr>
              <w:t>Shares</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jc w:val="right"/>
              <w:spacing w:after="0" w:line="114" w:lineRule="exact"/>
              <w:rPr>
                <w:sz w:val="20"/>
                <w:szCs w:val="20"/>
                <w:color w:val="auto"/>
              </w:rPr>
            </w:pPr>
            <w:r>
              <w:rPr>
                <w:rFonts w:ascii="Arial" w:cs="Arial" w:eastAsia="Arial" w:hAnsi="Arial"/>
                <w:sz w:val="12"/>
                <w:szCs w:val="12"/>
                <w:color w:val="auto"/>
                <w:w w:val="97"/>
              </w:rPr>
              <w:t>Weighted Average</w:t>
            </w:r>
          </w:p>
        </w:tc>
        <w:tc>
          <w:tcPr>
            <w:tcW w:w="0" w:type="dxa"/>
            <w:vAlign w:val="bottom"/>
          </w:tcPr>
          <w:p>
            <w:pPr>
              <w:spacing w:after="0"/>
              <w:rPr>
                <w:sz w:val="1"/>
                <w:szCs w:val="1"/>
                <w:color w:val="auto"/>
              </w:rPr>
            </w:pPr>
          </w:p>
        </w:tc>
      </w:tr>
      <w:tr>
        <w:trPr>
          <w:trHeight w:val="145"/>
        </w:trPr>
        <w:tc>
          <w:tcPr>
            <w:tcW w:w="50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Grant-Date Fair Value</w:t>
            </w:r>
          </w:p>
        </w:tc>
        <w:tc>
          <w:tcPr>
            <w:tcW w:w="16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Grant-Date Fair Value</w:t>
            </w: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Nonvested at beginning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30,713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13.46</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7"/>
        </w:trPr>
        <w:tc>
          <w:tcPr>
            <w:tcW w:w="5160" w:type="dxa"/>
            <w:vAlign w:val="bottom"/>
            <w:gridSpan w:val="2"/>
          </w:tcPr>
          <w:p>
            <w:pPr>
              <w:ind w:left="380"/>
              <w:spacing w:after="0"/>
              <w:rPr>
                <w:sz w:val="20"/>
                <w:szCs w:val="20"/>
                <w:color w:val="auto"/>
              </w:rPr>
            </w:pPr>
            <w:r>
              <w:rPr>
                <w:rFonts w:ascii="Arial" w:cs="Arial" w:eastAsia="Arial" w:hAnsi="Arial"/>
                <w:sz w:val="12"/>
                <w:szCs w:val="12"/>
                <w:color w:val="auto"/>
              </w:rPr>
              <w:t>Add: Granted</w:t>
            </w: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29,405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14.88</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16,713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7"/>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Less: 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(11,071)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13.38</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(5,500)</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7"/>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2"/>
                <w:szCs w:val="12"/>
                <w:color w:val="auto"/>
              </w:rPr>
              <w:t>Less: 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2"/>
                <w:szCs w:val="12"/>
                <w:color w:val="auto"/>
              </w:rPr>
              <w:t>Nonvested at 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49,047</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14.33</w:t>
            </w:r>
          </w:p>
        </w:tc>
        <w:tc>
          <w:tcPr>
            <w:tcW w:w="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30,713</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vesting schedule of restricted shares as of December 31, 2021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0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w:t>
            </w:r>
          </w:p>
        </w:tc>
        <w:tc>
          <w:tcPr>
            <w:tcW w:w="3180" w:type="dxa"/>
            <w:vAlign w:val="bottom"/>
          </w:tcPr>
          <w:p>
            <w:pPr>
              <w:jc w:val="right"/>
              <w:ind w:right="1293"/>
              <w:spacing w:after="0"/>
              <w:rPr>
                <w:sz w:val="20"/>
                <w:szCs w:val="20"/>
                <w:color w:val="auto"/>
              </w:rPr>
            </w:pPr>
            <w:r>
              <w:rPr>
                <w:rFonts w:ascii="Arial" w:cs="Arial" w:eastAsia="Arial" w:hAnsi="Arial"/>
                <w:sz w:val="13"/>
                <w:szCs w:val="13"/>
                <w:b w:val="1"/>
                <w:bCs w:val="1"/>
                <w:color w:val="auto"/>
              </w:rPr>
              <w:t>Shares</w:t>
            </w:r>
          </w:p>
        </w:tc>
      </w:tr>
      <w:tr>
        <w:trPr>
          <w:trHeight w:val="173"/>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120" w:type="dxa"/>
            <w:vAlign w:val="bottom"/>
            <w:tcBorders>
              <w:top w:val="single" w:sz="8" w:color="CCEEFF"/>
            </w:tcBorders>
            <w:shd w:val="clear" w:color="auto" w:fill="CCEEFF"/>
          </w:tcPr>
          <w:p>
            <w:pPr>
              <w:spacing w:after="0"/>
              <w:rPr>
                <w:sz w:val="15"/>
                <w:szCs w:val="15"/>
                <w:color w:val="auto"/>
              </w:rPr>
            </w:pPr>
          </w:p>
        </w:tc>
        <w:tc>
          <w:tcPr>
            <w:tcW w:w="3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20,874</w:t>
            </w:r>
          </w:p>
        </w:tc>
      </w:tr>
      <w:tr>
        <w:trPr>
          <w:trHeight w:val="177"/>
        </w:trPr>
        <w:tc>
          <w:tcPr>
            <w:tcW w:w="7980" w:type="dxa"/>
            <w:vAlign w:val="bottom"/>
          </w:tcPr>
          <w:p>
            <w:pPr>
              <w:ind w:left="20"/>
              <w:spacing w:after="0"/>
              <w:rPr>
                <w:sz w:val="20"/>
                <w:szCs w:val="20"/>
                <w:color w:val="auto"/>
              </w:rPr>
            </w:pPr>
            <w:r>
              <w:rPr>
                <w:rFonts w:ascii="Arial" w:cs="Arial" w:eastAsia="Arial" w:hAnsi="Arial"/>
                <w:sz w:val="13"/>
                <w:szCs w:val="13"/>
                <w:color w:val="auto"/>
              </w:rPr>
              <w:t>2023</w:t>
            </w:r>
          </w:p>
        </w:tc>
        <w:tc>
          <w:tcPr>
            <w:tcW w:w="120" w:type="dxa"/>
            <w:vAlign w:val="bottom"/>
          </w:tcPr>
          <w:p>
            <w:pPr>
              <w:spacing w:after="0"/>
              <w:rPr>
                <w:sz w:val="15"/>
                <w:szCs w:val="15"/>
                <w:color w:val="auto"/>
              </w:rPr>
            </w:pPr>
          </w:p>
        </w:tc>
        <w:tc>
          <w:tcPr>
            <w:tcW w:w="3180" w:type="dxa"/>
            <w:vAlign w:val="bottom"/>
          </w:tcPr>
          <w:p>
            <w:pPr>
              <w:jc w:val="right"/>
              <w:spacing w:after="0"/>
              <w:rPr>
                <w:sz w:val="20"/>
                <w:szCs w:val="20"/>
                <w:color w:val="auto"/>
              </w:rPr>
            </w:pPr>
            <w:r>
              <w:rPr>
                <w:rFonts w:ascii="Arial" w:cs="Arial" w:eastAsia="Arial" w:hAnsi="Arial"/>
                <w:sz w:val="13"/>
                <w:szCs w:val="13"/>
                <w:color w:val="auto"/>
              </w:rPr>
              <w:t>18,374</w:t>
            </w:r>
          </w:p>
        </w:tc>
      </w:tr>
      <w:tr>
        <w:trPr>
          <w:trHeight w:val="17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20" w:type="dxa"/>
            <w:vAlign w:val="bottom"/>
            <w:shd w:val="clear" w:color="auto" w:fill="CCEEFF"/>
          </w:tcPr>
          <w:p>
            <w:pPr>
              <w:spacing w:after="0"/>
              <w:rPr>
                <w:sz w:val="15"/>
                <w:szCs w:val="15"/>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9,799</w:t>
            </w:r>
          </w:p>
        </w:tc>
      </w:tr>
      <w:tr>
        <w:trPr>
          <w:trHeight w:val="170"/>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49,047</w:t>
            </w:r>
          </w:p>
        </w:tc>
      </w:tr>
      <w:tr>
        <w:trPr>
          <w:trHeight w:val="20"/>
        </w:trPr>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right="80" w:firstLine="268"/>
        <w:spacing w:after="0" w:line="258" w:lineRule="auto"/>
        <w:rPr>
          <w:sz w:val="20"/>
          <w:szCs w:val="20"/>
          <w:color w:val="auto"/>
        </w:rPr>
      </w:pPr>
      <w:r>
        <w:rPr>
          <w:rFonts w:ascii="Arial" w:cs="Arial" w:eastAsia="Arial" w:hAnsi="Arial"/>
          <w:sz w:val="15"/>
          <w:szCs w:val="15"/>
          <w:color w:val="auto"/>
        </w:rPr>
        <w:t>There was $189 thousand and $121 thousand of total unrecognized compensation expense related to nonvested restricted stock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93" w:name="page94"/>
    <w:bookmarkEnd w:id="93"/>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16 - Parent Company Financial Information</w:t>
      </w:r>
    </w:p>
    <w:p>
      <w:pPr>
        <w:spacing w:after="0" w:line="204" w:lineRule="exact"/>
        <w:rPr>
          <w:sz w:val="20"/>
          <w:szCs w:val="20"/>
          <w:color w:val="auto"/>
        </w:rPr>
      </w:pPr>
    </w:p>
    <w:p>
      <w:pPr>
        <w:ind w:right="80" w:firstLine="268"/>
        <w:spacing w:after="0" w:line="258" w:lineRule="auto"/>
        <w:rPr>
          <w:sz w:val="20"/>
          <w:szCs w:val="20"/>
          <w:color w:val="auto"/>
        </w:rPr>
      </w:pPr>
      <w:r>
        <w:rPr>
          <w:rFonts w:ascii="Arial" w:cs="Arial" w:eastAsia="Arial" w:hAnsi="Arial"/>
          <w:sz w:val="15"/>
          <w:szCs w:val="15"/>
          <w:color w:val="auto"/>
        </w:rPr>
        <w:t>The balance sheets as of December 31, 2021 and 2020 and statements of income and cash flows for the years then ended, for Capital Bancorp, Inc. (Parent only) are presented below.</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Parent Company Only Balance Sheets</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6900" w:type="dxa"/>
            <w:vAlign w:val="bottom"/>
            <w:gridSpan w:val="2"/>
          </w:tcPr>
          <w:p>
            <w:pPr>
              <w:ind w:left="280"/>
              <w:spacing w:after="0"/>
              <w:rPr>
                <w:sz w:val="20"/>
                <w:szCs w:val="20"/>
                <w:color w:val="auto"/>
              </w:rPr>
            </w:pPr>
            <w:r>
              <w:rPr>
                <w:rFonts w:ascii="Arial" w:cs="Arial" w:eastAsia="Arial" w:hAnsi="Arial"/>
                <w:sz w:val="9"/>
                <w:szCs w:val="9"/>
                <w:color w:val="auto"/>
              </w:rPr>
              <w:t>(in thousands)</w:t>
            </w:r>
          </w:p>
        </w:tc>
        <w:tc>
          <w:tcPr>
            <w:tcW w:w="6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1"/>
        </w:trPr>
        <w:tc>
          <w:tcPr>
            <w:tcW w:w="6900" w:type="dxa"/>
            <w:vAlign w:val="bottom"/>
            <w:gridSpan w:val="2"/>
          </w:tcPr>
          <w:p>
            <w:pPr>
              <w:ind w:left="280"/>
              <w:spacing w:after="0"/>
              <w:rPr>
                <w:sz w:val="20"/>
                <w:szCs w:val="20"/>
                <w:color w:val="auto"/>
              </w:rPr>
            </w:pPr>
            <w:r>
              <w:rPr>
                <w:rFonts w:ascii="Arial" w:cs="Arial" w:eastAsia="Arial" w:hAnsi="Arial"/>
                <w:sz w:val="13"/>
                <w:szCs w:val="13"/>
                <w:b w:val="1"/>
                <w:bCs w:val="1"/>
                <w:color w:val="auto"/>
              </w:rPr>
              <w:t>Assets</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9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Cash and cash equivalents</w:t>
            </w:r>
          </w:p>
        </w:tc>
        <w:tc>
          <w:tcPr>
            <w:tcW w:w="680" w:type="dxa"/>
            <w:vAlign w:val="bottom"/>
            <w:shd w:val="clear" w:color="auto" w:fill="CCEEFF"/>
          </w:tcPr>
          <w:p>
            <w:pPr>
              <w:jc w:val="right"/>
              <w:ind w:right="253"/>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630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8"/>
        </w:trPr>
        <w:tc>
          <w:tcPr>
            <w:tcW w:w="6900" w:type="dxa"/>
            <w:vAlign w:val="bottom"/>
            <w:gridSpan w:val="2"/>
          </w:tcPr>
          <w:p>
            <w:pPr>
              <w:ind w:left="380"/>
              <w:spacing w:after="0"/>
              <w:rPr>
                <w:sz w:val="20"/>
                <w:szCs w:val="20"/>
                <w:color w:val="auto"/>
              </w:rPr>
            </w:pPr>
            <w:r>
              <w:rPr>
                <w:rFonts w:ascii="Arial" w:cs="Arial" w:eastAsia="Arial" w:hAnsi="Arial"/>
                <w:sz w:val="13"/>
                <w:szCs w:val="13"/>
                <w:color w:val="auto"/>
              </w:rPr>
              <w:t>Investment in Bank</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168,308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137,2</w:t>
            </w: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Investment in Church Street Capital</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4,607</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8"/>
        </w:trPr>
        <w:tc>
          <w:tcPr>
            <w:tcW w:w="6900" w:type="dxa"/>
            <w:vAlign w:val="bottom"/>
            <w:gridSpan w:val="2"/>
          </w:tcPr>
          <w:p>
            <w:pPr>
              <w:ind w:left="380"/>
              <w:spacing w:after="0"/>
              <w:rPr>
                <w:sz w:val="20"/>
                <w:szCs w:val="20"/>
                <w:color w:val="auto"/>
              </w:rPr>
            </w:pPr>
            <w:r>
              <w:rPr>
                <w:rFonts w:ascii="Arial" w:cs="Arial" w:eastAsia="Arial" w:hAnsi="Arial"/>
                <w:sz w:val="13"/>
                <w:szCs w:val="13"/>
                <w:color w:val="auto"/>
              </w:rPr>
              <w:t>Investment in Trust</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62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900" w:type="dxa"/>
            <w:vAlign w:val="bottom"/>
            <w:gridSpan w:val="2"/>
            <w:shd w:val="clear" w:color="auto" w:fill="CCEEFF"/>
          </w:tcPr>
          <w:p>
            <w:pPr>
              <w:ind w:left="380"/>
              <w:spacing w:after="0" w:line="148" w:lineRule="exact"/>
              <w:rPr>
                <w:sz w:val="20"/>
                <w:szCs w:val="20"/>
                <w:color w:val="auto"/>
              </w:rPr>
            </w:pPr>
            <w:r>
              <w:rPr>
                <w:rFonts w:ascii="Arial" w:cs="Arial" w:eastAsia="Arial" w:hAnsi="Arial"/>
                <w:sz w:val="13"/>
                <w:szCs w:val="13"/>
                <w:color w:val="auto"/>
              </w:rPr>
              <w:t>Loans receivable, net of allowance for loan losses of $328 and $258 at December 31, 2021 and 2020,</w:t>
            </w:r>
          </w:p>
        </w:tc>
        <w:tc>
          <w:tcPr>
            <w:tcW w:w="68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36,198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respectively</w:t>
            </w:r>
          </w:p>
        </w:tc>
        <w:tc>
          <w:tcPr>
            <w:tcW w:w="68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78"/>
        </w:trPr>
        <w:tc>
          <w:tcPr>
            <w:tcW w:w="6900" w:type="dxa"/>
            <w:vAlign w:val="bottom"/>
            <w:gridSpan w:val="2"/>
          </w:tcPr>
          <w:p>
            <w:pPr>
              <w:ind w:left="380"/>
              <w:spacing w:after="0"/>
              <w:rPr>
                <w:sz w:val="20"/>
                <w:szCs w:val="20"/>
                <w:color w:val="auto"/>
              </w:rPr>
            </w:pPr>
            <w:r>
              <w:rPr>
                <w:rFonts w:ascii="Arial" w:cs="Arial" w:eastAsia="Arial" w:hAnsi="Arial"/>
                <w:sz w:val="13"/>
                <w:szCs w:val="13"/>
                <w:color w:val="auto"/>
              </w:rPr>
              <w:t>Accrued interest receivable</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217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Deferred income taxes</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3"/>
                <w:szCs w:val="13"/>
                <w:color w:val="auto"/>
              </w:rPr>
              <w:t>Other assets</w:t>
            </w:r>
          </w:p>
        </w:tc>
        <w:tc>
          <w:tcPr>
            <w:tcW w:w="6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3"/>
                <w:szCs w:val="13"/>
                <w:color w:val="auto"/>
              </w:rPr>
              <w:t>Total assets</w:t>
            </w:r>
          </w:p>
        </w:tc>
        <w:tc>
          <w:tcPr>
            <w:tcW w:w="6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210,136</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b w:val="1"/>
                <w:bCs w:val="1"/>
                <w:color w:val="auto"/>
              </w:rPr>
              <w:t>Liabilities and Stockholders’ Equity</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900" w:type="dxa"/>
            <w:vAlign w:val="bottom"/>
            <w:gridSpan w:val="2"/>
          </w:tcPr>
          <w:p>
            <w:pPr>
              <w:ind w:left="380"/>
              <w:spacing w:after="0"/>
              <w:rPr>
                <w:sz w:val="20"/>
                <w:szCs w:val="20"/>
                <w:color w:val="auto"/>
              </w:rPr>
            </w:pPr>
            <w:r>
              <w:rPr>
                <w:rFonts w:ascii="Arial" w:cs="Arial" w:eastAsia="Arial" w:hAnsi="Arial"/>
                <w:sz w:val="13"/>
                <w:szCs w:val="13"/>
                <w:color w:val="auto"/>
              </w:rPr>
              <w:t>Borrowed funds</w:t>
            </w:r>
          </w:p>
        </w:tc>
        <w:tc>
          <w:tcPr>
            <w:tcW w:w="680" w:type="dxa"/>
            <w:vAlign w:val="bottom"/>
          </w:tcPr>
          <w:p>
            <w:pPr>
              <w:jc w:val="right"/>
              <w:ind w:right="253"/>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12,062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Accrued interest payable</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3"/>
                <w:szCs w:val="13"/>
                <w:color w:val="auto"/>
              </w:rPr>
              <w:t>Other liabilities</w:t>
            </w:r>
          </w:p>
        </w:tc>
        <w:tc>
          <w:tcPr>
            <w:tcW w:w="6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690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Total liabilities</w:t>
            </w:r>
          </w:p>
        </w:tc>
        <w:tc>
          <w:tcPr>
            <w:tcW w:w="6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12,233</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8"/>
        </w:trPr>
        <w:tc>
          <w:tcPr>
            <w:tcW w:w="6900" w:type="dxa"/>
            <w:vAlign w:val="bottom"/>
            <w:gridSpan w:val="2"/>
          </w:tcPr>
          <w:p>
            <w:pPr>
              <w:ind w:left="280"/>
              <w:spacing w:after="0"/>
              <w:rPr>
                <w:sz w:val="20"/>
                <w:szCs w:val="20"/>
                <w:color w:val="auto"/>
              </w:rPr>
            </w:pPr>
            <w:r>
              <w:rPr>
                <w:rFonts w:ascii="Arial" w:cs="Arial" w:eastAsia="Arial" w:hAnsi="Arial"/>
                <w:sz w:val="13"/>
                <w:szCs w:val="13"/>
                <w:b w:val="1"/>
                <w:bCs w:val="1"/>
                <w:color w:val="auto"/>
              </w:rPr>
              <w:t>Stockholders’ equity</w:t>
            </w:r>
          </w:p>
        </w:tc>
        <w:tc>
          <w:tcPr>
            <w:tcW w:w="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Common stock</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8"/>
        </w:trPr>
        <w:tc>
          <w:tcPr>
            <w:tcW w:w="6900" w:type="dxa"/>
            <w:vAlign w:val="bottom"/>
            <w:gridSpan w:val="2"/>
          </w:tcPr>
          <w:p>
            <w:pPr>
              <w:ind w:left="380"/>
              <w:spacing w:after="0"/>
              <w:rPr>
                <w:sz w:val="20"/>
                <w:szCs w:val="20"/>
                <w:color w:val="auto"/>
              </w:rPr>
            </w:pPr>
            <w:r>
              <w:rPr>
                <w:rFonts w:ascii="Arial" w:cs="Arial" w:eastAsia="Arial" w:hAnsi="Arial"/>
                <w:sz w:val="13"/>
                <w:szCs w:val="13"/>
                <w:color w:val="auto"/>
              </w:rPr>
              <w:t>Additional paid-in capital</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54,306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Retained earnings</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144,533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w:t>
            </w:r>
          </w:p>
        </w:tc>
        <w:tc>
          <w:tcPr>
            <w:tcW w:w="0" w:type="dxa"/>
            <w:vAlign w:val="bottom"/>
          </w:tcPr>
          <w:p>
            <w:pPr>
              <w:spacing w:after="0"/>
              <w:rPr>
                <w:sz w:val="1"/>
                <w:szCs w:val="1"/>
                <w:color w:val="auto"/>
              </w:rPr>
            </w:pPr>
          </w:p>
        </w:tc>
      </w:tr>
      <w:tr>
        <w:trPr>
          <w:trHeight w:val="178"/>
        </w:trPr>
        <w:tc>
          <w:tcPr>
            <w:tcW w:w="6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3"/>
                <w:szCs w:val="13"/>
                <w:color w:val="auto"/>
              </w:rPr>
              <w:t>Accumulated other comprehensive income (loss)</w:t>
            </w: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(1,076)</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0"/>
        </w:trPr>
        <w:tc>
          <w:tcPr>
            <w:tcW w:w="690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Total stockholders’ equity</w:t>
            </w:r>
          </w:p>
        </w:tc>
        <w:tc>
          <w:tcPr>
            <w:tcW w:w="6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197,903</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0" w:type="dxa"/>
            <w:vAlign w:val="bottom"/>
          </w:tcPr>
          <w:p>
            <w:pPr>
              <w:spacing w:after="0"/>
              <w:rPr>
                <w:sz w:val="1"/>
                <w:szCs w:val="1"/>
                <w:color w:val="auto"/>
              </w:rPr>
            </w:pPr>
          </w:p>
        </w:tc>
      </w:tr>
      <w:tr>
        <w:trPr>
          <w:trHeight w:val="171"/>
        </w:trPr>
        <w:tc>
          <w:tcPr>
            <w:tcW w:w="6900" w:type="dxa"/>
            <w:vAlign w:val="bottom"/>
            <w:gridSpan w:val="2"/>
          </w:tcPr>
          <w:p>
            <w:pPr>
              <w:ind w:left="820"/>
              <w:spacing w:after="0"/>
              <w:rPr>
                <w:sz w:val="20"/>
                <w:szCs w:val="20"/>
                <w:color w:val="auto"/>
              </w:rPr>
            </w:pPr>
            <w:r>
              <w:rPr>
                <w:rFonts w:ascii="Arial" w:cs="Arial" w:eastAsia="Arial" w:hAnsi="Arial"/>
                <w:sz w:val="13"/>
                <w:szCs w:val="13"/>
                <w:color w:val="auto"/>
              </w:rPr>
              <w:t>Total liabilities and stockholders’ equity</w:t>
            </w: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210,136</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171,6</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Parent Company Only Statements of Income</w:t>
            </w: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9"/>
                <w:szCs w:val="9"/>
                <w:color w:val="auto"/>
              </w:rPr>
              <w:t>(in thousands)</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Interest and dividend income</w:t>
            </w:r>
          </w:p>
        </w:tc>
        <w:tc>
          <w:tcPr>
            <w:tcW w:w="680" w:type="dxa"/>
            <w:vAlign w:val="bottom"/>
            <w:shd w:val="clear" w:color="auto" w:fill="CCEEFF"/>
          </w:tcPr>
          <w:p>
            <w:pPr>
              <w:jc w:val="right"/>
              <w:ind w:right="293"/>
              <w:spacing w:after="0"/>
              <w:rPr>
                <w:sz w:val="20"/>
                <w:szCs w:val="20"/>
                <w:color w:val="auto"/>
              </w:rPr>
            </w:pPr>
            <w:r>
              <w:rPr>
                <w:rFonts w:ascii="Arial" w:cs="Arial" w:eastAsia="Arial" w:hAnsi="Arial"/>
                <w:sz w:val="13"/>
                <w:szCs w:val="13"/>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1,663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8"/>
        </w:trPr>
        <w:tc>
          <w:tcPr>
            <w:tcW w:w="6900" w:type="dxa"/>
            <w:vAlign w:val="bottom"/>
            <w:gridSpan w:val="2"/>
          </w:tcPr>
          <w:p>
            <w:pPr>
              <w:ind w:left="280"/>
              <w:spacing w:after="0"/>
              <w:rPr>
                <w:sz w:val="20"/>
                <w:szCs w:val="20"/>
                <w:color w:val="auto"/>
              </w:rPr>
            </w:pPr>
            <w:r>
              <w:rPr>
                <w:rFonts w:ascii="Arial" w:cs="Arial" w:eastAsia="Arial" w:hAnsi="Arial"/>
                <w:sz w:val="13"/>
                <w:szCs w:val="13"/>
                <w:color w:val="auto"/>
              </w:rPr>
              <w:t>Dividend from Bank</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6,500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1"/>
        </w:trPr>
        <w:tc>
          <w:tcPr>
            <w:tcW w:w="68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3"/>
                <w:szCs w:val="13"/>
                <w:b w:val="1"/>
                <w:bCs w:val="1"/>
                <w:color w:val="auto"/>
              </w:rPr>
              <w:t>Total interest and dividend revenue</w:t>
            </w:r>
          </w:p>
        </w:tc>
        <w:tc>
          <w:tcPr>
            <w:tcW w:w="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8,163</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78"/>
        </w:trPr>
        <w:tc>
          <w:tcPr>
            <w:tcW w:w="6900" w:type="dxa"/>
            <w:vAlign w:val="bottom"/>
            <w:gridSpan w:val="2"/>
          </w:tcPr>
          <w:p>
            <w:pPr>
              <w:ind w:left="280"/>
              <w:spacing w:after="0"/>
              <w:rPr>
                <w:sz w:val="20"/>
                <w:szCs w:val="20"/>
                <w:color w:val="auto"/>
              </w:rPr>
            </w:pPr>
            <w:r>
              <w:rPr>
                <w:rFonts w:ascii="Arial" w:cs="Arial" w:eastAsia="Arial" w:hAnsi="Arial"/>
                <w:sz w:val="13"/>
                <w:szCs w:val="13"/>
                <w:color w:val="auto"/>
              </w:rPr>
              <w:t>Interest expense</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542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68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3"/>
                <w:szCs w:val="13"/>
                <w:b w:val="1"/>
                <w:bCs w:val="1"/>
                <w:color w:val="auto"/>
              </w:rPr>
              <w:t>Net interest income</w:t>
            </w:r>
          </w:p>
        </w:tc>
        <w:tc>
          <w:tcPr>
            <w:tcW w:w="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7,621</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8"/>
        </w:trPr>
        <w:tc>
          <w:tcPr>
            <w:tcW w:w="6900" w:type="dxa"/>
            <w:vAlign w:val="bottom"/>
            <w:gridSpan w:val="2"/>
          </w:tcPr>
          <w:p>
            <w:pPr>
              <w:ind w:left="280"/>
              <w:spacing w:after="0"/>
              <w:rPr>
                <w:sz w:val="20"/>
                <w:szCs w:val="20"/>
                <w:color w:val="auto"/>
              </w:rPr>
            </w:pPr>
            <w:r>
              <w:rPr>
                <w:rFonts w:ascii="Arial" w:cs="Arial" w:eastAsia="Arial" w:hAnsi="Arial"/>
                <w:sz w:val="13"/>
                <w:szCs w:val="13"/>
                <w:color w:val="auto"/>
              </w:rPr>
              <w:t>Provision for loan losses</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70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8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3"/>
                <w:szCs w:val="13"/>
                <w:b w:val="1"/>
                <w:bCs w:val="1"/>
                <w:color w:val="auto"/>
              </w:rPr>
              <w:t>Net interest income after provision for loan losses</w:t>
            </w:r>
          </w:p>
        </w:tc>
        <w:tc>
          <w:tcPr>
            <w:tcW w:w="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7,551</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8"/>
        </w:trPr>
        <w:tc>
          <w:tcPr>
            <w:tcW w:w="6900" w:type="dxa"/>
            <w:vAlign w:val="bottom"/>
            <w:gridSpan w:val="2"/>
          </w:tcPr>
          <w:p>
            <w:pPr>
              <w:ind w:left="280"/>
              <w:spacing w:after="0"/>
              <w:rPr>
                <w:sz w:val="20"/>
                <w:szCs w:val="20"/>
                <w:color w:val="auto"/>
              </w:rPr>
            </w:pPr>
            <w:r>
              <w:rPr>
                <w:rFonts w:ascii="Arial" w:cs="Arial" w:eastAsia="Arial" w:hAnsi="Arial"/>
                <w:sz w:val="13"/>
                <w:szCs w:val="13"/>
                <w:color w:val="auto"/>
              </w:rPr>
              <w:t>Noninterest income</w:t>
            </w:r>
          </w:p>
        </w:tc>
        <w:tc>
          <w:tcPr>
            <w:tcW w:w="6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Noninterest expenses</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6860" w:type="dxa"/>
            <w:vAlign w:val="bottom"/>
          </w:tcPr>
          <w:p>
            <w:pPr>
              <w:ind w:left="380"/>
              <w:spacing w:after="0"/>
              <w:rPr>
                <w:sz w:val="20"/>
                <w:szCs w:val="20"/>
                <w:color w:val="auto"/>
              </w:rPr>
            </w:pPr>
            <w:r>
              <w:rPr>
                <w:rFonts w:ascii="Arial" w:cs="Arial" w:eastAsia="Arial" w:hAnsi="Arial"/>
                <w:sz w:val="13"/>
                <w:szCs w:val="13"/>
                <w:b w:val="1"/>
                <w:bCs w:val="1"/>
                <w:color w:val="auto"/>
              </w:rPr>
              <w:t>Income before income taxes</w:t>
            </w:r>
          </w:p>
        </w:tc>
        <w:tc>
          <w:tcPr>
            <w:tcW w:w="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7,160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9"/>
        </w:trPr>
        <w:tc>
          <w:tcPr>
            <w:tcW w:w="6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 expense</w:t>
            </w: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900" w:type="dxa"/>
            <w:vAlign w:val="bottom"/>
            <w:gridSpan w:val="2"/>
          </w:tcPr>
          <w:p>
            <w:pPr>
              <w:ind w:left="280"/>
              <w:spacing w:after="0"/>
              <w:rPr>
                <w:sz w:val="20"/>
                <w:szCs w:val="20"/>
                <w:color w:val="auto"/>
              </w:rPr>
            </w:pPr>
            <w:r>
              <w:rPr>
                <w:rFonts w:ascii="Arial" w:cs="Arial" w:eastAsia="Arial" w:hAnsi="Arial"/>
                <w:sz w:val="13"/>
                <w:szCs w:val="13"/>
                <w:color w:val="auto"/>
              </w:rPr>
              <w:t>Income before undistributed net income of subsidiaries</w:t>
            </w:r>
          </w:p>
        </w:tc>
        <w:tc>
          <w:tcPr>
            <w:tcW w:w="6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7,022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9"/>
        </w:trPr>
        <w:tc>
          <w:tcPr>
            <w:tcW w:w="6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Undistributed net income of subsidiaries</w:t>
            </w: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32,956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71"/>
        </w:trPr>
        <w:tc>
          <w:tcPr>
            <w:tcW w:w="6900" w:type="dxa"/>
            <w:vAlign w:val="bottom"/>
            <w:gridSpan w:val="2"/>
          </w:tcPr>
          <w:p>
            <w:pPr>
              <w:ind w:left="380"/>
              <w:spacing w:after="0"/>
              <w:rPr>
                <w:sz w:val="20"/>
                <w:szCs w:val="20"/>
                <w:color w:val="auto"/>
              </w:rPr>
            </w:pPr>
            <w:r>
              <w:rPr>
                <w:rFonts w:ascii="Arial" w:cs="Arial" w:eastAsia="Arial" w:hAnsi="Arial"/>
                <w:sz w:val="13"/>
                <w:szCs w:val="13"/>
                <w:b w:val="1"/>
                <w:bCs w:val="1"/>
                <w:color w:val="auto"/>
              </w:rPr>
              <w:t>Net income</w:t>
            </w:r>
          </w:p>
        </w:tc>
        <w:tc>
          <w:tcPr>
            <w:tcW w:w="680" w:type="dxa"/>
            <w:vAlign w:val="bottom"/>
          </w:tcPr>
          <w:p>
            <w:pPr>
              <w:jc w:val="right"/>
              <w:ind w:right="293"/>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39,978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94" w:name="page95"/>
    <w:bookmarkEnd w:id="94"/>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16 - Parent Company Financial Information (continued)</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Parent Company Only Statements of Cash Flows</w:t>
      </w:r>
    </w:p>
    <w:p>
      <w:pPr>
        <w:spacing w:after="0" w:line="30"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9"/>
                <w:szCs w:val="9"/>
                <w:color w:val="auto"/>
              </w:rPr>
              <w:t>(in thousands)</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r>
      <w:tr>
        <w:trPr>
          <w:trHeight w:val="161"/>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Cash flows from operating activities</w:t>
            </w: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8"/>
        </w:trPr>
        <w:tc>
          <w:tcPr>
            <w:tcW w:w="790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580" w:type="dxa"/>
            <w:vAlign w:val="bottom"/>
          </w:tcPr>
          <w:p>
            <w:pPr>
              <w:jc w:val="right"/>
              <w:ind w:right="153"/>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39,978</w:t>
            </w:r>
          </w:p>
        </w:tc>
        <w:tc>
          <w:tcPr>
            <w:tcW w:w="140" w:type="dxa"/>
            <w:vAlign w:val="bottom"/>
          </w:tcPr>
          <w:p>
            <w:pPr>
              <w:spacing w:after="0"/>
              <w:rPr>
                <w:sz w:val="15"/>
                <w:szCs w:val="15"/>
                <w:color w:val="auto"/>
              </w:rPr>
            </w:pPr>
          </w:p>
        </w:tc>
        <w:tc>
          <w:tcPr>
            <w:tcW w:w="5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25,8</w:t>
            </w:r>
          </w:p>
        </w:tc>
      </w:tr>
      <w:tr>
        <w:trPr>
          <w:trHeight w:val="180"/>
        </w:trPr>
        <w:tc>
          <w:tcPr>
            <w:tcW w:w="7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8"/>
        </w:trPr>
        <w:tc>
          <w:tcPr>
            <w:tcW w:w="7900" w:type="dxa"/>
            <w:vAlign w:val="bottom"/>
          </w:tcPr>
          <w:p>
            <w:pPr>
              <w:ind w:left="440"/>
              <w:spacing w:after="0"/>
              <w:rPr>
                <w:sz w:val="20"/>
                <w:szCs w:val="20"/>
                <w:color w:val="auto"/>
              </w:rPr>
            </w:pPr>
            <w:r>
              <w:rPr>
                <w:rFonts w:ascii="Arial" w:cs="Arial" w:eastAsia="Arial" w:hAnsi="Arial"/>
                <w:sz w:val="13"/>
                <w:szCs w:val="13"/>
                <w:color w:val="auto"/>
              </w:rPr>
              <w:t>Provision for loan losses</w:t>
            </w: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70</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79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Undistributed net income of subsidiaries</w:t>
            </w: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(32,956)</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r>
      <w:tr>
        <w:trPr>
          <w:trHeight w:val="178"/>
        </w:trPr>
        <w:tc>
          <w:tcPr>
            <w:tcW w:w="7900" w:type="dxa"/>
            <w:vAlign w:val="bottom"/>
          </w:tcPr>
          <w:p>
            <w:pPr>
              <w:ind w:left="440"/>
              <w:spacing w:after="0"/>
              <w:rPr>
                <w:sz w:val="20"/>
                <w:szCs w:val="20"/>
                <w:color w:val="auto"/>
              </w:rPr>
            </w:pPr>
            <w:r>
              <w:rPr>
                <w:rFonts w:ascii="Arial" w:cs="Arial" w:eastAsia="Arial" w:hAnsi="Arial"/>
                <w:sz w:val="13"/>
                <w:szCs w:val="13"/>
                <w:color w:val="auto"/>
              </w:rPr>
              <w:t>Decrease in receivable from Bank</w:t>
            </w:r>
          </w:p>
        </w:tc>
        <w:tc>
          <w:tcPr>
            <w:tcW w:w="5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79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Stock-based compensation expense</w:t>
            </w: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1,347</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78"/>
        </w:trPr>
        <w:tc>
          <w:tcPr>
            <w:tcW w:w="7900" w:type="dxa"/>
            <w:vAlign w:val="bottom"/>
          </w:tcPr>
          <w:p>
            <w:pPr>
              <w:ind w:left="440"/>
              <w:spacing w:after="0"/>
              <w:rPr>
                <w:sz w:val="20"/>
                <w:szCs w:val="20"/>
                <w:color w:val="auto"/>
              </w:rPr>
            </w:pPr>
            <w:r>
              <w:rPr>
                <w:rFonts w:ascii="Arial" w:cs="Arial" w:eastAsia="Arial" w:hAnsi="Arial"/>
                <w:sz w:val="13"/>
                <w:szCs w:val="13"/>
                <w:color w:val="auto"/>
              </w:rPr>
              <w:t>Director and employee compensation paid in Company stock</w:t>
            </w: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519</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0"/>
        </w:trPr>
        <w:tc>
          <w:tcPr>
            <w:tcW w:w="79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Deferred income tax benefit</w:t>
            </w: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900" w:type="dxa"/>
            <w:vAlign w:val="bottom"/>
          </w:tcPr>
          <w:p>
            <w:pPr>
              <w:ind w:left="440"/>
              <w:spacing w:after="0"/>
              <w:rPr>
                <w:sz w:val="20"/>
                <w:szCs w:val="20"/>
                <w:color w:val="auto"/>
              </w:rPr>
            </w:pPr>
            <w:r>
              <w:rPr>
                <w:rFonts w:ascii="Arial" w:cs="Arial" w:eastAsia="Arial" w:hAnsi="Arial"/>
                <w:sz w:val="13"/>
                <w:szCs w:val="13"/>
                <w:color w:val="auto"/>
              </w:rPr>
              <w:t>Amortization of debt issuance costs</w:t>
            </w:r>
          </w:p>
        </w:tc>
        <w:tc>
          <w:tcPr>
            <w:tcW w:w="5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80"/>
        </w:trPr>
        <w:tc>
          <w:tcPr>
            <w:tcW w:w="79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Changes in assets and liabilities:</w:t>
            </w: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8"/>
        </w:trPr>
        <w:tc>
          <w:tcPr>
            <w:tcW w:w="7900" w:type="dxa"/>
            <w:vAlign w:val="bottom"/>
          </w:tcPr>
          <w:p>
            <w:pPr>
              <w:ind w:left="560"/>
              <w:spacing w:after="0"/>
              <w:rPr>
                <w:sz w:val="20"/>
                <w:szCs w:val="20"/>
                <w:color w:val="auto"/>
              </w:rPr>
            </w:pPr>
            <w:r>
              <w:rPr>
                <w:rFonts w:ascii="Arial" w:cs="Arial" w:eastAsia="Arial" w:hAnsi="Arial"/>
                <w:sz w:val="13"/>
                <w:szCs w:val="13"/>
                <w:color w:val="auto"/>
              </w:rPr>
              <w:t>Accrued interest receivable</w:t>
            </w: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83</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0"/>
        </w:trPr>
        <w:tc>
          <w:tcPr>
            <w:tcW w:w="79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Prepaid income taxes</w:t>
            </w:r>
          </w:p>
        </w:tc>
        <w:tc>
          <w:tcPr>
            <w:tcW w:w="5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8"/>
        </w:trPr>
        <w:tc>
          <w:tcPr>
            <w:tcW w:w="7900" w:type="dxa"/>
            <w:vAlign w:val="bottom"/>
          </w:tcPr>
          <w:p>
            <w:pPr>
              <w:ind w:left="560"/>
              <w:spacing w:after="0"/>
              <w:rPr>
                <w:sz w:val="20"/>
                <w:szCs w:val="20"/>
                <w:color w:val="auto"/>
              </w:rPr>
            </w:pPr>
            <w:r>
              <w:rPr>
                <w:rFonts w:ascii="Arial" w:cs="Arial" w:eastAsia="Arial" w:hAnsi="Arial"/>
                <w:sz w:val="13"/>
                <w:szCs w:val="13"/>
                <w:color w:val="auto"/>
              </w:rPr>
              <w:t>Other assets</w:t>
            </w: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79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Accrued interest payable</w:t>
            </w: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900" w:type="dxa"/>
            <w:vAlign w:val="bottom"/>
            <w:tcBorders>
              <w:bottom w:val="single" w:sz="8" w:color="CCEEFF"/>
            </w:tcBorders>
          </w:tcPr>
          <w:p>
            <w:pPr>
              <w:ind w:left="560"/>
              <w:spacing w:after="0"/>
              <w:rPr>
                <w:sz w:val="20"/>
                <w:szCs w:val="20"/>
                <w:color w:val="auto"/>
              </w:rPr>
            </w:pPr>
            <w:r>
              <w:rPr>
                <w:rFonts w:ascii="Arial" w:cs="Arial" w:eastAsia="Arial" w:hAnsi="Arial"/>
                <w:sz w:val="13"/>
                <w:szCs w:val="13"/>
                <w:color w:val="auto"/>
              </w:rPr>
              <w:t>Other liabilities</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(130)</w:t>
            </w: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9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Net cash provided by operating activities</w:t>
            </w:r>
          </w:p>
        </w:tc>
        <w:tc>
          <w:tcPr>
            <w:tcW w:w="5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8,884</w:t>
            </w:r>
          </w:p>
        </w:tc>
        <w:tc>
          <w:tcPr>
            <w:tcW w:w="1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0"/>
        </w:trPr>
        <w:tc>
          <w:tcPr>
            <w:tcW w:w="7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9"/>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Cash flows from investing activities</w:t>
            </w: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8"/>
        </w:trPr>
        <w:tc>
          <w:tcPr>
            <w:tcW w:w="7900" w:type="dxa"/>
            <w:vAlign w:val="bottom"/>
          </w:tcPr>
          <w:p>
            <w:pPr>
              <w:ind w:left="120"/>
              <w:spacing w:after="0"/>
              <w:rPr>
                <w:sz w:val="20"/>
                <w:szCs w:val="20"/>
                <w:color w:val="auto"/>
              </w:rPr>
            </w:pPr>
            <w:r>
              <w:rPr>
                <w:rFonts w:ascii="Arial" w:cs="Arial" w:eastAsia="Arial" w:hAnsi="Arial"/>
                <w:sz w:val="13"/>
                <w:szCs w:val="13"/>
                <w:color w:val="auto"/>
              </w:rPr>
              <w:t>Net increase in loans receivable</w:t>
            </w: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(9,269)</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9"/>
        </w:trPr>
        <w:tc>
          <w:tcPr>
            <w:tcW w:w="7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Capital contributions to subsidiaries</w:t>
            </w:r>
          </w:p>
        </w:tc>
        <w:tc>
          <w:tcPr>
            <w:tcW w:w="5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(1,347)</w:t>
            </w:r>
          </w:p>
        </w:tc>
        <w:tc>
          <w:tcPr>
            <w:tcW w:w="14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70"/>
        </w:trPr>
        <w:tc>
          <w:tcPr>
            <w:tcW w:w="7900" w:type="dxa"/>
            <w:vAlign w:val="bottom"/>
            <w:tcBorders>
              <w:bottom w:val="single" w:sz="8" w:color="CCEEFF"/>
            </w:tcBorders>
          </w:tcPr>
          <w:p>
            <w:pPr>
              <w:ind w:left="660"/>
              <w:spacing w:after="0"/>
              <w:rPr>
                <w:sz w:val="20"/>
                <w:szCs w:val="20"/>
                <w:color w:val="auto"/>
              </w:rPr>
            </w:pPr>
            <w:r>
              <w:rPr>
                <w:rFonts w:ascii="Arial" w:cs="Arial" w:eastAsia="Arial" w:hAnsi="Arial"/>
                <w:sz w:val="13"/>
                <w:szCs w:val="13"/>
                <w:color w:val="auto"/>
              </w:rPr>
              <w:t>Net cash provided by investing activities</w:t>
            </w: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(10,616)</w:t>
            </w: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7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78"/>
        </w:trPr>
        <w:tc>
          <w:tcPr>
            <w:tcW w:w="7900" w:type="dxa"/>
            <w:vAlign w:val="bottom"/>
          </w:tcPr>
          <w:p>
            <w:pPr>
              <w:ind w:left="280"/>
              <w:spacing w:after="0"/>
              <w:rPr>
                <w:sz w:val="20"/>
                <w:szCs w:val="20"/>
                <w:color w:val="auto"/>
              </w:rPr>
            </w:pPr>
            <w:r>
              <w:rPr>
                <w:rFonts w:ascii="Arial" w:cs="Arial" w:eastAsia="Arial" w:hAnsi="Arial"/>
                <w:sz w:val="13"/>
                <w:szCs w:val="13"/>
                <w:b w:val="1"/>
                <w:bCs w:val="1"/>
                <w:color w:val="auto"/>
              </w:rPr>
              <w:t>Cash flows from financing activities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7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Repayment of debt</w:t>
            </w:r>
          </w:p>
        </w:tc>
        <w:tc>
          <w:tcPr>
            <w:tcW w:w="5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78"/>
        </w:trPr>
        <w:tc>
          <w:tcPr>
            <w:tcW w:w="7900" w:type="dxa"/>
            <w:vAlign w:val="bottom"/>
          </w:tcPr>
          <w:p>
            <w:pPr>
              <w:ind w:left="380"/>
              <w:spacing w:after="0"/>
              <w:rPr>
                <w:sz w:val="20"/>
                <w:szCs w:val="20"/>
                <w:color w:val="auto"/>
              </w:rPr>
            </w:pPr>
            <w:r>
              <w:rPr>
                <w:rFonts w:ascii="Arial" w:cs="Arial" w:eastAsia="Arial" w:hAnsi="Arial"/>
                <w:sz w:val="13"/>
                <w:szCs w:val="13"/>
                <w:color w:val="auto"/>
              </w:rPr>
              <w:t>Dividends paid</w:t>
            </w: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(1,382)</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7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Repurchase of common stock</w:t>
            </w:r>
          </w:p>
        </w:tc>
        <w:tc>
          <w:tcPr>
            <w:tcW w:w="5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78"/>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Proceeds from exercise of stock options</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967</w:t>
            </w: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r>
      <w:tr>
        <w:trPr>
          <w:trHeight w:val="170"/>
        </w:trPr>
        <w:tc>
          <w:tcPr>
            <w:tcW w:w="79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Net cash provided used in financing activities</w:t>
            </w:r>
          </w:p>
        </w:tc>
        <w:tc>
          <w:tcPr>
            <w:tcW w:w="5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(415)</w:t>
            </w:r>
          </w:p>
        </w:tc>
        <w:tc>
          <w:tcPr>
            <w:tcW w:w="1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0"/>
        </w:trPr>
        <w:tc>
          <w:tcPr>
            <w:tcW w:w="7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9"/>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(2,147)</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9"/>
        </w:trPr>
        <w:tc>
          <w:tcPr>
            <w:tcW w:w="7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8"/>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Cash and cash equivalents, beginning of year</w:t>
            </w:r>
          </w:p>
        </w:tc>
        <w:tc>
          <w:tcPr>
            <w:tcW w:w="5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2,777</w:t>
            </w:r>
          </w:p>
        </w:tc>
        <w:tc>
          <w:tcPr>
            <w:tcW w:w="14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60"/>
        </w:trPr>
        <w:tc>
          <w:tcPr>
            <w:tcW w:w="7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Cash and cash equivalents, end of year</w:t>
            </w:r>
          </w:p>
        </w:tc>
        <w:tc>
          <w:tcPr>
            <w:tcW w:w="5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630</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95" w:name="page96"/>
    <w:bookmarkEnd w:id="95"/>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17 - Fair Value</w:t>
      </w:r>
    </w:p>
    <w:p>
      <w:pPr>
        <w:spacing w:after="0" w:line="20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5"/>
          <w:szCs w:val="15"/>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Level 1 - Inputs to the valuation method are quoted prices (unadjusted) for identical assets or liabilities in active markets;</w:t>
      </w:r>
    </w:p>
    <w:p>
      <w:pPr>
        <w:spacing w:after="0" w:line="186" w:lineRule="exact"/>
        <w:rPr>
          <w:sz w:val="20"/>
          <w:szCs w:val="20"/>
          <w:color w:val="auto"/>
        </w:rPr>
      </w:pPr>
    </w:p>
    <w:p>
      <w:pPr>
        <w:jc w:val="both"/>
        <w:ind w:right="20" w:firstLine="268"/>
        <w:spacing w:after="0" w:line="258" w:lineRule="auto"/>
        <w:rPr>
          <w:sz w:val="20"/>
          <w:szCs w:val="20"/>
          <w:color w:val="auto"/>
        </w:rPr>
      </w:pPr>
      <w:r>
        <w:rPr>
          <w:rFonts w:ascii="Arial" w:cs="Arial" w:eastAsia="Arial" w:hAnsi="Arial"/>
          <w:sz w:val="15"/>
          <w:szCs w:val="15"/>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Level 3 - Inputs to the valuation method are unobservable and significant to the fair value measurement.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measurements on a recurring basis</w:t>
      </w:r>
    </w:p>
    <w:p>
      <w:pPr>
        <w:spacing w:after="0" w:line="188" w:lineRule="exact"/>
        <w:rPr>
          <w:sz w:val="20"/>
          <w:szCs w:val="20"/>
          <w:color w:val="auto"/>
        </w:rPr>
      </w:pPr>
    </w:p>
    <w:p>
      <w:pPr>
        <w:jc w:val="both"/>
        <w:ind w:firstLine="268"/>
        <w:spacing w:after="0" w:line="280" w:lineRule="auto"/>
        <w:rPr>
          <w:sz w:val="20"/>
          <w:szCs w:val="20"/>
          <w:color w:val="auto"/>
        </w:rPr>
      </w:pPr>
      <w:r>
        <w:rPr>
          <w:rFonts w:ascii="Arial" w:cs="Arial" w:eastAsia="Arial" w:hAnsi="Arial"/>
          <w:sz w:val="15"/>
          <w:szCs w:val="15"/>
          <w:i w:val="1"/>
          <w:iCs w:val="1"/>
          <w:color w:val="auto"/>
        </w:rPr>
        <w:t xml:space="preserve">Investment securities available for sale </w:t>
      </w:r>
      <w:r>
        <w:rPr>
          <w:rFonts w:ascii="Arial" w:cs="Arial" w:eastAsia="Arial" w:hAnsi="Arial"/>
          <w:sz w:val="15"/>
          <w:szCs w:val="15"/>
          <w:color w:val="auto"/>
        </w:rPr>
        <w:t>- The fair values of the Company's investment securities available for sale are provided by an independent pricing service. The</w:t>
      </w:r>
      <w:r>
        <w:rPr>
          <w:rFonts w:ascii="Arial" w:cs="Arial" w:eastAsia="Arial" w:hAnsi="Arial"/>
          <w:sz w:val="15"/>
          <w:szCs w:val="15"/>
          <w:i w:val="1"/>
          <w:iCs w:val="1"/>
          <w:color w:val="auto"/>
        </w:rPr>
        <w:t xml:space="preserve"> </w:t>
      </w:r>
      <w:r>
        <w:rPr>
          <w:rFonts w:ascii="Arial" w:cs="Arial" w:eastAsia="Arial" w:hAnsi="Arial"/>
          <w:sz w:val="15"/>
          <w:szCs w:val="15"/>
          <w:color w:val="auto"/>
        </w:rPr>
        <w:t>fair values of the Company's securities are determined based on quoted prices for similar securities under Level 2 inputs.</w:t>
      </w:r>
    </w:p>
    <w:p>
      <w:pPr>
        <w:spacing w:after="0" w:line="135" w:lineRule="exact"/>
        <w:rPr>
          <w:sz w:val="20"/>
          <w:szCs w:val="20"/>
          <w:color w:val="auto"/>
        </w:rPr>
      </w:pPr>
    </w:p>
    <w:p>
      <w:pPr>
        <w:jc w:val="both"/>
        <w:ind w:firstLine="268"/>
        <w:spacing w:after="0" w:line="280" w:lineRule="auto"/>
        <w:rPr>
          <w:sz w:val="20"/>
          <w:szCs w:val="20"/>
          <w:color w:val="auto"/>
        </w:rPr>
      </w:pPr>
      <w:r>
        <w:rPr>
          <w:rFonts w:ascii="Arial" w:cs="Arial" w:eastAsia="Arial" w:hAnsi="Arial"/>
          <w:sz w:val="15"/>
          <w:szCs w:val="15"/>
          <w:i w:val="1"/>
          <w:iCs w:val="1"/>
          <w:color w:val="auto"/>
        </w:rPr>
        <w:t xml:space="preserve">Loans held for sale </w:t>
      </w:r>
      <w:r>
        <w:rPr>
          <w:rFonts w:ascii="Arial" w:cs="Arial" w:eastAsia="Arial" w:hAnsi="Arial"/>
          <w:sz w:val="15"/>
          <w:szCs w:val="15"/>
          <w:color w:val="auto"/>
        </w:rPr>
        <w:t>- The fair value of loans held for sale is determined using Level 2 inputs of quoted prices for a similar asset, adjusted for specific attributes of that</w:t>
      </w:r>
      <w:r>
        <w:rPr>
          <w:rFonts w:ascii="Arial" w:cs="Arial" w:eastAsia="Arial" w:hAnsi="Arial"/>
          <w:sz w:val="15"/>
          <w:szCs w:val="15"/>
          <w:i w:val="1"/>
          <w:iCs w:val="1"/>
          <w:color w:val="auto"/>
        </w:rPr>
        <w:t xml:space="preserve"> </w:t>
      </w:r>
      <w:r>
        <w:rPr>
          <w:rFonts w:ascii="Arial" w:cs="Arial" w:eastAsia="Arial" w:hAnsi="Arial"/>
          <w:sz w:val="15"/>
          <w:szCs w:val="15"/>
          <w:color w:val="auto"/>
        </w:rPr>
        <w:t>loan.</w:t>
      </w:r>
    </w:p>
    <w:p>
      <w:pPr>
        <w:spacing w:after="0" w:line="135" w:lineRule="exact"/>
        <w:rPr>
          <w:sz w:val="20"/>
          <w:szCs w:val="20"/>
          <w:color w:val="auto"/>
        </w:rPr>
      </w:pPr>
    </w:p>
    <w:p>
      <w:pPr>
        <w:jc w:val="both"/>
        <w:ind w:firstLine="268"/>
        <w:spacing w:after="0" w:line="264" w:lineRule="auto"/>
        <w:rPr>
          <w:sz w:val="20"/>
          <w:szCs w:val="20"/>
          <w:color w:val="auto"/>
        </w:rPr>
      </w:pPr>
      <w:r>
        <w:rPr>
          <w:rFonts w:ascii="Arial" w:cs="Arial" w:eastAsia="Arial" w:hAnsi="Arial"/>
          <w:sz w:val="15"/>
          <w:szCs w:val="15"/>
          <w:i w:val="1"/>
          <w:iCs w:val="1"/>
          <w:color w:val="auto"/>
        </w:rPr>
        <w:t xml:space="preserve">Derivative financial instruments </w:t>
      </w:r>
      <w:r>
        <w:rPr>
          <w:rFonts w:ascii="Arial" w:cs="Arial" w:eastAsia="Arial" w:hAnsi="Arial"/>
          <w:sz w:val="15"/>
          <w:szCs w:val="15"/>
          <w:color w:val="auto"/>
        </w:rPr>
        <w:t>- Derivative instruments used to hedge residential mortgage loans held for sale and the related interest rate lock commitments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96" w:name="page97"/>
    <w:bookmarkEnd w:id="96"/>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17 - Fair Value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 has categorized its financial instruments measured at fair value on a recurring basis as of December 31, 2021 and December 31, 2020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6080" w:type="dxa"/>
            <w:vAlign w:val="bottom"/>
            <w:gridSpan w:val="2"/>
          </w:tcPr>
          <w:p>
            <w:pPr>
              <w:ind w:left="20"/>
              <w:spacing w:after="0"/>
              <w:rPr>
                <w:sz w:val="20"/>
                <w:szCs w:val="20"/>
                <w:color w:val="auto"/>
              </w:rPr>
            </w:pPr>
            <w:r>
              <w:rPr>
                <w:rFonts w:ascii="Arial" w:cs="Arial" w:eastAsia="Arial" w:hAnsi="Arial"/>
                <w:sz w:val="9"/>
                <w:szCs w:val="9"/>
                <w:color w:val="auto"/>
              </w:rPr>
              <w:t>(in thousands)</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9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Level 1 Inputs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Level 2 Inputs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3 Inputs</w:t>
            </w:r>
          </w:p>
        </w:tc>
      </w:tr>
      <w:tr>
        <w:trPr>
          <w:trHeight w:val="17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 securities available for sale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0"/>
        </w:trPr>
        <w:tc>
          <w:tcPr>
            <w:tcW w:w="6080" w:type="dxa"/>
            <w:vAlign w:val="bottom"/>
            <w:gridSpan w:val="2"/>
          </w:tcPr>
          <w:p>
            <w:pPr>
              <w:ind w:left="120"/>
              <w:spacing w:after="0"/>
              <w:rPr>
                <w:sz w:val="20"/>
                <w:szCs w:val="20"/>
                <w:color w:val="auto"/>
              </w:rPr>
            </w:pPr>
            <w:r>
              <w:rPr>
                <w:rFonts w:ascii="Arial" w:cs="Arial" w:eastAsia="Arial" w:hAnsi="Arial"/>
                <w:sz w:val="13"/>
                <w:szCs w:val="13"/>
                <w:color w:val="auto"/>
              </w:rPr>
              <w:t>U.S Treasuries</w:t>
            </w:r>
          </w:p>
        </w:tc>
        <w:tc>
          <w:tcPr>
            <w:tcW w:w="28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131,001</w:t>
            </w:r>
          </w:p>
        </w:tc>
        <w:tc>
          <w:tcPr>
            <w:tcW w:w="1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131,001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ind w:left="860"/>
              <w:spacing w:after="0"/>
              <w:rPr>
                <w:sz w:val="20"/>
                <w:szCs w:val="20"/>
                <w:color w:val="auto"/>
              </w:rPr>
            </w:pPr>
            <w:r>
              <w:rPr>
                <w:rFonts w:ascii="Arial" w:cs="Arial" w:eastAsia="Arial" w:hAnsi="Arial"/>
                <w:sz w:val="13"/>
                <w:szCs w:val="13"/>
                <w:b w:val="1"/>
                <w:bCs w:val="1"/>
                <w:color w:val="auto"/>
              </w:rPr>
              <w:t>—</w:t>
            </w:r>
          </w:p>
        </w:tc>
      </w:tr>
      <w:tr>
        <w:trPr>
          <w:trHeight w:val="190"/>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Asset-backed securities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3"/>
                <w:szCs w:val="13"/>
                <w:b w:val="1"/>
                <w:bCs w:val="1"/>
                <w:color w:val="auto"/>
              </w:rPr>
              <w:t>—</w:t>
            </w:r>
          </w:p>
        </w:tc>
      </w:tr>
      <w:tr>
        <w:trPr>
          <w:trHeight w:val="178"/>
        </w:trPr>
        <w:tc>
          <w:tcPr>
            <w:tcW w:w="6080" w:type="dxa"/>
            <w:vAlign w:val="bottom"/>
            <w:gridSpan w:val="2"/>
          </w:tcPr>
          <w:p>
            <w:pPr>
              <w:ind w:left="120"/>
              <w:spacing w:after="0"/>
              <w:rPr>
                <w:sz w:val="20"/>
                <w:szCs w:val="20"/>
                <w:color w:val="auto"/>
              </w:rPr>
            </w:pPr>
            <w:r>
              <w:rPr>
                <w:rFonts w:ascii="Arial" w:cs="Arial" w:eastAsia="Arial" w:hAnsi="Arial"/>
                <w:sz w:val="13"/>
                <w:szCs w:val="13"/>
                <w:color w:val="auto"/>
              </w:rPr>
              <w:t>Municipal</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10,474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10,474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3"/>
                <w:szCs w:val="13"/>
                <w:b w:val="1"/>
                <w:bCs w:val="1"/>
                <w:color w:val="auto"/>
              </w:rPr>
              <w:t>—</w:t>
            </w:r>
          </w:p>
        </w:tc>
      </w:tr>
      <w:tr>
        <w:trPr>
          <w:trHeight w:val="180"/>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Corporate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4,934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3"/>
                <w:szCs w:val="13"/>
                <w:b w:val="1"/>
                <w:bCs w:val="1"/>
                <w:color w:val="auto"/>
              </w:rPr>
              <w:t>—</w:t>
            </w:r>
          </w:p>
        </w:tc>
      </w:tr>
      <w:tr>
        <w:trPr>
          <w:trHeight w:val="178"/>
        </w:trPr>
        <w:tc>
          <w:tcPr>
            <w:tcW w:w="6080" w:type="dxa"/>
            <w:vAlign w:val="bottom"/>
            <w:gridSpan w:val="2"/>
          </w:tcPr>
          <w:p>
            <w:pPr>
              <w:ind w:left="120"/>
              <w:spacing w:after="0"/>
              <w:rPr>
                <w:sz w:val="20"/>
                <w:szCs w:val="20"/>
                <w:color w:val="auto"/>
              </w:rPr>
            </w:pPr>
            <w:r>
              <w:rPr>
                <w:rFonts w:ascii="Arial" w:cs="Arial" w:eastAsia="Arial" w:hAnsi="Arial"/>
                <w:sz w:val="13"/>
                <w:szCs w:val="13"/>
                <w:color w:val="auto"/>
              </w:rPr>
              <w:t>Mortgage-backed securities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27,906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27,906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3"/>
                <w:szCs w:val="13"/>
                <w:b w:val="1"/>
                <w:bCs w:val="1"/>
                <w:color w:val="auto"/>
              </w:rPr>
              <w:t>—</w:t>
            </w:r>
          </w:p>
        </w:tc>
      </w:tr>
      <w:tr>
        <w:trPr>
          <w:trHeight w:val="195"/>
        </w:trPr>
        <w:tc>
          <w:tcPr>
            <w:tcW w:w="59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184,455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184,455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3"/>
                <w:szCs w:val="13"/>
                <w:b w:val="1"/>
                <w:bCs w:val="1"/>
                <w:color w:val="auto"/>
              </w:rPr>
              <w:t>—</w:t>
            </w:r>
          </w:p>
        </w:tc>
      </w:tr>
      <w:tr>
        <w:trPr>
          <w:trHeight w:val="20"/>
        </w:trPr>
        <w:tc>
          <w:tcPr>
            <w:tcW w:w="60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45"/>
        </w:trPr>
        <w:tc>
          <w:tcPr>
            <w:tcW w:w="608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Loans held for sale</w:t>
            </w:r>
          </w:p>
        </w:tc>
        <w:tc>
          <w:tcPr>
            <w:tcW w:w="280" w:type="dxa"/>
            <w:vAlign w:val="bottom"/>
            <w:tcBorders>
              <w:top w:val="single" w:sz="8" w:color="auto"/>
              <w:bottom w:val="single" w:sz="8" w:color="auto"/>
            </w:tcBorders>
          </w:tcPr>
          <w:p>
            <w:pPr>
              <w:jc w:val="right"/>
              <w:ind w:right="113"/>
              <w:spacing w:after="0" w:line="145"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15,989</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5" w:lineRule="exact"/>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15,989</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tcPr>
          <w:p>
            <w:pPr>
              <w:ind w:left="860"/>
              <w:spacing w:after="0" w:line="145" w:lineRule="exact"/>
              <w:rPr>
                <w:sz w:val="20"/>
                <w:szCs w:val="20"/>
                <w:color w:val="auto"/>
              </w:rPr>
            </w:pPr>
            <w:r>
              <w:rPr>
                <w:rFonts w:ascii="Arial" w:cs="Arial" w:eastAsia="Arial" w:hAnsi="Arial"/>
                <w:sz w:val="13"/>
                <w:szCs w:val="13"/>
                <w:b w:val="1"/>
                <w:bCs w:val="1"/>
                <w:color w:val="auto"/>
              </w:rPr>
              <w:t>—</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9"/>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Derivative assets</w:t>
            </w: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b w:val="1"/>
                <w:bCs w:val="1"/>
                <w:color w:val="auto"/>
              </w:rPr>
              <w:t>—</w:t>
            </w:r>
          </w:p>
        </w:tc>
      </w:tr>
      <w:tr>
        <w:trPr>
          <w:trHeight w:val="20"/>
        </w:trPr>
        <w:tc>
          <w:tcPr>
            <w:tcW w:w="60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44"/>
        </w:trPr>
        <w:tc>
          <w:tcPr>
            <w:tcW w:w="608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Derivative liabilities</w:t>
            </w:r>
          </w:p>
        </w:tc>
        <w:tc>
          <w:tcPr>
            <w:tcW w:w="280" w:type="dxa"/>
            <w:vAlign w:val="bottom"/>
            <w:tcBorders>
              <w:top w:val="single" w:sz="8" w:color="auto"/>
              <w:bottom w:val="single" w:sz="8" w:color="auto"/>
            </w:tcBorders>
          </w:tcPr>
          <w:p>
            <w:pPr>
              <w:jc w:val="right"/>
              <w:ind w:right="113"/>
              <w:spacing w:after="0" w:line="144"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16</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16</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tcPr>
          <w:p>
            <w:pPr>
              <w:ind w:left="860"/>
              <w:spacing w:after="0" w:line="144" w:lineRule="exact"/>
              <w:rPr>
                <w:sz w:val="20"/>
                <w:szCs w:val="20"/>
                <w:color w:val="auto"/>
              </w:rPr>
            </w:pPr>
            <w:r>
              <w:rPr>
                <w:rFonts w:ascii="Arial" w:cs="Arial" w:eastAsia="Arial" w:hAnsi="Arial"/>
                <w:sz w:val="13"/>
                <w:szCs w:val="13"/>
                <w:b w:val="1"/>
                <w:bCs w:val="1"/>
                <w:color w:val="auto"/>
              </w:rPr>
              <w:t>—</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1"/>
        </w:trPr>
        <w:tc>
          <w:tcPr>
            <w:tcW w:w="5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7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r>
      <w:tr>
        <w:trPr>
          <w:trHeight w:val="171"/>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 securities available for sale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7"/>
        </w:trPr>
        <w:tc>
          <w:tcPr>
            <w:tcW w:w="6080" w:type="dxa"/>
            <w:vAlign w:val="bottom"/>
            <w:gridSpan w:val="2"/>
          </w:tcPr>
          <w:p>
            <w:pPr>
              <w:ind w:left="120"/>
              <w:spacing w:after="0"/>
              <w:rPr>
                <w:sz w:val="20"/>
                <w:szCs w:val="20"/>
                <w:color w:val="auto"/>
              </w:rPr>
            </w:pPr>
            <w:r>
              <w:rPr>
                <w:rFonts w:ascii="Arial" w:cs="Arial" w:eastAsia="Arial" w:hAnsi="Arial"/>
                <w:sz w:val="13"/>
                <w:szCs w:val="13"/>
                <w:color w:val="auto"/>
              </w:rPr>
              <w:t>Asset-backed securities</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10,881</w:t>
            </w:r>
          </w:p>
        </w:tc>
        <w:tc>
          <w:tcPr>
            <w:tcW w:w="12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10,881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81"/>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Municipal</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77"/>
        </w:trPr>
        <w:tc>
          <w:tcPr>
            <w:tcW w:w="6080" w:type="dxa"/>
            <w:vAlign w:val="bottom"/>
            <w:gridSpan w:val="2"/>
          </w:tcPr>
          <w:p>
            <w:pPr>
              <w:ind w:left="120"/>
              <w:spacing w:after="0"/>
              <w:rPr>
                <w:sz w:val="20"/>
                <w:szCs w:val="20"/>
                <w:color w:val="auto"/>
              </w:rPr>
            </w:pPr>
            <w:r>
              <w:rPr>
                <w:rFonts w:ascii="Arial" w:cs="Arial" w:eastAsia="Arial" w:hAnsi="Arial"/>
                <w:sz w:val="13"/>
                <w:szCs w:val="13"/>
                <w:color w:val="auto"/>
              </w:rPr>
              <w:t>Corporate</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5,767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9"/>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Mortgage-backed securities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72,212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72,212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70"/>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99,787</w:t>
            </w:r>
          </w:p>
        </w:tc>
        <w:tc>
          <w:tcPr>
            <w:tcW w:w="1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99,787</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Loans held for sale</w:t>
            </w: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107,154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4"/>
        </w:trPr>
        <w:tc>
          <w:tcPr>
            <w:tcW w:w="608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Derivative assets</w:t>
            </w:r>
          </w:p>
        </w:tc>
        <w:tc>
          <w:tcPr>
            <w:tcW w:w="28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4" w:lineRule="exact"/>
              <w:rPr>
                <w:sz w:val="20"/>
                <w:szCs w:val="20"/>
                <w:color w:val="auto"/>
              </w:rPr>
            </w:pPr>
            <w:r>
              <w:rPr>
                <w:rFonts w:ascii="Arial" w:cs="Arial" w:eastAsia="Arial" w:hAnsi="Arial"/>
                <w:sz w:val="13"/>
                <w:szCs w:val="13"/>
                <w:color w:val="auto"/>
              </w:rPr>
              <w:t>327</w:t>
            </w:r>
          </w:p>
        </w:tc>
        <w:tc>
          <w:tcPr>
            <w:tcW w:w="120" w:type="dxa"/>
            <w:vAlign w:val="bottom"/>
          </w:tcPr>
          <w:p>
            <w:pPr>
              <w:spacing w:after="0"/>
              <w:rPr>
                <w:sz w:val="12"/>
                <w:szCs w:val="12"/>
                <w:color w:val="auto"/>
              </w:rPr>
            </w:pPr>
          </w:p>
        </w:tc>
        <w:tc>
          <w:tcPr>
            <w:tcW w:w="16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line="144" w:lineRule="exact"/>
              <w:rPr>
                <w:sz w:val="20"/>
                <w:szCs w:val="20"/>
                <w:color w:val="auto"/>
              </w:rPr>
            </w:pPr>
            <w:r>
              <w:rPr>
                <w:rFonts w:ascii="Arial" w:cs="Arial" w:eastAsia="Arial" w:hAnsi="Arial"/>
                <w:sz w:val="13"/>
                <w:szCs w:val="13"/>
                <w:color w:val="auto"/>
              </w:rPr>
              <w:t>327</w:t>
            </w:r>
          </w:p>
        </w:tc>
        <w:tc>
          <w:tcPr>
            <w:tcW w:w="100" w:type="dxa"/>
            <w:vAlign w:val="bottom"/>
          </w:tcPr>
          <w:p>
            <w:pPr>
              <w:spacing w:after="0"/>
              <w:rPr>
                <w:sz w:val="12"/>
                <w:szCs w:val="12"/>
                <w:color w:val="auto"/>
              </w:rPr>
            </w:pPr>
          </w:p>
        </w:tc>
        <w:tc>
          <w:tcPr>
            <w:tcW w:w="1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60" w:type="dxa"/>
            <w:vAlign w:val="bottom"/>
          </w:tcPr>
          <w:p>
            <w:pPr>
              <w:ind w:left="860"/>
              <w:spacing w:after="0" w:line="144" w:lineRule="exact"/>
              <w:rPr>
                <w:sz w:val="20"/>
                <w:szCs w:val="20"/>
                <w:color w:val="auto"/>
              </w:rPr>
            </w:pPr>
            <w:r>
              <w:rPr>
                <w:rFonts w:ascii="Arial" w:cs="Arial" w:eastAsia="Arial" w:hAnsi="Arial"/>
                <w:sz w:val="13"/>
                <w:szCs w:val="13"/>
                <w:color w:val="auto"/>
              </w:rPr>
              <w:t>—</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Derivative liabilities</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Financial instruments recorded using FASB ASC 825-10</w:t>
      </w:r>
    </w:p>
    <w:p>
      <w:pPr>
        <w:spacing w:after="0" w:line="204" w:lineRule="exact"/>
        <w:rPr>
          <w:sz w:val="20"/>
          <w:szCs w:val="20"/>
          <w:color w:val="auto"/>
        </w:rPr>
      </w:pPr>
    </w:p>
    <w:p>
      <w:pPr>
        <w:jc w:val="both"/>
        <w:ind w:right="20" w:firstLine="268"/>
        <w:spacing w:after="0" w:line="253" w:lineRule="auto"/>
        <w:rPr>
          <w:sz w:val="20"/>
          <w:szCs w:val="20"/>
          <w:color w:val="auto"/>
        </w:rPr>
      </w:pPr>
      <w:r>
        <w:rPr>
          <w:rFonts w:ascii="Arial" w:cs="Arial" w:eastAsia="Arial" w:hAnsi="Arial"/>
          <w:sz w:val="15"/>
          <w:szCs w:val="15"/>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171" w:lineRule="exact"/>
        <w:rPr>
          <w:sz w:val="20"/>
          <w:szCs w:val="20"/>
          <w:color w:val="auto"/>
        </w:rPr>
      </w:pPr>
    </w:p>
    <w:p>
      <w:pPr>
        <w:jc w:val="both"/>
        <w:ind w:right="20" w:firstLine="268"/>
        <w:spacing w:after="0" w:line="258" w:lineRule="auto"/>
        <w:rPr>
          <w:sz w:val="20"/>
          <w:szCs w:val="20"/>
          <w:color w:val="auto"/>
        </w:rPr>
      </w:pPr>
      <w:r>
        <w:rPr>
          <w:rFonts w:ascii="Arial" w:cs="Arial" w:eastAsia="Arial" w:hAnsi="Arial"/>
          <w:sz w:val="15"/>
          <w:szCs w:val="15"/>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40" w:type="dxa"/>
            <w:vAlign w:val="bottom"/>
          </w:tcPr>
          <w:p>
            <w:pPr>
              <w:ind w:left="20"/>
              <w:spacing w:after="0"/>
              <w:rPr>
                <w:sz w:val="20"/>
                <w:szCs w:val="20"/>
                <w:color w:val="auto"/>
              </w:rPr>
            </w:pPr>
            <w:r>
              <w:rPr>
                <w:rFonts w:ascii="Arial" w:cs="Arial" w:eastAsia="Arial" w:hAnsi="Arial"/>
                <w:sz w:val="13"/>
                <w:szCs w:val="13"/>
                <w:b w:val="1"/>
                <w:bCs w:val="1"/>
                <w:color w:val="auto"/>
              </w:rPr>
              <w:t>Fair Value of Loans Held for Sale</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1"/>
        </w:trPr>
        <w:tc>
          <w:tcPr>
            <w:tcW w:w="7540" w:type="dxa"/>
            <w:vAlign w:val="bottom"/>
          </w:tcPr>
          <w:p>
            <w:pPr>
              <w:ind w:left="20"/>
              <w:spacing w:after="0"/>
              <w:rPr>
                <w:sz w:val="20"/>
                <w:szCs w:val="20"/>
                <w:color w:val="auto"/>
              </w:rPr>
            </w:pPr>
            <w:r>
              <w:rPr>
                <w:rFonts w:ascii="Arial" w:cs="Arial" w:eastAsia="Arial" w:hAnsi="Arial"/>
                <w:sz w:val="9"/>
                <w:szCs w:val="9"/>
                <w:color w:val="auto"/>
              </w:rPr>
              <w:t>(in thousands)</w:t>
            </w: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Pr>
          <w:p>
            <w:pPr>
              <w:spacing w:after="0"/>
              <w:rPr>
                <w:sz w:val="15"/>
                <w:szCs w:val="15"/>
                <w:color w:val="auto"/>
              </w:rPr>
            </w:pPr>
          </w:p>
        </w:tc>
        <w:tc>
          <w:tcPr>
            <w:tcW w:w="1620" w:type="dxa"/>
            <w:vAlign w:val="bottom"/>
          </w:tcPr>
          <w:p>
            <w:pPr>
              <w:jc w:val="right"/>
              <w:ind w:right="233"/>
              <w:spacing w:after="0"/>
              <w:rPr>
                <w:sz w:val="20"/>
                <w:szCs w:val="20"/>
                <w:color w:val="auto"/>
              </w:rPr>
            </w:pPr>
            <w:r>
              <w:rPr>
                <w:rFonts w:ascii="Arial" w:cs="Arial" w:eastAsia="Arial" w:hAnsi="Arial"/>
                <w:sz w:val="13"/>
                <w:szCs w:val="13"/>
                <w:b w:val="1"/>
                <w:bCs w:val="1"/>
                <w:color w:val="auto"/>
              </w:rPr>
              <w:t>December 31, 2020</w:t>
            </w:r>
          </w:p>
        </w:tc>
      </w:tr>
      <w:tr>
        <w:trPr>
          <w:trHeight w:val="17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Aggregate fair value</w:t>
            </w: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15,989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107,154</w:t>
            </w:r>
          </w:p>
        </w:tc>
      </w:tr>
      <w:tr>
        <w:trPr>
          <w:trHeight w:val="178"/>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Contractual principal</w:t>
            </w: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14,504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99,362</w:t>
            </w:r>
          </w:p>
        </w:tc>
      </w:tr>
      <w:tr>
        <w:trPr>
          <w:trHeight w:val="196"/>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Difference</w:t>
            </w: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right="20" w:firstLine="268"/>
        <w:spacing w:after="0" w:line="258" w:lineRule="auto"/>
        <w:rPr>
          <w:sz w:val="20"/>
          <w:szCs w:val="20"/>
          <w:color w:val="auto"/>
        </w:rPr>
      </w:pPr>
      <w:r>
        <w:rPr>
          <w:rFonts w:ascii="Arial" w:cs="Arial" w:eastAsia="Arial" w:hAnsi="Arial"/>
          <w:sz w:val="15"/>
          <w:szCs w:val="15"/>
          <w:color w:val="auto"/>
        </w:rPr>
        <w:t>The Company elects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97" w:name="page98"/>
    <w:bookmarkEnd w:id="97"/>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17 - Fair Value (continued)</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measurements on a nonrecurring basis</w:t>
      </w:r>
    </w:p>
    <w:p>
      <w:pPr>
        <w:spacing w:after="0" w:line="188" w:lineRule="exact"/>
        <w:rPr>
          <w:sz w:val="20"/>
          <w:szCs w:val="20"/>
          <w:color w:val="auto"/>
        </w:rPr>
      </w:pPr>
    </w:p>
    <w:p>
      <w:pPr>
        <w:jc w:val="both"/>
        <w:ind w:right="80" w:firstLine="268"/>
        <w:spacing w:after="0" w:line="259" w:lineRule="auto"/>
        <w:rPr>
          <w:sz w:val="20"/>
          <w:szCs w:val="20"/>
          <w:color w:val="auto"/>
        </w:rPr>
      </w:pPr>
      <w:r>
        <w:rPr>
          <w:rFonts w:ascii="Arial" w:cs="Arial" w:eastAsia="Arial" w:hAnsi="Arial"/>
          <w:sz w:val="15"/>
          <w:szCs w:val="15"/>
          <w:i w:val="1"/>
          <w:iCs w:val="1"/>
          <w:color w:val="auto"/>
        </w:rPr>
        <w:t xml:space="preserve">Impaired loans </w:t>
      </w:r>
      <w:r>
        <w:rPr>
          <w:rFonts w:ascii="Arial" w:cs="Arial" w:eastAsia="Arial" w:hAnsi="Arial"/>
          <w:sz w:val="15"/>
          <w:szCs w:val="15"/>
          <w:color w:val="auto"/>
        </w:rPr>
        <w:t>- The Company has measured impairment generally based on the fair value of the loan's collateral and discounted cash flow analysis. Fair value is</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determined based upon independent third-party appraisals of the properties, or discounted cash flows based upon the expected proceeds. These assets are included as Level 3 fair values. As of December 31, 2021 and December 31, 2020, the fair values consist of loan balances of $11.3 million and $9.2 million, with valuation allowances of $218 thousand and $253 thousand, respectively.</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Foreclosed real estate </w:t>
      </w:r>
      <w:r>
        <w:rPr>
          <w:rFonts w:ascii="Arial" w:cs="Arial" w:eastAsia="Arial" w:hAnsi="Arial"/>
          <w:sz w:val="15"/>
          <w:szCs w:val="15"/>
          <w:color w:val="auto"/>
        </w:rPr>
        <w:t>- The Company's foreclosed real estate is measured at fair value less cost to sell. Fair value was determined based on offers and/or appraisals.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Cost to sell the real estate was based on standard market factors. The Company has categorized its foreclosed real estate as Level 3.</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Fair Value of Impaired Loans and Foreclosed Real Estate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9"/>
          <w:szCs w:val="9"/>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60"/>
              <w:spacing w:after="0"/>
              <w:rPr>
                <w:sz w:val="20"/>
                <w:szCs w:val="20"/>
                <w:color w:val="auto"/>
              </w:rPr>
            </w:pPr>
            <w:r>
              <w:rPr>
                <w:rFonts w:ascii="Arial" w:cs="Arial" w:eastAsia="Arial" w:hAnsi="Arial"/>
                <w:sz w:val="13"/>
                <w:szCs w:val="13"/>
                <w:b w:val="1"/>
                <w:bCs w:val="1"/>
                <w:color w:val="auto"/>
              </w:rPr>
              <w:t>2020</w:t>
            </w:r>
          </w:p>
        </w:tc>
      </w:tr>
      <w:tr>
        <w:trPr>
          <w:trHeight w:val="161"/>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Impaired loans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77"/>
        </w:trPr>
        <w:tc>
          <w:tcPr>
            <w:tcW w:w="7300" w:type="dxa"/>
            <w:vAlign w:val="bottom"/>
          </w:tcPr>
          <w:p>
            <w:pPr>
              <w:ind w:left="20"/>
              <w:spacing w:after="0"/>
              <w:rPr>
                <w:sz w:val="20"/>
                <w:szCs w:val="20"/>
                <w:color w:val="auto"/>
              </w:rPr>
            </w:pPr>
            <w:r>
              <w:rPr>
                <w:rFonts w:ascii="Arial" w:cs="Arial" w:eastAsia="Arial" w:hAnsi="Arial"/>
                <w:sz w:val="13"/>
                <w:szCs w:val="13"/>
                <w:color w:val="auto"/>
              </w:rPr>
              <w:t>Level 1 Inputs</w:t>
            </w:r>
          </w:p>
        </w:tc>
        <w:tc>
          <w:tcPr>
            <w:tcW w:w="1320" w:type="dxa"/>
            <w:vAlign w:val="bottom"/>
          </w:tcPr>
          <w:p>
            <w:pPr>
              <w:jc w:val="right"/>
              <w:ind w:right="1179"/>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1"/>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2 Inputs</w:t>
            </w:r>
          </w:p>
        </w:tc>
        <w:tc>
          <w:tcPr>
            <w:tcW w:w="13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Level 3 Inputs</w:t>
            </w:r>
          </w:p>
        </w:tc>
        <w:tc>
          <w:tcPr>
            <w:tcW w:w="1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11,121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8,899</w:t>
            </w:r>
          </w:p>
        </w:tc>
      </w:tr>
      <w:tr>
        <w:trPr>
          <w:trHeight w:val="170"/>
        </w:trPr>
        <w:tc>
          <w:tcPr>
            <w:tcW w:w="7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32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2"/>
                <w:szCs w:val="12"/>
                <w:b w:val="1"/>
                <w:bCs w:val="1"/>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11,121</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8,899</w:t>
            </w:r>
          </w:p>
        </w:tc>
      </w:tr>
      <w:tr>
        <w:trPr>
          <w:trHeight w:val="161"/>
        </w:trPr>
        <w:tc>
          <w:tcPr>
            <w:tcW w:w="7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9"/>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Foreclosed real estate</w:t>
            </w:r>
          </w:p>
        </w:tc>
        <w:tc>
          <w:tcPr>
            <w:tcW w:w="1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77"/>
        </w:trPr>
        <w:tc>
          <w:tcPr>
            <w:tcW w:w="7300" w:type="dxa"/>
            <w:vAlign w:val="bottom"/>
          </w:tcPr>
          <w:p>
            <w:pPr>
              <w:ind w:left="20"/>
              <w:spacing w:after="0"/>
              <w:rPr>
                <w:sz w:val="20"/>
                <w:szCs w:val="20"/>
                <w:color w:val="auto"/>
              </w:rPr>
            </w:pPr>
            <w:r>
              <w:rPr>
                <w:rFonts w:ascii="Arial" w:cs="Arial" w:eastAsia="Arial" w:hAnsi="Arial"/>
                <w:sz w:val="13"/>
                <w:szCs w:val="13"/>
                <w:color w:val="auto"/>
              </w:rPr>
              <w:t>Level 1 Inputs</w:t>
            </w:r>
          </w:p>
        </w:tc>
        <w:tc>
          <w:tcPr>
            <w:tcW w:w="1320" w:type="dxa"/>
            <w:vAlign w:val="bottom"/>
          </w:tcPr>
          <w:p>
            <w:pPr>
              <w:jc w:val="right"/>
              <w:ind w:right="1179"/>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1"/>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2 Inputs</w:t>
            </w:r>
          </w:p>
        </w:tc>
        <w:tc>
          <w:tcPr>
            <w:tcW w:w="13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Level 3 Inputs</w:t>
            </w:r>
          </w:p>
        </w:tc>
        <w:tc>
          <w:tcPr>
            <w:tcW w:w="1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3,326</w:t>
            </w:r>
          </w:p>
        </w:tc>
      </w:tr>
      <w:tr>
        <w:trPr>
          <w:trHeight w:val="198"/>
        </w:trPr>
        <w:tc>
          <w:tcPr>
            <w:tcW w:w="7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32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2"/>
                <w:szCs w:val="12"/>
                <w:b w:val="1"/>
                <w:bCs w:val="1"/>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provides information describing the unobservable inputs used in Level 3 fair value measurements at December 31, 2021 and 2020:</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164"/>
        </w:trPr>
        <w:tc>
          <w:tcPr>
            <w:tcW w:w="2560" w:type="dxa"/>
            <w:vAlign w:val="bottom"/>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2"/>
          </w:tcPr>
          <w:p>
            <w:pPr>
              <w:ind w:left="1440"/>
              <w:spacing w:after="0"/>
              <w:rPr>
                <w:sz w:val="20"/>
                <w:szCs w:val="20"/>
                <w:color w:val="auto"/>
              </w:rPr>
            </w:pPr>
            <w:r>
              <w:rPr>
                <w:rFonts w:ascii="Arial" w:cs="Arial" w:eastAsia="Arial" w:hAnsi="Arial"/>
                <w:sz w:val="13"/>
                <w:szCs w:val="13"/>
                <w:color w:val="auto"/>
              </w:rPr>
              <w:t>Inputs</w:t>
            </w:r>
          </w:p>
        </w:tc>
        <w:tc>
          <w:tcPr>
            <w:tcW w:w="1700" w:type="dxa"/>
            <w:vAlign w:val="bottom"/>
            <w:tcBorders>
              <w:bottom w:val="single" w:sz="8" w:color="auto"/>
            </w:tcBorders>
          </w:tcPr>
          <w:p>
            <w:pPr>
              <w:spacing w:after="0"/>
              <w:rPr>
                <w:sz w:val="14"/>
                <w:szCs w:val="14"/>
                <w:color w:val="auto"/>
              </w:rPr>
            </w:pPr>
          </w:p>
        </w:tc>
      </w:tr>
      <w:tr>
        <w:trPr>
          <w:trHeight w:val="327"/>
        </w:trPr>
        <w:tc>
          <w:tcPr>
            <w:tcW w:w="2560" w:type="dxa"/>
            <w:vAlign w:val="bottom"/>
            <w:tcBorders>
              <w:bottom w:val="single" w:sz="8" w:color="CCEEFF"/>
            </w:tcBorders>
          </w:tcPr>
          <w:p>
            <w:pPr>
              <w:spacing w:after="0"/>
              <w:rPr>
                <w:sz w:val="24"/>
                <w:szCs w:val="24"/>
                <w:color w:val="auto"/>
              </w:rPr>
            </w:pPr>
          </w:p>
        </w:tc>
        <w:tc>
          <w:tcPr>
            <w:tcW w:w="2700" w:type="dxa"/>
            <w:vAlign w:val="bottom"/>
            <w:tcBorders>
              <w:bottom w:val="single" w:sz="8" w:color="auto"/>
            </w:tcBorders>
          </w:tcPr>
          <w:p>
            <w:pPr>
              <w:jc w:val="center"/>
              <w:ind w:left="193"/>
              <w:spacing w:after="0"/>
              <w:rPr>
                <w:sz w:val="20"/>
                <w:szCs w:val="20"/>
                <w:color w:val="auto"/>
              </w:rPr>
            </w:pPr>
            <w:r>
              <w:rPr>
                <w:rFonts w:ascii="Arial" w:cs="Arial" w:eastAsia="Arial" w:hAnsi="Arial"/>
                <w:sz w:val="13"/>
                <w:szCs w:val="13"/>
                <w:color w:val="auto"/>
              </w:rPr>
              <w:t>Valuation Technique</w:t>
            </w:r>
          </w:p>
        </w:tc>
        <w:tc>
          <w:tcPr>
            <w:tcW w:w="160" w:type="dxa"/>
            <w:vAlign w:val="bottom"/>
            <w:tcBorders>
              <w:bottom w:val="single" w:sz="8" w:color="CCEEFF"/>
            </w:tcBorders>
          </w:tcPr>
          <w:p>
            <w:pPr>
              <w:spacing w:after="0"/>
              <w:rPr>
                <w:sz w:val="24"/>
                <w:szCs w:val="24"/>
                <w:color w:val="auto"/>
              </w:rPr>
            </w:pPr>
          </w:p>
        </w:tc>
        <w:tc>
          <w:tcPr>
            <w:tcW w:w="3820" w:type="dxa"/>
            <w:vAlign w:val="bottom"/>
            <w:tcBorders>
              <w:bottom w:val="single" w:sz="8" w:color="auto"/>
            </w:tcBorders>
          </w:tcPr>
          <w:p>
            <w:pPr>
              <w:jc w:val="center"/>
              <w:ind w:left="193"/>
              <w:spacing w:after="0"/>
              <w:rPr>
                <w:sz w:val="20"/>
                <w:szCs w:val="20"/>
                <w:color w:val="auto"/>
              </w:rPr>
            </w:pPr>
            <w:r>
              <w:rPr>
                <w:rFonts w:ascii="Arial" w:cs="Arial" w:eastAsia="Arial" w:hAnsi="Arial"/>
                <w:sz w:val="13"/>
                <w:szCs w:val="13"/>
                <w:color w:val="auto"/>
              </w:rPr>
              <w:t>Unobservable Inputs</w:t>
            </w:r>
          </w:p>
        </w:tc>
        <w:tc>
          <w:tcPr>
            <w:tcW w:w="14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General Range of Inpu</w:t>
            </w:r>
          </w:p>
        </w:tc>
      </w:tr>
      <w:tr>
        <w:trPr>
          <w:trHeight w:val="141"/>
        </w:trPr>
        <w:tc>
          <w:tcPr>
            <w:tcW w:w="256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center"/>
              <w:ind w:left="53"/>
              <w:spacing w:after="0" w:line="141" w:lineRule="exact"/>
              <w:rPr>
                <w:sz w:val="20"/>
                <w:szCs w:val="20"/>
                <w:color w:val="auto"/>
              </w:rPr>
            </w:pPr>
            <w:r>
              <w:rPr>
                <w:rFonts w:ascii="Arial" w:cs="Arial" w:eastAsia="Arial" w:hAnsi="Arial"/>
                <w:sz w:val="13"/>
                <w:szCs w:val="13"/>
                <w:color w:val="auto"/>
              </w:rPr>
              <w:t>Appraised Value/Discounted Cash</w:t>
            </w:r>
          </w:p>
        </w:tc>
        <w:tc>
          <w:tcPr>
            <w:tcW w:w="3960" w:type="dxa"/>
            <w:vAlign w:val="bottom"/>
            <w:gridSpan w:val="2"/>
            <w:shd w:val="clear" w:color="auto" w:fill="CCEEFF"/>
          </w:tcPr>
          <w:p>
            <w:pPr>
              <w:jc w:val="center"/>
              <w:ind w:left="53"/>
              <w:spacing w:after="0" w:line="141" w:lineRule="exact"/>
              <w:rPr>
                <w:sz w:val="20"/>
                <w:szCs w:val="20"/>
                <w:color w:val="auto"/>
              </w:rPr>
            </w:pPr>
            <w:r>
              <w:rPr>
                <w:rFonts w:ascii="Arial" w:cs="Arial" w:eastAsia="Arial" w:hAnsi="Arial"/>
                <w:sz w:val="13"/>
                <w:szCs w:val="13"/>
                <w:color w:val="auto"/>
              </w:rPr>
              <w:t>Discounts to appraisals or cash flows for estimated holding</w:t>
            </w:r>
          </w:p>
        </w:tc>
        <w:tc>
          <w:tcPr>
            <w:tcW w:w="1700" w:type="dxa"/>
            <w:vAlign w:val="bottom"/>
            <w:shd w:val="clear" w:color="auto" w:fill="CCEEFF"/>
          </w:tcPr>
          <w:p>
            <w:pPr>
              <w:spacing w:after="0"/>
              <w:rPr>
                <w:sz w:val="12"/>
                <w:szCs w:val="12"/>
                <w:color w:val="auto"/>
              </w:rPr>
            </w:pPr>
          </w:p>
        </w:tc>
      </w:tr>
      <w:tr>
        <w:trPr>
          <w:trHeight w:val="166"/>
        </w:trPr>
        <w:tc>
          <w:tcPr>
            <w:tcW w:w="2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Impaired Loans</w:t>
            </w:r>
          </w:p>
        </w:tc>
        <w:tc>
          <w:tcPr>
            <w:tcW w:w="286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Flows</w:t>
            </w:r>
          </w:p>
        </w:tc>
        <w:tc>
          <w:tcPr>
            <w:tcW w:w="39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and/or selling costs</w:t>
            </w:r>
          </w:p>
        </w:tc>
        <w:tc>
          <w:tcPr>
            <w:tcW w:w="170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0 - 25%</w:t>
            </w:r>
          </w:p>
        </w:tc>
      </w:tr>
      <w:tr>
        <w:trPr>
          <w:trHeight w:val="147"/>
        </w:trPr>
        <w:tc>
          <w:tcPr>
            <w:tcW w:w="2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60" w:type="dxa"/>
            <w:vAlign w:val="bottom"/>
            <w:gridSpan w:val="2"/>
          </w:tcPr>
          <w:p>
            <w:pPr>
              <w:jc w:val="center"/>
              <w:ind w:left="53"/>
              <w:spacing w:after="0" w:line="148" w:lineRule="exact"/>
              <w:rPr>
                <w:sz w:val="20"/>
                <w:szCs w:val="20"/>
                <w:color w:val="auto"/>
              </w:rPr>
            </w:pPr>
            <w:r>
              <w:rPr>
                <w:rFonts w:ascii="Arial" w:cs="Arial" w:eastAsia="Arial" w:hAnsi="Arial"/>
                <w:sz w:val="13"/>
                <w:szCs w:val="13"/>
                <w:color w:val="auto"/>
              </w:rPr>
              <w:t>Discounts to appraisals for estimated holding and/or selling</w:t>
            </w:r>
          </w:p>
        </w:tc>
        <w:tc>
          <w:tcPr>
            <w:tcW w:w="1700" w:type="dxa"/>
            <w:vAlign w:val="bottom"/>
          </w:tcPr>
          <w:p>
            <w:pPr>
              <w:spacing w:after="0"/>
              <w:rPr>
                <w:sz w:val="12"/>
                <w:szCs w:val="12"/>
                <w:color w:val="auto"/>
              </w:rPr>
            </w:pPr>
          </w:p>
        </w:tc>
      </w:tr>
      <w:tr>
        <w:trPr>
          <w:trHeight w:val="162"/>
        </w:trPr>
        <w:tc>
          <w:tcPr>
            <w:tcW w:w="2560" w:type="dxa"/>
            <w:vAlign w:val="bottom"/>
          </w:tcPr>
          <w:p>
            <w:pPr>
              <w:ind w:left="280"/>
              <w:spacing w:after="0"/>
              <w:rPr>
                <w:sz w:val="20"/>
                <w:szCs w:val="20"/>
                <w:color w:val="auto"/>
              </w:rPr>
            </w:pPr>
            <w:r>
              <w:rPr>
                <w:rFonts w:ascii="Arial" w:cs="Arial" w:eastAsia="Arial" w:hAnsi="Arial"/>
                <w:sz w:val="13"/>
                <w:szCs w:val="13"/>
                <w:color w:val="auto"/>
              </w:rPr>
              <w:t>Foreclosed Real Estate</w:t>
            </w:r>
          </w:p>
        </w:tc>
        <w:tc>
          <w:tcPr>
            <w:tcW w:w="2860" w:type="dxa"/>
            <w:vAlign w:val="bottom"/>
            <w:gridSpan w:val="2"/>
          </w:tcPr>
          <w:p>
            <w:pPr>
              <w:jc w:val="center"/>
              <w:ind w:left="53"/>
              <w:spacing w:after="0"/>
              <w:rPr>
                <w:sz w:val="20"/>
                <w:szCs w:val="20"/>
                <w:color w:val="auto"/>
              </w:rPr>
            </w:pPr>
            <w:r>
              <w:rPr>
                <w:rFonts w:ascii="Arial" w:cs="Arial" w:eastAsia="Arial" w:hAnsi="Arial"/>
                <w:sz w:val="13"/>
                <w:szCs w:val="13"/>
                <w:color w:val="auto"/>
              </w:rPr>
              <w:t>Appraised Value/Comparable Sales</w:t>
            </w:r>
          </w:p>
        </w:tc>
        <w:tc>
          <w:tcPr>
            <w:tcW w:w="396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costs</w:t>
            </w:r>
          </w:p>
        </w:tc>
        <w:tc>
          <w:tcPr>
            <w:tcW w:w="1700" w:type="dxa"/>
            <w:vAlign w:val="bottom"/>
          </w:tcPr>
          <w:p>
            <w:pPr>
              <w:jc w:val="right"/>
              <w:ind w:right="313"/>
              <w:spacing w:after="0"/>
              <w:rPr>
                <w:sz w:val="20"/>
                <w:szCs w:val="20"/>
                <w:color w:val="auto"/>
              </w:rPr>
            </w:pPr>
            <w:r>
              <w:rPr>
                <w:rFonts w:ascii="Arial" w:cs="Arial" w:eastAsia="Arial" w:hAnsi="Arial"/>
                <w:sz w:val="13"/>
                <w:szCs w:val="13"/>
                <w:color w:val="auto"/>
              </w:rPr>
              <w:t>0 - 25%</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204" w:lineRule="exact"/>
        <w:rPr>
          <w:sz w:val="20"/>
          <w:szCs w:val="20"/>
          <w:color w:val="auto"/>
        </w:rPr>
      </w:pPr>
    </w:p>
    <w:p>
      <w:pPr>
        <w:jc w:val="both"/>
        <w:ind w:right="80" w:firstLine="268"/>
        <w:spacing w:after="0" w:line="253" w:lineRule="auto"/>
        <w:rPr>
          <w:sz w:val="20"/>
          <w:szCs w:val="20"/>
          <w:color w:val="auto"/>
        </w:rPr>
      </w:pPr>
      <w:r>
        <w:rPr>
          <w:rFonts w:ascii="Arial" w:cs="Arial" w:eastAsia="Arial" w:hAnsi="Arial"/>
          <w:sz w:val="15"/>
          <w:szCs w:val="15"/>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718121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98" w:name="page99"/>
    <w:bookmarkEnd w:id="98"/>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17 - Fair Value (continued)</w:t>
      </w:r>
    </w:p>
    <w:p>
      <w:pPr>
        <w:spacing w:after="0" w:line="20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5"/>
          <w:szCs w:val="15"/>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71"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5"/>
          <w:szCs w:val="15"/>
          <w:color w:val="auto"/>
        </w:rPr>
        <w:t>As of December 31, 2021, the technique used by the Company to estimate the exit price of the loan portfolio consists of similar procedures to those used as of December 31, 2020, but with added emphasis on both illiquidity risk and credit risk not captured by the previously applied entry price notion. The fair value of the Company’s loan portfolio has always included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73"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66"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The fair value of cash and cash equivalents, interest bearing deposits at other financial institutions, federal funds sold and restricted investments is the carrying amount. Restricted stock includes equity of the Federal Reserve and other banker’s banks.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fair value of noninterest bearing deposits and securities sold under agreements to repurchase is the carrying amount.</w:t>
      </w:r>
    </w:p>
    <w:p>
      <w:pPr>
        <w:spacing w:after="0" w:line="186" w:lineRule="exact"/>
        <w:rPr>
          <w:sz w:val="20"/>
          <w:szCs w:val="20"/>
          <w:color w:val="auto"/>
        </w:rPr>
      </w:pPr>
    </w:p>
    <w:p>
      <w:pPr>
        <w:jc w:val="both"/>
        <w:ind w:right="20" w:firstLine="268"/>
        <w:spacing w:after="0" w:line="258" w:lineRule="auto"/>
        <w:rPr>
          <w:sz w:val="20"/>
          <w:szCs w:val="20"/>
          <w:color w:val="auto"/>
        </w:rPr>
      </w:pPr>
      <w:r>
        <w:rPr>
          <w:rFonts w:ascii="Arial" w:cs="Arial" w:eastAsia="Arial" w:hAnsi="Arial"/>
          <w:sz w:val="15"/>
          <w:szCs w:val="15"/>
          <w:color w:val="auto"/>
        </w:rPr>
        <w:t>The fair value of checking and savings deposits, and money market accounts, is the amount payable on demand at the reporting date. Fair value of fixed maturity term accounts and individual retirement accounts is estimated using rates currently offered for accounts of similar remaining maturities.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fair value of certificates of deposit in other financial institutions is estimated based on interest rates currently offered for deposits of similar remaining maturities.</w:t>
      </w:r>
    </w:p>
    <w:p>
      <w:pPr>
        <w:spacing w:after="0" w:line="186" w:lineRule="exact"/>
        <w:rPr>
          <w:sz w:val="20"/>
          <w:szCs w:val="20"/>
          <w:color w:val="auto"/>
        </w:rPr>
      </w:pPr>
    </w:p>
    <w:p>
      <w:pPr>
        <w:jc w:val="both"/>
        <w:ind w:right="20" w:firstLine="268"/>
        <w:spacing w:after="0" w:line="258" w:lineRule="auto"/>
        <w:rPr>
          <w:sz w:val="20"/>
          <w:szCs w:val="20"/>
          <w:color w:val="auto"/>
        </w:rPr>
      </w:pPr>
      <w:r>
        <w:rPr>
          <w:rFonts w:ascii="Arial" w:cs="Arial" w:eastAsia="Arial" w:hAnsi="Arial"/>
          <w:sz w:val="15"/>
          <w:szCs w:val="15"/>
          <w:color w:val="auto"/>
        </w:rPr>
        <w:t>The fair value of borrowings is estimated by discounting the value of contractual cash flows using current market rates for borrowings with similar terms and remaining maturities.</w:t>
      </w:r>
    </w:p>
    <w:p>
      <w:pPr>
        <w:spacing w:after="0" w:line="166" w:lineRule="exact"/>
        <w:rPr>
          <w:sz w:val="20"/>
          <w:szCs w:val="20"/>
          <w:color w:val="auto"/>
        </w:rPr>
      </w:pPr>
    </w:p>
    <w:p>
      <w:pPr>
        <w:jc w:val="both"/>
        <w:ind w:right="20" w:firstLine="268"/>
        <w:spacing w:after="0" w:line="258" w:lineRule="auto"/>
        <w:rPr>
          <w:sz w:val="20"/>
          <w:szCs w:val="20"/>
          <w:color w:val="auto"/>
        </w:rPr>
      </w:pPr>
      <w:r>
        <w:rPr>
          <w:rFonts w:ascii="Arial" w:cs="Arial" w:eastAsia="Arial" w:hAnsi="Arial"/>
          <w:sz w:val="15"/>
          <w:szCs w:val="15"/>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99" w:name="page100"/>
    <w:bookmarkEnd w:id="99"/>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17 - Fair Value (continued)</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presents the carrying amount, fair value, and placement in the fair value hierarchy of the Company’s financial instruments (in thousands).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Fair Value of Financial Assets and Liabilities</w:t>
      </w:r>
    </w:p>
    <w:p>
      <w:pPr>
        <w:spacing w:after="0" w:line="34"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50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2"/>
                <w:szCs w:val="12"/>
                <w:b w:val="1"/>
                <w:bCs w:val="1"/>
                <w:color w:val="auto"/>
              </w:rPr>
              <w:t>December 31, 2021</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2"/>
                <w:szCs w:val="12"/>
                <w:b w:val="1"/>
                <w:bCs w:val="1"/>
                <w:color w:val="auto"/>
              </w:rPr>
              <w:t>December 31, 2020</w:t>
            </w:r>
          </w:p>
        </w:tc>
      </w:tr>
      <w:tr>
        <w:trPr>
          <w:trHeight w:val="148"/>
        </w:trPr>
        <w:tc>
          <w:tcPr>
            <w:tcW w:w="5000" w:type="dxa"/>
            <w:vAlign w:val="bottom"/>
          </w:tcPr>
          <w:p>
            <w:pPr>
              <w:ind w:left="280"/>
              <w:spacing w:after="0"/>
              <w:rPr>
                <w:sz w:val="20"/>
                <w:szCs w:val="20"/>
                <w:color w:val="auto"/>
              </w:rPr>
            </w:pPr>
            <w:r>
              <w:rPr>
                <w:rFonts w:ascii="Arial" w:cs="Arial" w:eastAsia="Arial" w:hAnsi="Arial"/>
                <w:sz w:val="9"/>
                <w:szCs w:val="9"/>
                <w:color w:val="auto"/>
              </w:rPr>
              <w:t>(in thousands)</w:t>
            </w:r>
          </w:p>
        </w:tc>
        <w:tc>
          <w:tcPr>
            <w:tcW w:w="360" w:type="dxa"/>
            <w:vAlign w:val="bottom"/>
          </w:tcPr>
          <w:p>
            <w:pPr>
              <w:spacing w:after="0"/>
              <w:rPr>
                <w:sz w:val="12"/>
                <w:szCs w:val="12"/>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Carrying Amount</w:t>
            </w:r>
          </w:p>
        </w:tc>
        <w:tc>
          <w:tcPr>
            <w:tcW w:w="480" w:type="dxa"/>
            <w:vAlign w:val="bottom"/>
          </w:tcPr>
          <w:p>
            <w:pPr>
              <w:spacing w:after="0"/>
              <w:rPr>
                <w:sz w:val="12"/>
                <w:szCs w:val="12"/>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 Value</w:t>
            </w:r>
          </w:p>
        </w:tc>
        <w:tc>
          <w:tcPr>
            <w:tcW w:w="380" w:type="dxa"/>
            <w:vAlign w:val="bottom"/>
          </w:tcPr>
          <w:p>
            <w:pPr>
              <w:spacing w:after="0"/>
              <w:rPr>
                <w:sz w:val="12"/>
                <w:szCs w:val="12"/>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color w:val="auto"/>
              </w:rPr>
              <w:t>Carrying Amount</w:t>
            </w:r>
          </w:p>
        </w:tc>
        <w:tc>
          <w:tcPr>
            <w:tcW w:w="480" w:type="dxa"/>
            <w:vAlign w:val="bottom"/>
          </w:tcPr>
          <w:p>
            <w:pPr>
              <w:spacing w:after="0"/>
              <w:rPr>
                <w:sz w:val="12"/>
                <w:szCs w:val="12"/>
                <w:color w:val="auto"/>
              </w:rPr>
            </w:pP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Fair Value</w:t>
            </w:r>
          </w:p>
        </w:tc>
      </w:tr>
      <w:tr>
        <w:trPr>
          <w:trHeight w:val="159"/>
        </w:trPr>
        <w:tc>
          <w:tcPr>
            <w:tcW w:w="50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Financial assets</w:t>
            </w:r>
          </w:p>
        </w:tc>
        <w:tc>
          <w:tcPr>
            <w:tcW w:w="3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77"/>
        </w:trPr>
        <w:tc>
          <w:tcPr>
            <w:tcW w:w="5000" w:type="dxa"/>
            <w:vAlign w:val="bottom"/>
          </w:tcPr>
          <w:p>
            <w:pPr>
              <w:ind w:left="380"/>
              <w:spacing w:after="0"/>
              <w:rPr>
                <w:sz w:val="20"/>
                <w:szCs w:val="20"/>
                <w:color w:val="auto"/>
              </w:rPr>
            </w:pPr>
            <w:r>
              <w:rPr>
                <w:rFonts w:ascii="Arial" w:cs="Arial" w:eastAsia="Arial" w:hAnsi="Arial"/>
                <w:sz w:val="13"/>
                <w:szCs w:val="13"/>
                <w:color w:val="auto"/>
              </w:rPr>
              <w:t>Level 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1"/>
        </w:trPr>
        <w:tc>
          <w:tcPr>
            <w:tcW w:w="5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due from banks</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42,914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42,914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18,456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w:t>
            </w:r>
          </w:p>
        </w:tc>
      </w:tr>
      <w:tr>
        <w:trPr>
          <w:trHeight w:val="179"/>
        </w:trPr>
        <w:tc>
          <w:tcPr>
            <w:tcW w:w="5000" w:type="dxa"/>
            <w:vAlign w:val="bottom"/>
          </w:tcPr>
          <w:p>
            <w:pPr>
              <w:ind w:left="180"/>
              <w:spacing w:after="0"/>
              <w:rPr>
                <w:sz w:val="20"/>
                <w:szCs w:val="20"/>
                <w:color w:val="auto"/>
              </w:rPr>
            </w:pPr>
            <w:r>
              <w:rPr>
                <w:rFonts w:ascii="Arial" w:cs="Arial" w:eastAsia="Arial" w:hAnsi="Arial"/>
                <w:sz w:val="13"/>
                <w:szCs w:val="13"/>
                <w:color w:val="auto"/>
              </w:rPr>
              <w:t>Interest bearing deposits at other financial institutions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136,824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136,824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126,081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126,0</w:t>
            </w:r>
          </w:p>
        </w:tc>
      </w:tr>
      <w:tr>
        <w:trPr>
          <w:trHeight w:val="179"/>
        </w:trPr>
        <w:tc>
          <w:tcPr>
            <w:tcW w:w="5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Federal funds sold</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3,657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3,657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2,373</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r>
      <w:tr>
        <w:trPr>
          <w:trHeight w:val="179"/>
        </w:trPr>
        <w:tc>
          <w:tcPr>
            <w:tcW w:w="5000" w:type="dxa"/>
            <w:vAlign w:val="bottom"/>
          </w:tcPr>
          <w:p>
            <w:pPr>
              <w:ind w:left="180"/>
              <w:spacing w:after="0"/>
              <w:rPr>
                <w:sz w:val="20"/>
                <w:szCs w:val="20"/>
                <w:color w:val="auto"/>
              </w:rPr>
            </w:pPr>
            <w:r>
              <w:rPr>
                <w:rFonts w:ascii="Arial" w:cs="Arial" w:eastAsia="Arial" w:hAnsi="Arial"/>
                <w:sz w:val="13"/>
                <w:szCs w:val="13"/>
                <w:color w:val="auto"/>
              </w:rPr>
              <w:t>Restricted investments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3,743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3,743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3,958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79"/>
        </w:trPr>
        <w:tc>
          <w:tcPr>
            <w:tcW w:w="50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Level 3</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9"/>
        </w:trPr>
        <w:tc>
          <w:tcPr>
            <w:tcW w:w="5000" w:type="dxa"/>
            <w:vAlign w:val="bottom"/>
          </w:tcPr>
          <w:p>
            <w:pPr>
              <w:ind w:left="180"/>
              <w:spacing w:after="0"/>
              <w:rPr>
                <w:sz w:val="20"/>
                <w:szCs w:val="20"/>
                <w:color w:val="auto"/>
              </w:rPr>
            </w:pPr>
            <w:r>
              <w:rPr>
                <w:rFonts w:ascii="Arial" w:cs="Arial" w:eastAsia="Arial" w:hAnsi="Arial"/>
                <w:sz w:val="13"/>
                <w:szCs w:val="13"/>
                <w:color w:val="auto"/>
              </w:rPr>
              <w:t>Loans receivable, net</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1,607,086</w:t>
            </w:r>
          </w:p>
        </w:tc>
        <w:tc>
          <w:tcPr>
            <w:tcW w:w="100" w:type="dxa"/>
            <w:vAlign w:val="bottom"/>
          </w:tcPr>
          <w:p>
            <w:pPr>
              <w:spacing w:after="0"/>
              <w:rPr>
                <w:sz w:val="15"/>
                <w:szCs w:val="15"/>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1,598,228</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1,493,086</w:t>
            </w:r>
          </w:p>
        </w:tc>
        <w:tc>
          <w:tcPr>
            <w:tcW w:w="1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1,499,0</w:t>
            </w:r>
          </w:p>
        </w:tc>
      </w:tr>
      <w:tr>
        <w:trPr>
          <w:trHeight w:val="179"/>
        </w:trPr>
        <w:tc>
          <w:tcPr>
            <w:tcW w:w="5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8"/>
        </w:trPr>
        <w:tc>
          <w:tcPr>
            <w:tcW w:w="5000" w:type="dxa"/>
            <w:vAlign w:val="bottom"/>
          </w:tcPr>
          <w:p>
            <w:pPr>
              <w:ind w:left="280"/>
              <w:spacing w:after="0"/>
              <w:rPr>
                <w:sz w:val="20"/>
                <w:szCs w:val="20"/>
                <w:color w:val="auto"/>
              </w:rPr>
            </w:pPr>
            <w:r>
              <w:rPr>
                <w:rFonts w:ascii="Arial" w:cs="Arial" w:eastAsia="Arial" w:hAnsi="Arial"/>
                <w:sz w:val="13"/>
                <w:szCs w:val="13"/>
                <w:b w:val="1"/>
                <w:bCs w:val="1"/>
                <w:color w:val="auto"/>
              </w:rPr>
              <w:t>Financial liabilities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0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Level 1</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9"/>
        </w:trPr>
        <w:tc>
          <w:tcPr>
            <w:tcW w:w="5000" w:type="dxa"/>
            <w:vAlign w:val="bottom"/>
          </w:tcPr>
          <w:p>
            <w:pPr>
              <w:ind w:left="180"/>
              <w:spacing w:after="0"/>
              <w:rPr>
                <w:sz w:val="20"/>
                <w:szCs w:val="20"/>
                <w:color w:val="auto"/>
              </w:rPr>
            </w:pPr>
            <w:r>
              <w:rPr>
                <w:rFonts w:ascii="Arial" w:cs="Arial" w:eastAsia="Arial" w:hAnsi="Arial"/>
                <w:sz w:val="13"/>
                <w:szCs w:val="13"/>
                <w:color w:val="auto"/>
              </w:rPr>
              <w:t>Noninterest-bearing deposits</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787,650</w:t>
            </w:r>
          </w:p>
        </w:tc>
        <w:tc>
          <w:tcPr>
            <w:tcW w:w="100" w:type="dxa"/>
            <w:vAlign w:val="bottom"/>
          </w:tcPr>
          <w:p>
            <w:pPr>
              <w:spacing w:after="0"/>
              <w:rPr>
                <w:sz w:val="15"/>
                <w:szCs w:val="15"/>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787,650</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608,559</w:t>
            </w:r>
          </w:p>
        </w:tc>
        <w:tc>
          <w:tcPr>
            <w:tcW w:w="1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608,5</w:t>
            </w:r>
          </w:p>
        </w:tc>
      </w:tr>
      <w:tr>
        <w:trPr>
          <w:trHeight w:val="179"/>
        </w:trPr>
        <w:tc>
          <w:tcPr>
            <w:tcW w:w="50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Level 3</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9"/>
        </w:trPr>
        <w:tc>
          <w:tcPr>
            <w:tcW w:w="5000" w:type="dxa"/>
            <w:vAlign w:val="bottom"/>
          </w:tcPr>
          <w:p>
            <w:pPr>
              <w:ind w:left="180"/>
              <w:spacing w:after="0"/>
              <w:rPr>
                <w:sz w:val="20"/>
                <w:szCs w:val="20"/>
                <w:color w:val="auto"/>
              </w:rPr>
            </w:pPr>
            <w:r>
              <w:rPr>
                <w:rFonts w:ascii="Arial" w:cs="Arial" w:eastAsia="Arial" w:hAnsi="Arial"/>
                <w:sz w:val="13"/>
                <w:szCs w:val="13"/>
                <w:color w:val="auto"/>
              </w:rPr>
              <w:t>Interest-bearing deposits</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1,009,487</w:t>
            </w:r>
          </w:p>
        </w:tc>
        <w:tc>
          <w:tcPr>
            <w:tcW w:w="100" w:type="dxa"/>
            <w:vAlign w:val="bottom"/>
          </w:tcPr>
          <w:p>
            <w:pPr>
              <w:spacing w:after="0"/>
              <w:rPr>
                <w:sz w:val="15"/>
                <w:szCs w:val="15"/>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1,011,121</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1,043,569</w:t>
            </w:r>
          </w:p>
        </w:tc>
        <w:tc>
          <w:tcPr>
            <w:tcW w:w="1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1,048,7</w:t>
            </w:r>
          </w:p>
        </w:tc>
      </w:tr>
      <w:tr>
        <w:trPr>
          <w:trHeight w:val="179"/>
        </w:trPr>
        <w:tc>
          <w:tcPr>
            <w:tcW w:w="5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FHLB advances and other borrowed funds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34,062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34,263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36,016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100" w:name="page101"/>
    <w:bookmarkEnd w:id="100"/>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1631950</wp:posOffset>
            </wp:positionH>
            <wp:positionV relativeFrom="page">
              <wp:posOffset>102870</wp:posOffset>
            </wp:positionV>
            <wp:extent cx="4455795"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455795" cy="13970"/>
                    </a:xfrm>
                    <a:prstGeom prst="rect">
                      <a:avLst/>
                    </a:prstGeom>
                    <a:noFill/>
                  </pic:spPr>
                </pic:pic>
              </a:graphicData>
            </a:graphic>
          </wp:anchor>
        </w:drawing>
        <w:t>Capital Bancorp, Inc. and Subsidiaries</w:t>
      </w:r>
    </w:p>
    <w:p>
      <w:pPr>
        <w:ind w:left="2560"/>
        <w:spacing w:after="0" w:line="208" w:lineRule="auto"/>
        <w:rPr>
          <w:sz w:val="20"/>
          <w:szCs w:val="20"/>
          <w:color w:val="auto"/>
        </w:rPr>
      </w:pPr>
      <w:r>
        <w:rPr>
          <w:rFonts w:ascii="Arial" w:cs="Arial" w:eastAsia="Arial" w:hAnsi="Arial"/>
          <w:sz w:val="15"/>
          <w:szCs w:val="15"/>
          <w:b w:val="1"/>
          <w:bCs w:val="1"/>
          <w:i w:val="1"/>
          <w:iCs w:val="1"/>
          <w:color w:val="auto"/>
        </w:rPr>
        <w:t>Notes to Consolidated Financial Statements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b w:val="1"/>
          <w:bCs w:val="1"/>
          <w:i w:val="1"/>
          <w:iCs w:val="1"/>
          <w:color w:val="auto"/>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2540</wp:posOffset>
            </wp:positionV>
            <wp:extent cx="4455795" cy="139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45579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18 - Segments</w:t>
      </w:r>
    </w:p>
    <w:p>
      <w:pPr>
        <w:spacing w:after="0" w:line="204" w:lineRule="exact"/>
        <w:rPr>
          <w:sz w:val="20"/>
          <w:szCs w:val="20"/>
          <w:color w:val="auto"/>
        </w:rPr>
      </w:pPr>
    </w:p>
    <w:p>
      <w:pPr>
        <w:jc w:val="both"/>
        <w:ind w:firstLine="268"/>
        <w:spacing w:after="0" w:line="228" w:lineRule="auto"/>
        <w:rPr>
          <w:sz w:val="20"/>
          <w:szCs w:val="20"/>
          <w:color w:val="auto"/>
        </w:rPr>
      </w:pPr>
      <w:r>
        <w:rPr>
          <w:rFonts w:ascii="Arial" w:cs="Arial" w:eastAsia="Arial" w:hAnsi="Arial"/>
          <w:sz w:val="15"/>
          <w:szCs w:val="15"/>
          <w:color w:val="auto"/>
        </w:rPr>
        <w:t>The Company’s reportable segments represent business units with discrete financial information whose results are regularly reviewed by management. The four segments include Commercial Banking, Capital Bank Home Loans (the Company’s mortgage loan division), and OpenSky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(the Company’s credit card division) and the Corporate Office. The following schedule presents financial information for each reportable segment at December 31, 2021 and 2020.</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Segments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9"/>
          <w:szCs w:val="9"/>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320"/>
              <w:spacing w:after="0"/>
              <w:rPr>
                <w:sz w:val="20"/>
                <w:szCs w:val="20"/>
                <w:color w:val="auto"/>
              </w:rPr>
            </w:pPr>
            <w:r>
              <w:rPr>
                <w:rFonts w:ascii="Arial" w:cs="Arial" w:eastAsia="Arial" w:hAnsi="Arial"/>
                <w:sz w:val="12"/>
                <w:szCs w:val="12"/>
                <w:b w:val="1"/>
                <w:bCs w:val="1"/>
                <w:color w:val="auto"/>
              </w:rPr>
              <w:t>OpenSky</w:t>
            </w:r>
            <w:r>
              <w:rPr>
                <w:rFonts w:ascii="Arial" w:cs="Arial" w:eastAsia="Arial" w:hAnsi="Arial"/>
                <w:sz w:val="15"/>
                <w:szCs w:val="15"/>
                <w:b w:val="1"/>
                <w:bCs w:val="1"/>
                <w:color w:val="auto"/>
                <w:vertAlign w:val="superscript"/>
              </w:rPr>
              <w:t>®</w:t>
            </w:r>
          </w:p>
        </w:tc>
        <w:tc>
          <w:tcPr>
            <w:tcW w:w="260" w:type="dxa"/>
            <w:vAlign w:val="bottom"/>
          </w:tcPr>
          <w:p>
            <w:pPr>
              <w:spacing w:after="0"/>
              <w:rPr>
                <w:sz w:val="15"/>
                <w:szCs w:val="15"/>
                <w:color w:val="auto"/>
              </w:rPr>
            </w:pPr>
          </w:p>
        </w:tc>
        <w:tc>
          <w:tcPr>
            <w:tcW w:w="1120" w:type="dxa"/>
            <w:vAlign w:val="bottom"/>
          </w:tcPr>
          <w:p>
            <w:pPr>
              <w:jc w:val="right"/>
              <w:ind w:right="280"/>
              <w:spacing w:after="0"/>
              <w:rPr>
                <w:sz w:val="20"/>
                <w:szCs w:val="20"/>
                <w:color w:val="auto"/>
              </w:rPr>
            </w:pPr>
            <w:r>
              <w:rPr>
                <w:rFonts w:ascii="Arial" w:cs="Arial" w:eastAsia="Arial" w:hAnsi="Arial"/>
                <w:sz w:val="12"/>
                <w:szCs w:val="12"/>
                <w:b w:val="1"/>
                <w:bCs w:val="1"/>
                <w:color w:val="auto"/>
              </w:rPr>
              <w:t>Corporate</w:t>
            </w:r>
            <w:r>
              <w:rPr>
                <w:rFonts w:ascii="Arial" w:cs="Arial" w:eastAsia="Arial" w:hAnsi="Arial"/>
                <w:sz w:val="6"/>
                <w:szCs w:val="6"/>
                <w:b w:val="1"/>
                <w:bCs w:val="1"/>
                <w:color w:val="auto"/>
              </w:rPr>
              <w:t>(2)</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December 31, 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Commercial Bank</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CBHL</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Eliminations</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Consolidated</w:t>
            </w:r>
          </w:p>
        </w:tc>
      </w:tr>
      <w:tr>
        <w:trPr>
          <w:trHeight w:val="170"/>
        </w:trPr>
        <w:tc>
          <w:tcPr>
            <w:tcW w:w="3020" w:type="dxa"/>
            <w:vAlign w:val="bottom"/>
            <w:gridSpan w:val="2"/>
          </w:tcPr>
          <w:p>
            <w:pPr>
              <w:ind w:left="20"/>
              <w:spacing w:after="0"/>
              <w:rPr>
                <w:sz w:val="20"/>
                <w:szCs w:val="20"/>
                <w:color w:val="auto"/>
              </w:rPr>
            </w:pPr>
            <w:r>
              <w:rPr>
                <w:rFonts w:ascii="Arial" w:cs="Arial" w:eastAsia="Arial" w:hAnsi="Arial"/>
                <w:sz w:val="12"/>
                <w:szCs w:val="12"/>
                <w:color w:val="auto"/>
              </w:rPr>
              <w:t>Interest income</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69,433</w:t>
            </w:r>
          </w:p>
        </w:tc>
        <w:tc>
          <w:tcPr>
            <w:tcW w:w="3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1,217</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50,422</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2,307</w:t>
            </w: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(136)</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123,243</w:t>
            </w:r>
          </w:p>
        </w:tc>
      </w:tr>
      <w:tr>
        <w:trPr>
          <w:trHeight w:val="18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5,142</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874</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670</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6,550</w:t>
            </w:r>
          </w:p>
        </w:tc>
      </w:tr>
      <w:tr>
        <w:trPr>
          <w:trHeight w:val="166"/>
        </w:trPr>
        <w:tc>
          <w:tcPr>
            <w:tcW w:w="3020" w:type="dxa"/>
            <w:vAlign w:val="bottom"/>
            <w:gridSpan w:val="2"/>
          </w:tcPr>
          <w:p>
            <w:pPr>
              <w:ind w:left="20"/>
              <w:spacing w:after="0"/>
              <w:rPr>
                <w:sz w:val="20"/>
                <w:szCs w:val="20"/>
                <w:color w:val="auto"/>
              </w:rPr>
            </w:pPr>
            <w:r>
              <w:rPr>
                <w:rFonts w:ascii="Arial" w:cs="Arial" w:eastAsia="Arial" w:hAnsi="Arial"/>
                <w:sz w:val="12"/>
                <w:szCs w:val="12"/>
                <w:b w:val="1"/>
                <w:bCs w:val="1"/>
                <w:color w:val="auto"/>
              </w:rPr>
              <w:t>Net interest income</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64,291</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343</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50,422</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1,637</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116,693</w:t>
            </w:r>
          </w:p>
        </w:tc>
      </w:tr>
      <w:tr>
        <w:trPr>
          <w:trHeight w:val="18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Provision for loan losses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2,856</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3,359</w:t>
            </w: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2"/>
                <w:szCs w:val="12"/>
                <w:color w:val="auto"/>
              </w:rPr>
              <w:t>Noninterest income</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1,759</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20,911</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27,884</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82</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50,636</w:t>
            </w: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Noninterest expense</w:t>
            </w:r>
            <w:r>
              <w:rPr>
                <w:rFonts w:ascii="Arial" w:cs="Arial" w:eastAsia="Arial" w:hAnsi="Arial"/>
                <w:sz w:val="6"/>
                <w:szCs w:val="6"/>
                <w:color w:val="auto"/>
              </w:rPr>
              <w:t>(1)</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3"/>
        </w:trPr>
        <w:tc>
          <w:tcPr>
            <w:tcW w:w="2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44,729</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12,713</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52,231</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110,094</w:t>
            </w: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2"/>
                <w:szCs w:val="12"/>
                <w:b w:val="1"/>
                <w:bCs w:val="1"/>
                <w:color w:val="auto"/>
              </w:rPr>
              <w:t>Net income before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20,888</w:t>
            </w: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8,541</w:t>
            </w: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23,219</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1,228</w:t>
            </w: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53,876</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1"/>
        </w:trPr>
        <w:tc>
          <w:tcPr>
            <w:tcW w:w="2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79"/>
        </w:trPr>
        <w:tc>
          <w:tcPr>
            <w:tcW w:w="3020" w:type="dxa"/>
            <w:vAlign w:val="bottom"/>
            <w:gridSpan w:val="2"/>
          </w:tcPr>
          <w:p>
            <w:pPr>
              <w:ind w:left="20"/>
              <w:spacing w:after="0"/>
              <w:rPr>
                <w:sz w:val="20"/>
                <w:szCs w:val="20"/>
                <w:color w:val="auto"/>
              </w:rPr>
            </w:pPr>
            <w:r>
              <w:rPr>
                <w:rFonts w:ascii="Arial" w:cs="Arial" w:eastAsia="Arial" w:hAnsi="Arial"/>
                <w:sz w:val="12"/>
                <w:szCs w:val="12"/>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1,859,201</w:t>
            </w: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16,698</w:t>
            </w: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138,232</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217,993</w:t>
            </w: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(176,824)</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2,055,300</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1"/>
        </w:trPr>
        <w:tc>
          <w:tcPr>
            <w:tcW w:w="2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7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December 31, 2020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66,373</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2,611</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25,907</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2,481</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97,251</w:t>
            </w:r>
          </w:p>
        </w:tc>
      </w:tr>
      <w:tr>
        <w:trPr>
          <w:trHeight w:val="17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Interest expense</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10,396</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1,216</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13,182</w:t>
            </w: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interest income</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55,977</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25,907</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1,265</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84,069</w:t>
            </w: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2"/>
                <w:szCs w:val="12"/>
                <w:color w:val="auto"/>
              </w:rPr>
              <w:t>Provision for loan losses</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9,461</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1,681</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100</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11,242</w:t>
            </w:r>
          </w:p>
        </w:tc>
      </w:tr>
      <w:tr>
        <w:trPr>
          <w:trHeight w:val="18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Noninterest income</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43,250</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16,966</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61,061</w:t>
            </w:r>
          </w:p>
        </w:tc>
      </w:tr>
      <w:tr>
        <w:trPr>
          <w:trHeight w:val="170"/>
        </w:trPr>
        <w:tc>
          <w:tcPr>
            <w:tcW w:w="3020" w:type="dxa"/>
            <w:vAlign w:val="bottom"/>
            <w:gridSpan w:val="2"/>
          </w:tcPr>
          <w:p>
            <w:pPr>
              <w:ind w:left="20"/>
              <w:spacing w:after="0"/>
              <w:rPr>
                <w:sz w:val="20"/>
                <w:szCs w:val="20"/>
                <w:color w:val="auto"/>
              </w:rPr>
            </w:pPr>
            <w:r>
              <w:rPr>
                <w:rFonts w:ascii="Arial" w:cs="Arial" w:eastAsia="Arial" w:hAnsi="Arial"/>
                <w:sz w:val="12"/>
                <w:szCs w:val="12"/>
                <w:color w:val="auto"/>
              </w:rPr>
              <w:t>Noninterest expense</w:t>
            </w:r>
            <w:r>
              <w:rPr>
                <w:rFonts w:ascii="Arial" w:cs="Arial" w:eastAsia="Arial" w:hAnsi="Arial"/>
                <w:sz w:val="6"/>
                <w:szCs w:val="6"/>
                <w:color w:val="auto"/>
              </w:rPr>
              <w:t>(1)</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3"/>
        </w:trPr>
        <w:tc>
          <w:tcPr>
            <w:tcW w:w="2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35,790</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27,530</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35,013</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98,751</w:t>
            </w:r>
          </w:p>
        </w:tc>
      </w:tr>
      <w:tr>
        <w:trPr>
          <w:trHeight w:val="20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before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11,548</w:t>
            </w: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16,640</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6,179</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770</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35,137</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04"/>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1,624,280</w:t>
            </w: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107,507</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113,244</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178,569</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(147,006)</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1,876,593</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ind w:left="280" w:hanging="270"/>
        <w:spacing w:after="0"/>
        <w:tabs>
          <w:tab w:leader="none" w:pos="28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Noninterest expense includes $36.1 million and $24.5 million in data processing expenses in OpenSky’s</w:t>
      </w:r>
      <w:r>
        <w:rPr>
          <w:rFonts w:ascii="Arial" w:cs="Arial" w:eastAsia="Arial" w:hAnsi="Arial"/>
          <w:sz w:val="19"/>
          <w:szCs w:val="19"/>
          <w:color w:val="auto"/>
          <w:vertAlign w:val="superscript"/>
        </w:rPr>
        <w:t>®</w:t>
      </w:r>
      <w:r>
        <w:rPr>
          <w:rFonts w:ascii="Arial" w:cs="Arial" w:eastAsia="Arial" w:hAnsi="Arial"/>
          <w:sz w:val="12"/>
          <w:szCs w:val="12"/>
          <w:color w:val="auto"/>
        </w:rPr>
        <w:t xml:space="preserve"> segment for the years ended December 31, 2021 and 2020, respectively.</w:t>
      </w:r>
    </w:p>
    <w:p>
      <w:pPr>
        <w:spacing w:after="0" w:line="130" w:lineRule="exact"/>
        <w:rPr>
          <w:rFonts w:ascii="Arial" w:cs="Arial" w:eastAsia="Arial" w:hAnsi="Arial"/>
          <w:sz w:val="16"/>
          <w:szCs w:val="16"/>
          <w:color w:val="auto"/>
          <w:vertAlign w:val="superscript"/>
        </w:rPr>
      </w:pPr>
    </w:p>
    <w:p>
      <w:pPr>
        <w:ind w:left="280" w:hanging="270"/>
        <w:spacing w:after="0"/>
        <w:tabs>
          <w:tab w:leader="none" w:pos="280" w:val="left"/>
        </w:tabs>
        <w:numPr>
          <w:ilvl w:val="0"/>
          <w:numId w:val="23"/>
        </w:numPr>
        <w:rPr>
          <w:rFonts w:ascii="Arial" w:cs="Arial" w:eastAsia="Arial" w:hAnsi="Arial"/>
          <w:sz w:val="9"/>
          <w:szCs w:val="9"/>
          <w:color w:val="auto"/>
        </w:rPr>
      </w:pPr>
      <w:r>
        <w:rPr>
          <w:rFonts w:ascii="Arial" w:cs="Arial" w:eastAsia="Arial" w:hAnsi="Arial"/>
          <w:sz w:val="12"/>
          <w:szCs w:val="12"/>
          <w:color w:val="auto"/>
        </w:rPr>
        <w:t>The Corporate segment invests idle cash in revenue producing assets including interest bearing cash accounts, loan participations and other appropriate investments for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19 - Litigation</w:t>
      </w:r>
    </w:p>
    <w:p>
      <w:pPr>
        <w:spacing w:after="0" w:line="204" w:lineRule="exact"/>
        <w:rPr>
          <w:sz w:val="20"/>
          <w:szCs w:val="20"/>
          <w:color w:val="auto"/>
        </w:rPr>
      </w:pPr>
    </w:p>
    <w:p>
      <w:pPr>
        <w:ind w:right="20" w:firstLine="268"/>
        <w:spacing w:after="0" w:line="258" w:lineRule="auto"/>
        <w:rPr>
          <w:sz w:val="20"/>
          <w:szCs w:val="20"/>
          <w:color w:val="auto"/>
        </w:rPr>
      </w:pPr>
      <w:r>
        <w:rPr>
          <w:rFonts w:ascii="Arial" w:cs="Arial" w:eastAsia="Arial" w:hAnsi="Arial"/>
          <w:sz w:val="15"/>
          <w:szCs w:val="15"/>
          <w:color w:val="auto"/>
        </w:rPr>
        <w:t>The Company is involved in legal proceedings occurring in the ordinary course of business. The aggregate effect of these, in management’s opinion, would not be material to the results of operations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01" w:name="page102"/>
    <w:bookmarkEnd w:id="101"/>
    <w:p>
      <w:pPr>
        <w:ind w:left="280"/>
        <w:spacing w:after="0"/>
        <w:rPr>
          <w:sz w:val="20"/>
          <w:szCs w:val="20"/>
          <w:color w:val="auto"/>
        </w:rPr>
      </w:pPr>
      <w:r>
        <w:rPr>
          <w:rFonts w:ascii="Arial" w:cs="Arial" w:eastAsia="Arial" w:hAnsi="Arial"/>
          <w:sz w:val="15"/>
          <w:szCs w:val="15"/>
          <w:b w:val="1"/>
          <w:bCs w:val="1"/>
          <w:u w:val="single" w:color="auto"/>
          <w:color w:val="auto"/>
        </w:rPr>
        <w:t>ITEM 9. CHANGES IN AND DISAGREEMENTS WITH ACCOUNTANTS ON ACCOUNTING AND FINANCIAL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ITEM 9A. 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Evaluation of Disclosure Controls and Procedures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Company’s management, including our Chief Executive Officer and Chief Financial Officer, have evaluated the effectiveness of our disclosure controls and procedures (as defined in Rules 13a-15(e) and 15d-15(e)) under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Report by Management on Internal Control over Financial Reporting</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Management is responsible for establishing and maintaining an effective system of internal control over financial reporting (as such term is defined in Rules 13A-15(f) and 15d-15(f) under the Exchange Act).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There are inherent limitations in the effectiveness of any system of internal control over financial reporting, including the possibility of human error and circumvention or overriding of controls. Accordingly, even an effective system of internal control over financial reporting can provide only reasonable assurance with respect to financial statement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Management has assessed the Company’s internal control over financial reporting as of December 31, 2021 This assessment was based on criteria for effective internal control over financial reporting described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Based on this assessment, management believes that, as of December 31, 2021, the Company maintained effective internal control over financial reporting based on those criteria.</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Elliott Davis, PLLC, the independent registered public accounting firm, audited the consolidated financial statements of the Company included in this Annual Report on Form 10-K. Their report is included in Part II, Item 8. Financial Statements and Supplementary Data under the heading “Report of Independent Registered Public Accounting Firm.” The Annual Report on Form 10-K does not include an attestation report on the Company’s internal control over financial reporting from the Company’s independent registered public accounting firm due to the transition period established by the SEC for an Emerging Growth Company.</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Internal Control over Financial Reporting</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There has been no change in the Company’s internal control over financial reporting (as such term is defined in Rule 13a-15(f) under the Exchange Act) during the fourth quarter of 2021 to which this report relates that has materially affected, or is reasonably likely to materially affect, the Company’s internal control over financial reporting. During February 2022, additional information technology general controls (“ITGCs”) were put into place or enhanced to improve the design and operational effectiveness of the Company’s ITGCs. These include process controls around user access management, a new patch management program standard, and a revised enterprise change management program. IT Governance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81215"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color w:val="auto"/>
        </w:rPr>
        <w:t>enhancements include a new IT Governance Committee Chair and enhanced monthly IT Operations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ITEM 9B. OTHER INFORMATION</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ITEM 9C. DISCLOSURE REGARDING FOREIGN JURISDICTIONS THAT PREVENT INSPECTIONS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III</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ITEM 10. DIRECTORS, EXECUTIVE OFFICERS AND CORPORATE GOVERNANCE</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information required by this Item with respect to our directors and certain corporate governance practices is contained in our Proxy Statement for our 2022</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Annual Meeting of Shareholders (the “Proxy Statement”) to be filed with the SEC within 120 days after the end of the Company’s fiscal year ended December 31, 2021.</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Such information is incorporated herein by reference.</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11. EXECUTIVE COMPENSATION</w:t>
      </w:r>
    </w:p>
    <w:p>
      <w:pPr>
        <w:spacing w:after="0" w:line="204" w:lineRule="exact"/>
        <w:rPr>
          <w:sz w:val="20"/>
          <w:szCs w:val="20"/>
          <w:color w:val="auto"/>
        </w:rPr>
      </w:pPr>
    </w:p>
    <w:p>
      <w:pPr>
        <w:jc w:val="both"/>
        <w:ind w:right="20" w:firstLine="537"/>
        <w:spacing w:after="0" w:line="258" w:lineRule="auto"/>
        <w:rPr>
          <w:sz w:val="20"/>
          <w:szCs w:val="20"/>
          <w:color w:val="auto"/>
        </w:rPr>
      </w:pPr>
      <w:r>
        <w:rPr>
          <w:rFonts w:ascii="Arial" w:cs="Arial" w:eastAsia="Arial" w:hAnsi="Arial"/>
          <w:sz w:val="15"/>
          <w:szCs w:val="15"/>
          <w:color w:val="auto"/>
        </w:rPr>
        <w:t>The information required by this Item is incorporated herein by reference to our Proxy Statement to be filed with the SEC within 120 days after the end of the Company’s fiscal year ended December 31, 2021.</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ITEM 12. SECURITY OWNERSHIP OF CERTAIN BENEFICIAL OWNERS AND MANAGEMENT AND RELATED STOCKHOLDER MATTERS</w:t>
      </w:r>
    </w:p>
    <w:p>
      <w:pPr>
        <w:spacing w:after="0" w:line="204" w:lineRule="exact"/>
        <w:rPr>
          <w:sz w:val="20"/>
          <w:szCs w:val="20"/>
          <w:color w:val="auto"/>
        </w:rPr>
      </w:pPr>
    </w:p>
    <w:p>
      <w:pPr>
        <w:jc w:val="both"/>
        <w:ind w:firstLine="537"/>
        <w:spacing w:after="0" w:line="258" w:lineRule="auto"/>
        <w:rPr>
          <w:sz w:val="20"/>
          <w:szCs w:val="20"/>
          <w:color w:val="auto"/>
        </w:rPr>
      </w:pPr>
      <w:r>
        <w:rPr>
          <w:rFonts w:ascii="Arial" w:cs="Arial" w:eastAsia="Arial" w:hAnsi="Arial"/>
          <w:sz w:val="15"/>
          <w:szCs w:val="15"/>
          <w:color w:val="auto"/>
        </w:rPr>
        <w:t>The information required by this Item regarding security ownership of certain beneficial owners and management is incorporated by reference to our Proxy Statement to be filed with the SEC within 120 days after the end of the Company’s fiscal year ended December 31, 2021.</w:t>
      </w:r>
    </w:p>
    <w:p>
      <w:pPr>
        <w:spacing w:after="0" w:line="166" w:lineRule="exact"/>
        <w:rPr>
          <w:sz w:val="20"/>
          <w:szCs w:val="20"/>
          <w:color w:val="auto"/>
        </w:rPr>
      </w:pPr>
    </w:p>
    <w:p>
      <w:pPr>
        <w:jc w:val="both"/>
        <w:ind w:firstLine="537"/>
        <w:spacing w:after="0" w:line="258" w:lineRule="auto"/>
        <w:rPr>
          <w:sz w:val="20"/>
          <w:szCs w:val="20"/>
          <w:color w:val="auto"/>
        </w:rPr>
      </w:pPr>
      <w:r>
        <w:rPr>
          <w:rFonts w:ascii="Arial" w:cs="Arial" w:eastAsia="Arial" w:hAnsi="Arial"/>
          <w:sz w:val="15"/>
          <w:szCs w:val="15"/>
          <w:color w:val="auto"/>
        </w:rPr>
        <w:t>Information relating to securities authorized for issuance under the Company’s equity compensation plans is included in Part II of this Annual Report on Form 10-K under “Item 5. Market for Registrant’s Common Equity, Related Shareholder Matters and Issuer Purchases of Equity Securities.”</w:t>
      </w:r>
    </w:p>
    <w:p>
      <w:pPr>
        <w:spacing w:after="0" w:line="350"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ITEM 13. CERTAIN RELATIONSHIPS AND RELATED TRANSACTIONS, AND DIRECTOR INDEPENDENCE</w:t>
      </w:r>
    </w:p>
    <w:p>
      <w:pPr>
        <w:spacing w:after="0" w:line="204" w:lineRule="exact"/>
        <w:rPr>
          <w:sz w:val="20"/>
          <w:szCs w:val="20"/>
          <w:color w:val="auto"/>
        </w:rPr>
      </w:pPr>
    </w:p>
    <w:p>
      <w:pPr>
        <w:jc w:val="both"/>
        <w:ind w:right="20" w:firstLine="537"/>
        <w:spacing w:after="0" w:line="258" w:lineRule="auto"/>
        <w:rPr>
          <w:sz w:val="20"/>
          <w:szCs w:val="20"/>
          <w:color w:val="auto"/>
        </w:rPr>
      </w:pPr>
      <w:r>
        <w:rPr>
          <w:rFonts w:ascii="Arial" w:cs="Arial" w:eastAsia="Arial" w:hAnsi="Arial"/>
          <w:sz w:val="15"/>
          <w:szCs w:val="15"/>
          <w:color w:val="auto"/>
        </w:rPr>
        <w:t>The information required by this Item is incorporated herein by reference to our Proxy Statement to be filed with the SEC within 120 days after the end of the Company’s fiscal year ended December 31, 2021.</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u w:val="single" w:color="auto"/>
          <w:color w:val="auto"/>
        </w:rPr>
        <w:t>ITEM 14.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855980</wp:posOffset>
            </wp:positionV>
            <wp:extent cx="7181215"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103" w:name="page104"/>
    <w:bookmarkEnd w:id="103"/>
    <w:p>
      <w:pPr>
        <w:ind w:firstLine="537"/>
        <w:spacing w:after="0" w:line="258" w:lineRule="auto"/>
        <w:rPr>
          <w:sz w:val="20"/>
          <w:szCs w:val="20"/>
          <w:color w:val="auto"/>
        </w:rPr>
      </w:pPr>
      <w:r>
        <w:rPr>
          <w:rFonts w:ascii="Arial" w:cs="Arial" w:eastAsia="Arial" w:hAnsi="Arial"/>
          <w:sz w:val="15"/>
          <w:szCs w:val="15"/>
          <w:color w:val="auto"/>
        </w:rPr>
        <w:t>The information required by this Item is incorporated herein by reference to our Proxy Statement to be filed with the SEC within 120 days after the end of the Company’s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832485</wp:posOffset>
            </wp:positionV>
            <wp:extent cx="7181215"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392" w:right="339" w:bottom="1440" w:gutter="0" w:footer="0" w:header="0"/>
        </w:sectPr>
      </w:pPr>
    </w:p>
    <w:bookmarkStart w:id="104" w:name="page105"/>
    <w:bookmarkEnd w:id="104"/>
    <w:p>
      <w:pPr>
        <w:ind w:left="5360"/>
        <w:spacing w:after="0"/>
        <w:rPr>
          <w:sz w:val="20"/>
          <w:szCs w:val="20"/>
          <w:color w:val="auto"/>
        </w:rPr>
      </w:pPr>
      <w:r>
        <w:rPr>
          <w:rFonts w:ascii="Arial" w:cs="Arial" w:eastAsia="Arial" w:hAnsi="Arial"/>
          <w:sz w:val="15"/>
          <w:szCs w:val="15"/>
          <w:b w:val="1"/>
          <w:bCs w:val="1"/>
          <w:color w:val="auto"/>
        </w:rPr>
        <w:t>PART IV</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15. EXHIBITS AND FINANCIAL STATEMENT SCHEDULES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(a)(1), (2) and (c) The following financial statements are incorporated by reference from Item 8 hereof:</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Report of Independent Registered Public Accounting Firm. PCAOB ID (149)</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Consolidated Balance Sheets as of December 31, 2021 and 2020.</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Consolidated Statements of Income for the Years Ended December 31, 2021 and 2020.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Consolidated Statements of Comprehensive Income for the Years Ended December 31, 2021 and 2020.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Consolidated Statements of Changes in Stockholders’ Equity for the Years Ended December 31, 2021 and 2020.</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Consolidated Statements of Cash Flows for the Years Ended December 31, 2021 and 2020.</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Notes to Consolidated Financial Statements.</w:t>
      </w:r>
    </w:p>
    <w:p>
      <w:pPr>
        <w:spacing w:after="0" w:line="186"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5"/>
          <w:szCs w:val="15"/>
          <w:color w:val="auto"/>
        </w:rPr>
        <w:t>(a)(3) and (b)</w:t>
      </w:r>
      <w:r>
        <w:rPr>
          <w:sz w:val="20"/>
          <w:szCs w:val="20"/>
          <w:color w:val="auto"/>
        </w:rPr>
        <w:tab/>
      </w:r>
      <w:r>
        <w:rPr>
          <w:rFonts w:ascii="Arial" w:cs="Arial" w:eastAsia="Arial" w:hAnsi="Arial"/>
          <w:sz w:val="14"/>
          <w:szCs w:val="14"/>
          <w:color w:val="auto"/>
        </w:rPr>
        <w:t>Exhibits required to be filed by Item 601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1086485</wp:posOffset>
            </wp:positionV>
            <wp:extent cx="7181215"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0159"/>
          </w:cols>
          <w:pgMar w:left="300" w:top="1374" w:right="1440"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b w:val="1"/>
          <w:bCs w:val="1"/>
          <w:color w:val="auto"/>
        </w:rPr>
        <w:t>INDEX TO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gridSpan w:val="2"/>
          </w:tcPr>
          <w:p>
            <w:pPr>
              <w:ind w:left="400"/>
              <w:spacing w:after="0"/>
              <w:rPr>
                <w:sz w:val="20"/>
                <w:szCs w:val="20"/>
                <w:color w:val="auto"/>
              </w:rPr>
            </w:pPr>
            <w:r>
              <w:rPr>
                <w:rFonts w:ascii="Arial" w:cs="Arial" w:eastAsia="Arial" w:hAnsi="Arial"/>
                <w:sz w:val="12"/>
                <w:szCs w:val="12"/>
                <w:b w:val="1"/>
                <w:bCs w:val="1"/>
                <w:color w:val="auto"/>
              </w:rPr>
              <w:t>Exhibit</w:t>
            </w: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60" w:type="dxa"/>
            <w:vAlign w:val="bottom"/>
            <w:gridSpan w:val="15"/>
            <w:vMerge w:val="restart"/>
          </w:tcPr>
          <w:p>
            <w:pPr>
              <w:ind w:left="34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45"/>
        </w:trPr>
        <w:tc>
          <w:tcPr>
            <w:tcW w:w="1180" w:type="dxa"/>
            <w:vAlign w:val="bottom"/>
            <w:gridSpan w:val="2"/>
          </w:tcPr>
          <w:p>
            <w:pPr>
              <w:ind w:left="240"/>
              <w:spacing w:after="0"/>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60" w:type="dxa"/>
            <w:vAlign w:val="bottom"/>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3.1</w:t>
            </w:r>
          </w:p>
        </w:tc>
        <w:tc>
          <w:tcPr>
            <w:tcW w:w="2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500" w:type="dxa"/>
            <w:vAlign w:val="bottom"/>
            <w:tcBorders>
              <w:top w:val="single" w:sz="8" w:color="auto"/>
              <w:bottom w:val="single" w:sz="8" w:color="0000FF"/>
            </w:tcBorders>
            <w:gridSpan w:val="14"/>
          </w:tcPr>
          <w:p>
            <w:pPr>
              <w:spacing w:after="0" w:line="126" w:lineRule="exact"/>
              <w:rPr>
                <w:rFonts w:ascii="Arial" w:cs="Arial" w:eastAsia="Arial" w:hAnsi="Arial"/>
                <w:sz w:val="12"/>
                <w:szCs w:val="12"/>
                <w:color w:val="0000FF"/>
                <w:w w:val="98"/>
              </w:rPr>
            </w:pPr>
            <w:hyperlink r:id="rId208">
              <w:r>
                <w:rPr>
                  <w:rFonts w:ascii="Arial" w:cs="Arial" w:eastAsia="Arial" w:hAnsi="Arial"/>
                  <w:sz w:val="12"/>
                  <w:szCs w:val="12"/>
                  <w:color w:val="0000FF"/>
                  <w:w w:val="98"/>
                </w:rPr>
                <w:t>Amended and Restated Articles of Incorporation (incorporated by reference to Exhibit 3.1 to the Company’s Form S-1 filed on August 31, 2018)</w:t>
              </w:r>
            </w:hyperlink>
          </w:p>
        </w:tc>
        <w:tc>
          <w:tcPr>
            <w:tcW w:w="2080" w:type="dxa"/>
            <w:vAlign w:val="bottom"/>
            <w:tcBorders>
              <w:top w:val="single" w:sz="8" w:color="auto"/>
            </w:tcBorders>
            <w:gridSpan w:val="10"/>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3.2</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580" w:type="dxa"/>
            <w:vAlign w:val="bottom"/>
            <w:gridSpan w:val="24"/>
          </w:tcPr>
          <w:p>
            <w:pPr>
              <w:spacing w:after="0" w:line="137" w:lineRule="exact"/>
              <w:rPr>
                <w:rFonts w:ascii="Arial" w:cs="Arial" w:eastAsia="Arial" w:hAnsi="Arial"/>
                <w:sz w:val="12"/>
                <w:szCs w:val="12"/>
                <w:color w:val="0000FF"/>
              </w:rPr>
            </w:pPr>
            <w:hyperlink r:id="rId209">
              <w:r>
                <w:rPr>
                  <w:rFonts w:ascii="Arial" w:cs="Arial" w:eastAsia="Arial" w:hAnsi="Arial"/>
                  <w:sz w:val="12"/>
                  <w:szCs w:val="12"/>
                  <w:color w:val="0000FF"/>
                </w:rPr>
                <w:t>Amended and Restated Bylaws (incorporated by reference to Exhibit 3.2 to the Company’s Form S-1 filed on August 31, 2018)</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4.1</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40" w:type="dxa"/>
            <w:vAlign w:val="bottom"/>
            <w:tcBorders>
              <w:bottom w:val="single" w:sz="8" w:color="0000FF"/>
            </w:tcBorders>
            <w:gridSpan w:val="13"/>
          </w:tcPr>
          <w:p>
            <w:pPr>
              <w:spacing w:after="0" w:line="137" w:lineRule="exact"/>
              <w:rPr>
                <w:rFonts w:ascii="Arial" w:cs="Arial" w:eastAsia="Arial" w:hAnsi="Arial"/>
                <w:sz w:val="12"/>
                <w:szCs w:val="12"/>
                <w:color w:val="0000FF"/>
                <w:w w:val="98"/>
              </w:rPr>
            </w:pPr>
            <w:hyperlink r:id="rId210">
              <w:r>
                <w:rPr>
                  <w:rFonts w:ascii="Arial" w:cs="Arial" w:eastAsia="Arial" w:hAnsi="Arial"/>
                  <w:sz w:val="12"/>
                  <w:szCs w:val="12"/>
                  <w:color w:val="0000FF"/>
                  <w:w w:val="98"/>
                </w:rPr>
                <w:t>Specimen Common Stock Certificate (incorporated by reference to Exhibit 4.1 to the Company’s Form S-1/A filed on September 17, 2018)</w:t>
              </w:r>
            </w:hyperlink>
          </w:p>
        </w:tc>
        <w:tc>
          <w:tcPr>
            <w:tcW w:w="234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30" w:lineRule="exact"/>
              <w:rPr>
                <w:sz w:val="20"/>
                <w:szCs w:val="20"/>
                <w:color w:val="auto"/>
              </w:rPr>
            </w:pPr>
            <w:r>
              <w:rPr>
                <w:rFonts w:ascii="Arial" w:cs="Arial" w:eastAsia="Arial" w:hAnsi="Arial"/>
                <w:sz w:val="12"/>
                <w:szCs w:val="12"/>
                <w:color w:val="auto"/>
              </w:rPr>
              <w:t>4.2</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580" w:type="dxa"/>
            <w:vAlign w:val="bottom"/>
            <w:gridSpan w:val="24"/>
          </w:tcPr>
          <w:p>
            <w:pPr>
              <w:spacing w:after="0" w:line="130" w:lineRule="exact"/>
              <w:rPr>
                <w:sz w:val="20"/>
                <w:szCs w:val="20"/>
                <w:color w:val="auto"/>
              </w:rPr>
            </w:pPr>
            <w:r>
              <w:rPr>
                <w:rFonts w:ascii="Arial" w:cs="Arial" w:eastAsia="Arial" w:hAnsi="Arial"/>
                <w:sz w:val="12"/>
                <w:szCs w:val="12"/>
                <w:color w:val="auto"/>
              </w:rPr>
              <w:t>Long-term borrowing instruments are omitted pursuant to Item 601(b)(4)(iii) of Regulation S-K. The Company undertakes to furnish copies of such instruments to the SEC upon</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900" w:type="dxa"/>
            <w:vAlign w:val="bottom"/>
            <w:gridSpan w:val="25"/>
          </w:tcPr>
          <w:p>
            <w:pPr>
              <w:spacing w:after="0"/>
              <w:rPr>
                <w:sz w:val="20"/>
                <w:szCs w:val="20"/>
                <w:color w:val="auto"/>
              </w:rPr>
            </w:pPr>
            <w:r>
              <w:rPr>
                <w:rFonts w:ascii="Arial" w:cs="Arial" w:eastAsia="Arial" w:hAnsi="Arial"/>
                <w:sz w:val="12"/>
                <w:szCs w:val="12"/>
                <w:color w:val="auto"/>
              </w:rPr>
              <w:t>request.</w:t>
            </w:r>
          </w:p>
        </w:tc>
        <w:tc>
          <w:tcPr>
            <w:tcW w:w="0" w:type="dxa"/>
            <w:vAlign w:val="bottom"/>
          </w:tcPr>
          <w:p>
            <w:pPr>
              <w:spacing w:after="0"/>
              <w:rPr>
                <w:sz w:val="1"/>
                <w:szCs w:val="1"/>
                <w:color w:val="auto"/>
              </w:rPr>
            </w:pPr>
          </w:p>
        </w:tc>
      </w:tr>
      <w:tr>
        <w:trPr>
          <w:trHeight w:val="132"/>
        </w:trPr>
        <w:tc>
          <w:tcPr>
            <w:tcW w:w="940" w:type="dxa"/>
            <w:vAlign w:val="bottom"/>
          </w:tcPr>
          <w:p>
            <w:pPr>
              <w:jc w:val="right"/>
              <w:spacing w:after="0" w:line="132" w:lineRule="exact"/>
              <w:rPr>
                <w:sz w:val="20"/>
                <w:szCs w:val="20"/>
                <w:color w:val="auto"/>
              </w:rPr>
            </w:pPr>
            <w:r>
              <w:rPr>
                <w:rFonts w:ascii="Arial" w:cs="Arial" w:eastAsia="Arial" w:hAnsi="Arial"/>
                <w:sz w:val="12"/>
                <w:szCs w:val="12"/>
                <w:color w:val="auto"/>
              </w:rPr>
              <w:t>10.1</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580" w:type="dxa"/>
            <w:vAlign w:val="bottom"/>
            <w:tcBorders>
              <w:bottom w:val="single" w:sz="8" w:color="0000FF"/>
            </w:tcBorders>
            <w:gridSpan w:val="15"/>
          </w:tcPr>
          <w:p>
            <w:pPr>
              <w:spacing w:after="0" w:line="132" w:lineRule="exact"/>
              <w:rPr>
                <w:rFonts w:ascii="Arial" w:cs="Arial" w:eastAsia="Arial" w:hAnsi="Arial"/>
                <w:sz w:val="12"/>
                <w:szCs w:val="12"/>
                <w:color w:val="0000FF"/>
                <w:w w:val="98"/>
              </w:rPr>
            </w:pPr>
            <w:hyperlink r:id="rId211">
              <w:r>
                <w:rPr>
                  <w:rFonts w:ascii="Arial" w:cs="Arial" w:eastAsia="Arial" w:hAnsi="Arial"/>
                  <w:sz w:val="12"/>
                  <w:szCs w:val="12"/>
                  <w:color w:val="0000FF"/>
                  <w:w w:val="98"/>
                </w:rPr>
                <w:t>Capital Bancorp, Inc. 2017 Stock and Incentive Compensation Plan (incorporated by reference to Exhibit 10.1 to the Company’s Form S-1 filed on August 31, 2018)</w:t>
              </w:r>
            </w:hyperlink>
          </w:p>
        </w:tc>
        <w:tc>
          <w:tcPr>
            <w:tcW w:w="100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10.2</w:t>
            </w:r>
          </w:p>
        </w:tc>
        <w:tc>
          <w:tcPr>
            <w:tcW w:w="240" w:type="dxa"/>
            <w:vAlign w:val="bottom"/>
          </w:tcPr>
          <w:p>
            <w:pPr>
              <w:spacing w:after="0"/>
              <w:rPr>
                <w:sz w:val="11"/>
                <w:szCs w:val="11"/>
                <w:color w:val="auto"/>
              </w:rPr>
            </w:pPr>
          </w:p>
        </w:tc>
        <w:tc>
          <w:tcPr>
            <w:tcW w:w="320" w:type="dxa"/>
            <w:vAlign w:val="bottom"/>
            <w:vMerge w:val="restart"/>
          </w:tcPr>
          <w:p>
            <w:pPr>
              <w:spacing w:after="0"/>
              <w:rPr>
                <w:rFonts w:ascii="Arial" w:cs="Arial" w:eastAsia="Arial" w:hAnsi="Arial"/>
                <w:sz w:val="12"/>
                <w:szCs w:val="12"/>
                <w:color w:val="0000FF"/>
                <w:w w:val="99"/>
              </w:rPr>
            </w:pPr>
            <w:hyperlink r:id="rId212">
              <w:r>
                <w:rPr>
                  <w:rFonts w:ascii="Arial" w:cs="Arial" w:eastAsia="Arial" w:hAnsi="Arial"/>
                  <w:sz w:val="12"/>
                  <w:szCs w:val="12"/>
                  <w:color w:val="0000FF"/>
                  <w:w w:val="99"/>
                </w:rPr>
                <w:t>Form</w:t>
              </w:r>
            </w:hyperlink>
          </w:p>
        </w:tc>
        <w:tc>
          <w:tcPr>
            <w:tcW w:w="9580" w:type="dxa"/>
            <w:vAlign w:val="bottom"/>
            <w:gridSpan w:val="24"/>
          </w:tcPr>
          <w:p>
            <w:pPr>
              <w:spacing w:after="0" w:line="137" w:lineRule="exact"/>
              <w:rPr>
                <w:rFonts w:ascii="Arial" w:cs="Arial" w:eastAsia="Arial" w:hAnsi="Arial"/>
                <w:sz w:val="12"/>
                <w:szCs w:val="12"/>
                <w:color w:val="0000FF"/>
                <w:w w:val="98"/>
              </w:rPr>
            </w:pPr>
            <w:hyperlink r:id="rId212">
              <w:r>
                <w:rPr>
                  <w:rFonts w:ascii="Arial" w:cs="Arial" w:eastAsia="Arial" w:hAnsi="Arial"/>
                  <w:sz w:val="12"/>
                  <w:szCs w:val="12"/>
                  <w:color w:val="0000FF"/>
                  <w:w w:val="98"/>
                </w:rPr>
                <w:t>Form of Restricted Stock Award Agreement under the Capital Bancorp, Inc. 2017 Stock and Incentive Compensation Plan (incorporated by reference to Exhibit 10.2 to the Company’s</w:t>
              </w:r>
            </w:hyperlink>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560" w:type="dxa"/>
            <w:vAlign w:val="bottom"/>
            <w:tcBorders>
              <w:top w:val="single" w:sz="8" w:color="0000FF"/>
            </w:tcBorders>
            <w:gridSpan w:val="23"/>
          </w:tcPr>
          <w:p>
            <w:pPr>
              <w:spacing w:after="0" w:line="92" w:lineRule="exact"/>
              <w:rPr>
                <w:rFonts w:ascii="Arial" w:cs="Arial" w:eastAsia="Arial" w:hAnsi="Arial"/>
                <w:sz w:val="10"/>
                <w:szCs w:val="10"/>
                <w:color w:val="0000FF"/>
              </w:rPr>
            </w:pPr>
            <w:hyperlink r:id="rId212">
              <w:r>
                <w:rPr>
                  <w:rFonts w:ascii="Arial" w:cs="Arial" w:eastAsia="Arial" w:hAnsi="Arial"/>
                  <w:sz w:val="10"/>
                  <w:szCs w:val="10"/>
                  <w:color w:val="0000FF"/>
                </w:rPr>
                <w:t>S-1/A filed on September 17, 2018)</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180" w:type="dxa"/>
            <w:vAlign w:val="bottom"/>
            <w:tcBorders>
              <w:bottom w:val="single" w:sz="8" w:color="0000FF"/>
            </w:tcBorders>
            <w:gridSpan w:val="16"/>
          </w:tcPr>
          <w:p>
            <w:pPr>
              <w:spacing w:after="0" w:line="137" w:lineRule="exact"/>
              <w:rPr>
                <w:rFonts w:ascii="Arial" w:cs="Arial" w:eastAsia="Arial" w:hAnsi="Arial"/>
                <w:sz w:val="12"/>
                <w:szCs w:val="12"/>
                <w:color w:val="0000FF"/>
                <w:w w:val="98"/>
              </w:rPr>
            </w:pPr>
            <w:hyperlink r:id="rId213">
              <w:r>
                <w:rPr>
                  <w:rFonts w:ascii="Arial" w:cs="Arial" w:eastAsia="Arial" w:hAnsi="Arial"/>
                  <w:sz w:val="12"/>
                  <w:szCs w:val="12"/>
                  <w:color w:val="0000FF"/>
                  <w:w w:val="98"/>
                </w:rPr>
                <w:t>Form of Restricted Stock Unit Award Agreement under the Capital Bancorp, Inc. 2017 Stock and Incentive Compensation Plan (incorporated by reference to Exhibit 10.3 to the</w:t>
              </w:r>
            </w:hyperlink>
          </w:p>
        </w:tc>
        <w:tc>
          <w:tcPr>
            <w:tcW w:w="40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20" w:type="dxa"/>
            <w:vAlign w:val="bottom"/>
            <w:tcBorders>
              <w:bottom w:val="single" w:sz="8" w:color="0000FF"/>
            </w:tcBorders>
            <w:gridSpan w:val="5"/>
          </w:tcPr>
          <w:p>
            <w:pPr>
              <w:spacing w:after="0" w:line="92" w:lineRule="exact"/>
              <w:rPr>
                <w:rFonts w:ascii="Arial" w:cs="Arial" w:eastAsia="Arial" w:hAnsi="Arial"/>
                <w:sz w:val="10"/>
                <w:szCs w:val="10"/>
                <w:color w:val="0000FF"/>
              </w:rPr>
            </w:pPr>
            <w:hyperlink r:id="rId213">
              <w:r>
                <w:rPr>
                  <w:rFonts w:ascii="Arial" w:cs="Arial" w:eastAsia="Arial" w:hAnsi="Arial"/>
                  <w:sz w:val="10"/>
                  <w:szCs w:val="10"/>
                  <w:color w:val="0000FF"/>
                </w:rPr>
                <w:t>Company’s Form S-1/A filed on September 17, 2018)</w:t>
              </w:r>
            </w:hyperlink>
          </w:p>
        </w:tc>
        <w:tc>
          <w:tcPr>
            <w:tcW w:w="6680" w:type="dxa"/>
            <w:vAlign w:val="bottom"/>
            <w:gridSpan w:val="12"/>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10.4</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60" w:type="dxa"/>
            <w:vAlign w:val="bottom"/>
            <w:tcBorders>
              <w:bottom w:val="single" w:sz="8" w:color="0000FF"/>
            </w:tcBorders>
            <w:gridSpan w:val="17"/>
          </w:tcPr>
          <w:p>
            <w:pPr>
              <w:spacing w:after="0" w:line="137" w:lineRule="exact"/>
              <w:rPr>
                <w:rFonts w:ascii="Arial" w:cs="Arial" w:eastAsia="Arial" w:hAnsi="Arial"/>
                <w:sz w:val="12"/>
                <w:szCs w:val="12"/>
                <w:color w:val="0000FF"/>
                <w:w w:val="98"/>
              </w:rPr>
            </w:pPr>
            <w:hyperlink r:id="rId214">
              <w:r>
                <w:rPr>
                  <w:rFonts w:ascii="Arial" w:cs="Arial" w:eastAsia="Arial" w:hAnsi="Arial"/>
                  <w:sz w:val="12"/>
                  <w:szCs w:val="12"/>
                  <w:color w:val="0000FF"/>
                  <w:w w:val="98"/>
                </w:rPr>
                <w:t>Form of Incentive Stock Option Award Agreement under the Capital Bancorp, Inc. 2017 Stock and Incentive Compensation Plan (incorporated by reference to Exhibit 10.4 to the</w:t>
              </w:r>
            </w:hyperlink>
          </w:p>
        </w:tc>
        <w:tc>
          <w:tcPr>
            <w:tcW w:w="32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20" w:type="dxa"/>
            <w:vAlign w:val="bottom"/>
            <w:tcBorders>
              <w:bottom w:val="single" w:sz="8" w:color="0000FF"/>
            </w:tcBorders>
            <w:gridSpan w:val="5"/>
          </w:tcPr>
          <w:p>
            <w:pPr>
              <w:spacing w:after="0" w:line="92" w:lineRule="exact"/>
              <w:rPr>
                <w:rFonts w:ascii="Arial" w:cs="Arial" w:eastAsia="Arial" w:hAnsi="Arial"/>
                <w:sz w:val="10"/>
                <w:szCs w:val="10"/>
                <w:color w:val="0000FF"/>
              </w:rPr>
            </w:pPr>
            <w:hyperlink r:id="rId214">
              <w:r>
                <w:rPr>
                  <w:rFonts w:ascii="Arial" w:cs="Arial" w:eastAsia="Arial" w:hAnsi="Arial"/>
                  <w:sz w:val="10"/>
                  <w:szCs w:val="10"/>
                  <w:color w:val="0000FF"/>
                </w:rPr>
                <w:t>Company’s Form S-1/A filed on September 17, 2018)</w:t>
              </w:r>
            </w:hyperlink>
          </w:p>
        </w:tc>
        <w:tc>
          <w:tcPr>
            <w:tcW w:w="6760" w:type="dxa"/>
            <w:vAlign w:val="bottom"/>
            <w:gridSpan w:val="13"/>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10.5</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580" w:type="dxa"/>
            <w:vAlign w:val="bottom"/>
            <w:gridSpan w:val="24"/>
          </w:tcPr>
          <w:p>
            <w:pPr>
              <w:spacing w:after="0" w:line="137" w:lineRule="exact"/>
              <w:rPr>
                <w:rFonts w:ascii="Arial" w:cs="Arial" w:eastAsia="Arial" w:hAnsi="Arial"/>
                <w:sz w:val="12"/>
                <w:szCs w:val="12"/>
                <w:color w:val="0000FF"/>
                <w:w w:val="99"/>
              </w:rPr>
            </w:pPr>
            <w:hyperlink r:id="rId215">
              <w:r>
                <w:rPr>
                  <w:rFonts w:ascii="Arial" w:cs="Arial" w:eastAsia="Arial" w:hAnsi="Arial"/>
                  <w:sz w:val="12"/>
                  <w:szCs w:val="12"/>
                  <w:color w:val="0000FF"/>
                  <w:w w:val="99"/>
                </w:rPr>
                <w:t>Form of Non-Qualified Stock Option Award Agreement under the Capital Bancorp, Inc. 2017 Stock and Incentive Compensation Plan (incorporated by reference to Exhibit 10.5 to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20" w:type="dxa"/>
            <w:vAlign w:val="bottom"/>
            <w:tcBorders>
              <w:bottom w:val="single" w:sz="8" w:color="0000FF"/>
            </w:tcBorders>
            <w:gridSpan w:val="5"/>
          </w:tcPr>
          <w:p>
            <w:pPr>
              <w:spacing w:after="0" w:line="92" w:lineRule="exact"/>
              <w:rPr>
                <w:rFonts w:ascii="Arial" w:cs="Arial" w:eastAsia="Arial" w:hAnsi="Arial"/>
                <w:sz w:val="10"/>
                <w:szCs w:val="10"/>
                <w:color w:val="0000FF"/>
              </w:rPr>
            </w:pPr>
            <w:hyperlink r:id="rId215">
              <w:r>
                <w:rPr>
                  <w:rFonts w:ascii="Arial" w:cs="Arial" w:eastAsia="Arial" w:hAnsi="Arial"/>
                  <w:sz w:val="10"/>
                  <w:szCs w:val="10"/>
                  <w:color w:val="0000FF"/>
                </w:rPr>
                <w:t>Company’s Form S-1/A filed on September 17, 2018)</w:t>
              </w:r>
            </w:hyperlink>
          </w:p>
        </w:tc>
        <w:tc>
          <w:tcPr>
            <w:tcW w:w="7000" w:type="dxa"/>
            <w:vAlign w:val="bottom"/>
            <w:gridSpan w:val="17"/>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10.6</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580" w:type="dxa"/>
            <w:vAlign w:val="bottom"/>
            <w:gridSpan w:val="24"/>
          </w:tcPr>
          <w:p>
            <w:pPr>
              <w:spacing w:after="0" w:line="137" w:lineRule="exact"/>
              <w:rPr>
                <w:rFonts w:ascii="Arial" w:cs="Arial" w:eastAsia="Arial" w:hAnsi="Arial"/>
                <w:sz w:val="12"/>
                <w:szCs w:val="12"/>
                <w:color w:val="0000FF"/>
              </w:rPr>
            </w:pPr>
            <w:hyperlink r:id="rId216">
              <w:r>
                <w:rPr>
                  <w:rFonts w:ascii="Arial" w:cs="Arial" w:eastAsia="Arial" w:hAnsi="Arial"/>
                  <w:sz w:val="12"/>
                  <w:szCs w:val="12"/>
                  <w:color w:val="0000FF"/>
                </w:rPr>
                <w:t>Form of Stock Appreciation Right Award Agreement under the Capital Bancorp, Inc. 2017 Stock and Incentive Compensation Plan (incorporated by reference to Exhibit 10.6 to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20" w:type="dxa"/>
            <w:vAlign w:val="bottom"/>
            <w:tcBorders>
              <w:bottom w:val="single" w:sz="8" w:color="0000FF"/>
            </w:tcBorders>
            <w:gridSpan w:val="5"/>
          </w:tcPr>
          <w:p>
            <w:pPr>
              <w:spacing w:after="0" w:line="92" w:lineRule="exact"/>
              <w:rPr>
                <w:rFonts w:ascii="Arial" w:cs="Arial" w:eastAsia="Arial" w:hAnsi="Arial"/>
                <w:sz w:val="10"/>
                <w:szCs w:val="10"/>
                <w:color w:val="0000FF"/>
              </w:rPr>
            </w:pPr>
            <w:hyperlink r:id="rId216">
              <w:r>
                <w:rPr>
                  <w:rFonts w:ascii="Arial" w:cs="Arial" w:eastAsia="Arial" w:hAnsi="Arial"/>
                  <w:sz w:val="10"/>
                  <w:szCs w:val="10"/>
                  <w:color w:val="0000FF"/>
                </w:rPr>
                <w:t>Company’s Form S-1/A filed on September 17, 2018)</w:t>
              </w:r>
            </w:hyperlink>
          </w:p>
        </w:tc>
        <w:tc>
          <w:tcPr>
            <w:tcW w:w="6860" w:type="dxa"/>
            <w:vAlign w:val="bottom"/>
            <w:gridSpan w:val="16"/>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10.7</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580" w:type="dxa"/>
            <w:vAlign w:val="bottom"/>
            <w:gridSpan w:val="24"/>
          </w:tcPr>
          <w:p>
            <w:pPr>
              <w:spacing w:after="0" w:line="137" w:lineRule="exact"/>
              <w:rPr>
                <w:rFonts w:ascii="Arial" w:cs="Arial" w:eastAsia="Arial" w:hAnsi="Arial"/>
                <w:sz w:val="12"/>
                <w:szCs w:val="12"/>
                <w:color w:val="0000FF"/>
              </w:rPr>
            </w:pPr>
            <w:hyperlink w:anchor="page113">
              <w:r>
                <w:rPr>
                  <w:rFonts w:ascii="Arial" w:cs="Arial" w:eastAsia="Arial" w:hAnsi="Arial"/>
                  <w:sz w:val="12"/>
                  <w:szCs w:val="12"/>
                  <w:color w:val="0000FF"/>
                </w:rPr>
                <w:t>Form of 2017 Stock and Incentive Plan Incentive Stock Option Award Agreement for Executive Officers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10.8</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580" w:type="dxa"/>
            <w:vAlign w:val="bottom"/>
            <w:gridSpan w:val="24"/>
          </w:tcPr>
          <w:p>
            <w:pPr>
              <w:spacing w:after="0" w:line="137" w:lineRule="exact"/>
              <w:rPr>
                <w:rFonts w:ascii="Arial" w:cs="Arial" w:eastAsia="Arial" w:hAnsi="Arial"/>
                <w:sz w:val="12"/>
                <w:szCs w:val="12"/>
                <w:color w:val="0000FF"/>
              </w:rPr>
            </w:pPr>
            <w:hyperlink w:anchor="page118">
              <w:r>
                <w:rPr>
                  <w:rFonts w:ascii="Arial" w:cs="Arial" w:eastAsia="Arial" w:hAnsi="Arial"/>
                  <w:sz w:val="12"/>
                  <w:szCs w:val="12"/>
                  <w:color w:val="0000FF"/>
                </w:rPr>
                <w:t>Form of 2017 Stock and Incentive Compensation Plan Restricted Stock Unit Award Agreement for Executive Officers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10.9</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320" w:type="dxa"/>
            <w:vAlign w:val="bottom"/>
            <w:tcBorders>
              <w:bottom w:val="single" w:sz="8" w:color="0000FF"/>
            </w:tcBorders>
            <w:gridSpan w:val="19"/>
          </w:tcPr>
          <w:p>
            <w:pPr>
              <w:spacing w:after="0" w:line="137" w:lineRule="exact"/>
              <w:rPr>
                <w:rFonts w:ascii="Arial" w:cs="Arial" w:eastAsia="Arial" w:hAnsi="Arial"/>
                <w:sz w:val="12"/>
                <w:szCs w:val="12"/>
                <w:color w:val="0000FF"/>
                <w:w w:val="98"/>
              </w:rPr>
            </w:pPr>
            <w:hyperlink r:id="rId217">
              <w:r>
                <w:rPr>
                  <w:rFonts w:ascii="Arial" w:cs="Arial" w:eastAsia="Arial" w:hAnsi="Arial"/>
                  <w:sz w:val="12"/>
                  <w:szCs w:val="12"/>
                  <w:color w:val="0000FF"/>
                  <w:w w:val="98"/>
                </w:rPr>
                <w:t>Employment Agreement, effective January 1, 2019, by and among Capital Bancorp, Inc., Capital Bank, N.A. and Edward F. Barry (incorporated by reference to Exhibit 10.1 to the</w:t>
              </w:r>
            </w:hyperlink>
          </w:p>
        </w:tc>
        <w:tc>
          <w:tcPr>
            <w:tcW w:w="26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40" w:type="dxa"/>
            <w:vAlign w:val="bottom"/>
            <w:gridSpan w:val="20"/>
          </w:tcPr>
          <w:p>
            <w:pPr>
              <w:spacing w:after="0" w:line="92" w:lineRule="exact"/>
              <w:rPr>
                <w:rFonts w:ascii="Arial" w:cs="Arial" w:eastAsia="Arial" w:hAnsi="Arial"/>
                <w:sz w:val="10"/>
                <w:szCs w:val="10"/>
                <w:color w:val="0000FF"/>
              </w:rPr>
            </w:pPr>
            <w:hyperlink r:id="rId217">
              <w:r>
                <w:rPr>
                  <w:rFonts w:ascii="Arial" w:cs="Arial" w:eastAsia="Arial" w:hAnsi="Arial"/>
                  <w:sz w:val="10"/>
                  <w:szCs w:val="10"/>
                  <w:color w:val="0000FF"/>
                </w:rPr>
                <w:t>Company’s Form 8-K filed on January 10, 2019)</w:t>
              </w:r>
            </w:hyperlink>
          </w:p>
        </w:tc>
        <w:tc>
          <w:tcPr>
            <w:tcW w:w="40" w:type="dxa"/>
            <w:vAlign w:val="bottom"/>
          </w:tcPr>
          <w:p>
            <w:pPr>
              <w:spacing w:after="0"/>
              <w:rPr>
                <w:sz w:val="7"/>
                <w:szCs w:val="7"/>
                <w:color w:val="auto"/>
              </w:rPr>
            </w:pPr>
          </w:p>
        </w:tc>
        <w:tc>
          <w:tcPr>
            <w:tcW w:w="18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10.10</w:t>
            </w:r>
          </w:p>
        </w:tc>
        <w:tc>
          <w:tcPr>
            <w:tcW w:w="240" w:type="dxa"/>
            <w:vAlign w:val="bottom"/>
          </w:tcPr>
          <w:p>
            <w:pPr>
              <w:spacing w:after="0"/>
              <w:rPr>
                <w:sz w:val="11"/>
                <w:szCs w:val="11"/>
                <w:color w:val="auto"/>
              </w:rPr>
            </w:pPr>
          </w:p>
        </w:tc>
        <w:tc>
          <w:tcPr>
            <w:tcW w:w="320" w:type="dxa"/>
            <w:vAlign w:val="bottom"/>
            <w:vMerge w:val="restart"/>
          </w:tcPr>
          <w:p>
            <w:pPr>
              <w:spacing w:after="0"/>
              <w:rPr>
                <w:rFonts w:ascii="Arial" w:cs="Arial" w:eastAsia="Arial" w:hAnsi="Arial"/>
                <w:sz w:val="12"/>
                <w:szCs w:val="12"/>
                <w:color w:val="0000FF"/>
                <w:w w:val="77"/>
              </w:rPr>
            </w:pPr>
            <w:hyperlink r:id="rId218">
              <w:r>
                <w:rPr>
                  <w:rFonts w:ascii="Arial" w:cs="Arial" w:eastAsia="Arial" w:hAnsi="Arial"/>
                  <w:sz w:val="12"/>
                  <w:szCs w:val="12"/>
                  <w:color w:val="0000FF"/>
                  <w:w w:val="77"/>
                </w:rPr>
                <w:t>Exhibit</w:t>
              </w:r>
            </w:hyperlink>
          </w:p>
        </w:tc>
        <w:tc>
          <w:tcPr>
            <w:tcW w:w="9580" w:type="dxa"/>
            <w:vAlign w:val="bottom"/>
            <w:gridSpan w:val="24"/>
          </w:tcPr>
          <w:p>
            <w:pPr>
              <w:spacing w:after="0" w:line="137" w:lineRule="exact"/>
              <w:rPr>
                <w:rFonts w:ascii="Arial" w:cs="Arial" w:eastAsia="Arial" w:hAnsi="Arial"/>
                <w:sz w:val="12"/>
                <w:szCs w:val="12"/>
                <w:color w:val="0000FF"/>
              </w:rPr>
            </w:pPr>
            <w:hyperlink r:id="rId218">
              <w:r>
                <w:rPr>
                  <w:rFonts w:ascii="Arial" w:cs="Arial" w:eastAsia="Arial" w:hAnsi="Arial"/>
                  <w:sz w:val="12"/>
                  <w:szCs w:val="12"/>
                  <w:color w:val="0000FF"/>
                </w:rPr>
                <w:t>Amendment to Employment Agreement, effective as of June 15, 2021, by and among Capital Bancorp, Inc., Capital Bank, N.A. and Edward F. Barry (incorporated by reference to</w:t>
              </w:r>
            </w:hyperlink>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360" w:type="dxa"/>
            <w:vAlign w:val="bottom"/>
            <w:tcBorders>
              <w:top w:val="single" w:sz="8" w:color="0000FF"/>
            </w:tcBorders>
            <w:gridSpan w:val="20"/>
          </w:tcPr>
          <w:p>
            <w:pPr>
              <w:ind w:left="80"/>
              <w:spacing w:after="0" w:line="92" w:lineRule="exact"/>
              <w:rPr>
                <w:rFonts w:ascii="Arial" w:cs="Arial" w:eastAsia="Arial" w:hAnsi="Arial"/>
                <w:sz w:val="10"/>
                <w:szCs w:val="10"/>
                <w:color w:val="0000FF"/>
              </w:rPr>
            </w:pPr>
            <w:hyperlink r:id="rId218">
              <w:r>
                <w:rPr>
                  <w:rFonts w:ascii="Arial" w:cs="Arial" w:eastAsia="Arial" w:hAnsi="Arial"/>
                  <w:sz w:val="10"/>
                  <w:szCs w:val="10"/>
                  <w:color w:val="0000FF"/>
                </w:rPr>
                <w:t>99.1 to the Company’s Form 8-K filed on June 11, 2021)</w:t>
              </w:r>
            </w:hyperlink>
          </w:p>
        </w:tc>
        <w:tc>
          <w:tcPr>
            <w:tcW w:w="18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10.11</w:t>
            </w:r>
          </w:p>
        </w:tc>
        <w:tc>
          <w:tcPr>
            <w:tcW w:w="240" w:type="dxa"/>
            <w:vAlign w:val="bottom"/>
          </w:tcPr>
          <w:p>
            <w:pPr>
              <w:spacing w:after="0"/>
              <w:rPr>
                <w:sz w:val="11"/>
                <w:szCs w:val="11"/>
                <w:color w:val="auto"/>
              </w:rPr>
            </w:pPr>
          </w:p>
        </w:tc>
        <w:tc>
          <w:tcPr>
            <w:tcW w:w="320" w:type="dxa"/>
            <w:vAlign w:val="bottom"/>
            <w:vMerge w:val="restart"/>
          </w:tcPr>
          <w:p>
            <w:pPr>
              <w:spacing w:after="0"/>
              <w:rPr>
                <w:rFonts w:ascii="Arial" w:cs="Arial" w:eastAsia="Arial" w:hAnsi="Arial"/>
                <w:sz w:val="12"/>
                <w:szCs w:val="12"/>
                <w:color w:val="0000FF"/>
                <w:w w:val="91"/>
              </w:rPr>
            </w:pPr>
            <w:hyperlink r:id="rId219">
              <w:r>
                <w:rPr>
                  <w:rFonts w:ascii="Arial" w:cs="Arial" w:eastAsia="Arial" w:hAnsi="Arial"/>
                  <w:sz w:val="12"/>
                  <w:szCs w:val="12"/>
                  <w:color w:val="0000FF"/>
                  <w:w w:val="91"/>
                </w:rPr>
                <w:t>2022)</w:t>
              </w:r>
            </w:hyperlink>
          </w:p>
        </w:tc>
        <w:tc>
          <w:tcPr>
            <w:tcW w:w="9580" w:type="dxa"/>
            <w:vAlign w:val="bottom"/>
            <w:gridSpan w:val="24"/>
          </w:tcPr>
          <w:p>
            <w:pPr>
              <w:spacing w:after="0" w:line="137" w:lineRule="exact"/>
              <w:rPr>
                <w:rFonts w:ascii="Arial" w:cs="Arial" w:eastAsia="Arial" w:hAnsi="Arial"/>
                <w:sz w:val="12"/>
                <w:szCs w:val="12"/>
                <w:color w:val="0000FF"/>
                <w:w w:val="99"/>
              </w:rPr>
            </w:pPr>
            <w:hyperlink r:id="rId219">
              <w:r>
                <w:rPr>
                  <w:rFonts w:ascii="Arial" w:cs="Arial" w:eastAsia="Arial" w:hAnsi="Arial"/>
                  <w:sz w:val="12"/>
                  <w:szCs w:val="12"/>
                  <w:color w:val="0000FF"/>
                  <w:w w:val="99"/>
                </w:rPr>
                <w:t>Employment Agreement dated January 1, 2022 between Capital Bank, N.A. and Scot R. Browning (incorporated by reference to Exhibit 10.1 to the Company’s 8-K filed on January 6.</w:t>
              </w:r>
            </w:hyperlink>
          </w:p>
        </w:tc>
        <w:tc>
          <w:tcPr>
            <w:tcW w:w="0" w:type="dxa"/>
            <w:vAlign w:val="bottom"/>
          </w:tcPr>
          <w:p>
            <w:pPr>
              <w:spacing w:after="0"/>
              <w:rPr>
                <w:sz w:val="1"/>
                <w:szCs w:val="1"/>
                <w:color w:val="auto"/>
              </w:rPr>
            </w:pPr>
          </w:p>
        </w:tc>
      </w:tr>
      <w:tr>
        <w:trPr>
          <w:trHeight w:val="97"/>
        </w:trPr>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Borders>
              <w:bottom w:val="single" w:sz="8" w:color="0000FF"/>
            </w:tcBorders>
            <w:vMerge w:val="continue"/>
          </w:tcPr>
          <w:p>
            <w:pPr>
              <w:spacing w:after="0"/>
              <w:rPr>
                <w:sz w:val="7"/>
                <w:szCs w:val="7"/>
                <w:color w:val="auto"/>
              </w:rPr>
            </w:pPr>
          </w:p>
        </w:tc>
        <w:tc>
          <w:tcPr>
            <w:tcW w:w="156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54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126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2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1080" w:type="dxa"/>
            <w:vAlign w:val="bottom"/>
            <w:tcBorders>
              <w:top w:val="single" w:sz="8" w:color="0000FF"/>
            </w:tcBorders>
          </w:tcPr>
          <w:p>
            <w:pPr>
              <w:spacing w:after="0"/>
              <w:rPr>
                <w:sz w:val="7"/>
                <w:szCs w:val="7"/>
                <w:color w:val="auto"/>
              </w:rPr>
            </w:pPr>
          </w:p>
        </w:tc>
        <w:tc>
          <w:tcPr>
            <w:tcW w:w="6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10.12</w:t>
            </w:r>
          </w:p>
        </w:tc>
        <w:tc>
          <w:tcPr>
            <w:tcW w:w="240" w:type="dxa"/>
            <w:vAlign w:val="bottom"/>
          </w:tcPr>
          <w:p>
            <w:pPr>
              <w:spacing w:after="0"/>
              <w:rPr>
                <w:sz w:val="11"/>
                <w:szCs w:val="11"/>
                <w:color w:val="auto"/>
              </w:rPr>
            </w:pPr>
          </w:p>
        </w:tc>
        <w:tc>
          <w:tcPr>
            <w:tcW w:w="320" w:type="dxa"/>
            <w:vAlign w:val="bottom"/>
            <w:vMerge w:val="restart"/>
          </w:tcPr>
          <w:p>
            <w:pPr>
              <w:spacing w:after="0"/>
              <w:rPr>
                <w:rFonts w:ascii="Arial" w:cs="Arial" w:eastAsia="Arial" w:hAnsi="Arial"/>
                <w:sz w:val="12"/>
                <w:szCs w:val="12"/>
                <w:color w:val="0000FF"/>
                <w:w w:val="99"/>
              </w:rPr>
            </w:pPr>
            <w:hyperlink r:id="rId220">
              <w:r>
                <w:rPr>
                  <w:rFonts w:ascii="Arial" w:cs="Arial" w:eastAsia="Arial" w:hAnsi="Arial"/>
                  <w:sz w:val="12"/>
                  <w:szCs w:val="12"/>
                  <w:color w:val="0000FF"/>
                  <w:w w:val="99"/>
                </w:rPr>
                <w:t>Form</w:t>
              </w:r>
            </w:hyperlink>
          </w:p>
        </w:tc>
        <w:tc>
          <w:tcPr>
            <w:tcW w:w="9580" w:type="dxa"/>
            <w:vAlign w:val="bottom"/>
            <w:gridSpan w:val="24"/>
          </w:tcPr>
          <w:p>
            <w:pPr>
              <w:spacing w:after="0" w:line="137" w:lineRule="exact"/>
              <w:rPr>
                <w:rFonts w:ascii="Arial" w:cs="Arial" w:eastAsia="Arial" w:hAnsi="Arial"/>
                <w:sz w:val="12"/>
                <w:szCs w:val="12"/>
                <w:color w:val="0000FF"/>
              </w:rPr>
            </w:pPr>
            <w:hyperlink r:id="rId220">
              <w:r>
                <w:rPr>
                  <w:rFonts w:ascii="Arial" w:cs="Arial" w:eastAsia="Arial" w:hAnsi="Arial"/>
                  <w:sz w:val="12"/>
                  <w:szCs w:val="12"/>
                  <w:color w:val="0000FF"/>
                </w:rPr>
                <w:t>Employment Contract, dated April 30, 2018, by and among Capital Bank, N.A. and Karl F. Dicker (incorporated by reference to Exhibit 10.1 to the Company’s Quarterly Report on</w:t>
              </w:r>
            </w:hyperlink>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Borders>
              <w:bottom w:val="single" w:sz="8" w:color="0000FF"/>
            </w:tcBorders>
            <w:vMerge w:val="continue"/>
          </w:tcPr>
          <w:p>
            <w:pPr>
              <w:spacing w:after="0"/>
              <w:rPr>
                <w:sz w:val="7"/>
                <w:szCs w:val="7"/>
                <w:color w:val="auto"/>
              </w:rPr>
            </w:pPr>
          </w:p>
        </w:tc>
        <w:tc>
          <w:tcPr>
            <w:tcW w:w="3480" w:type="dxa"/>
            <w:vAlign w:val="bottom"/>
            <w:tcBorders>
              <w:top w:val="single" w:sz="8" w:color="0000FF"/>
              <w:bottom w:val="single" w:sz="8" w:color="0000FF"/>
            </w:tcBorders>
            <w:gridSpan w:val="8"/>
          </w:tcPr>
          <w:p>
            <w:pPr>
              <w:spacing w:after="0" w:line="92" w:lineRule="exact"/>
              <w:rPr>
                <w:rFonts w:ascii="Arial" w:cs="Arial" w:eastAsia="Arial" w:hAnsi="Arial"/>
                <w:sz w:val="10"/>
                <w:szCs w:val="10"/>
                <w:color w:val="0000FF"/>
              </w:rPr>
            </w:pPr>
            <w:hyperlink r:id="rId220">
              <w:r>
                <w:rPr>
                  <w:rFonts w:ascii="Arial" w:cs="Arial" w:eastAsia="Arial" w:hAnsi="Arial"/>
                  <w:sz w:val="10"/>
                  <w:szCs w:val="10"/>
                  <w:color w:val="0000FF"/>
                </w:rPr>
                <w:t>10-Q for the period ended March 31, 2020, filed on May 11, 2020)</w:t>
              </w:r>
            </w:hyperlink>
          </w:p>
        </w:tc>
        <w:tc>
          <w:tcPr>
            <w:tcW w:w="5820" w:type="dxa"/>
            <w:vAlign w:val="bottom"/>
            <w:tcBorders>
              <w:top w:val="single" w:sz="8" w:color="0000FF"/>
            </w:tcBorders>
            <w:gridSpan w:val="10"/>
          </w:tcPr>
          <w:p>
            <w:pPr>
              <w:spacing w:after="0"/>
              <w:rPr>
                <w:sz w:val="7"/>
                <w:szCs w:val="7"/>
                <w:color w:val="auto"/>
              </w:rPr>
            </w:pPr>
          </w:p>
        </w:tc>
        <w:tc>
          <w:tcPr>
            <w:tcW w:w="280" w:type="dxa"/>
            <w:vAlign w:val="bottom"/>
            <w:gridSpan w:val="6"/>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940" w:type="dxa"/>
            <w:vAlign w:val="bottom"/>
          </w:tcPr>
          <w:p>
            <w:pPr>
              <w:jc w:val="right"/>
              <w:spacing w:after="0"/>
              <w:rPr>
                <w:sz w:val="20"/>
                <w:szCs w:val="20"/>
                <w:color w:val="auto"/>
              </w:rPr>
            </w:pPr>
            <w:r>
              <w:rPr>
                <w:rFonts w:ascii="Arial" w:cs="Arial" w:eastAsia="Arial" w:hAnsi="Arial"/>
                <w:sz w:val="12"/>
                <w:szCs w:val="12"/>
                <w:color w:val="auto"/>
              </w:rPr>
              <w:t>21.0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580" w:type="dxa"/>
            <w:vAlign w:val="bottom"/>
            <w:gridSpan w:val="24"/>
          </w:tcPr>
          <w:p>
            <w:pPr>
              <w:spacing w:after="0"/>
              <w:rPr>
                <w:sz w:val="20"/>
                <w:szCs w:val="20"/>
                <w:color w:val="auto"/>
              </w:rPr>
            </w:pPr>
            <w:r>
              <w:rPr>
                <w:rFonts w:ascii="Arial" w:cs="Arial" w:eastAsia="Arial" w:hAnsi="Arial"/>
                <w:sz w:val="12"/>
                <w:szCs w:val="12"/>
                <w:color w:val="auto"/>
              </w:rPr>
              <w:t>Subsidiaries of Capital Bancorp, Inc. (reference is made to “Item 1. Business” for the required information)</w:t>
            </w:r>
          </w:p>
        </w:tc>
        <w:tc>
          <w:tcPr>
            <w:tcW w:w="0" w:type="dxa"/>
            <w:vAlign w:val="bottom"/>
          </w:tcPr>
          <w:p>
            <w:pPr>
              <w:spacing w:after="0"/>
              <w:rPr>
                <w:sz w:val="1"/>
                <w:szCs w:val="1"/>
                <w:color w:val="auto"/>
              </w:rPr>
            </w:pPr>
          </w:p>
        </w:tc>
      </w:tr>
      <w:tr>
        <w:trPr>
          <w:trHeight w:val="132"/>
        </w:trPr>
        <w:tc>
          <w:tcPr>
            <w:tcW w:w="940" w:type="dxa"/>
            <w:vAlign w:val="bottom"/>
          </w:tcPr>
          <w:p>
            <w:pPr>
              <w:jc w:val="right"/>
              <w:spacing w:after="0" w:line="132" w:lineRule="exact"/>
              <w:rPr>
                <w:sz w:val="20"/>
                <w:szCs w:val="20"/>
                <w:color w:val="auto"/>
              </w:rPr>
            </w:pPr>
            <w:r>
              <w:rPr>
                <w:rFonts w:ascii="Arial" w:cs="Arial" w:eastAsia="Arial" w:hAnsi="Arial"/>
                <w:sz w:val="12"/>
                <w:szCs w:val="12"/>
                <w:color w:val="auto"/>
              </w:rPr>
              <w:t>23.1</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Borders>
              <w:bottom w:val="single" w:sz="8" w:color="0000FF"/>
            </w:tcBorders>
          </w:tcPr>
          <w:p>
            <w:pPr>
              <w:spacing w:after="0" w:line="132" w:lineRule="exact"/>
              <w:rPr>
                <w:rFonts w:ascii="Arial" w:cs="Arial" w:eastAsia="Arial" w:hAnsi="Arial"/>
                <w:sz w:val="12"/>
                <w:szCs w:val="12"/>
                <w:color w:val="0000FF"/>
                <w:w w:val="95"/>
              </w:rPr>
            </w:pPr>
            <w:hyperlink w:anchor="page109">
              <w:r>
                <w:rPr>
                  <w:rFonts w:ascii="Arial" w:cs="Arial" w:eastAsia="Arial" w:hAnsi="Arial"/>
                  <w:sz w:val="12"/>
                  <w:szCs w:val="12"/>
                  <w:color w:val="0000FF"/>
                  <w:w w:val="95"/>
                </w:rPr>
                <w:t>Consent of Elliott Davis, PLLC</w:t>
              </w:r>
            </w:hyperlink>
          </w:p>
        </w:tc>
        <w:tc>
          <w:tcPr>
            <w:tcW w:w="8020" w:type="dxa"/>
            <w:vAlign w:val="bottom"/>
            <w:gridSpan w:val="23"/>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31.1</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580" w:type="dxa"/>
            <w:vAlign w:val="bottom"/>
            <w:gridSpan w:val="24"/>
          </w:tcPr>
          <w:p>
            <w:pPr>
              <w:spacing w:after="0" w:line="137" w:lineRule="exact"/>
              <w:rPr>
                <w:rFonts w:ascii="Arial" w:cs="Arial" w:eastAsia="Arial" w:hAnsi="Arial"/>
                <w:sz w:val="12"/>
                <w:szCs w:val="12"/>
                <w:color w:val="0000FF"/>
              </w:rPr>
            </w:pPr>
            <w:hyperlink w:anchor="page110">
              <w:r>
                <w:rPr>
                  <w:rFonts w:ascii="Arial" w:cs="Arial" w:eastAsia="Arial" w:hAnsi="Arial"/>
                  <w:sz w:val="12"/>
                  <w:szCs w:val="12"/>
                  <w:color w:val="0000FF"/>
                </w:rPr>
                <w:t>Rule 13a-14(a) Certification of the Principal Executive Officer</w:t>
              </w:r>
            </w:hyperlink>
          </w:p>
        </w:tc>
        <w:tc>
          <w:tcPr>
            <w:tcW w:w="0" w:type="dxa"/>
            <w:vAlign w:val="bottom"/>
          </w:tcPr>
          <w:p>
            <w:pPr>
              <w:spacing w:after="0"/>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31.2</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60" w:type="dxa"/>
            <w:vAlign w:val="bottom"/>
            <w:tcBorders>
              <w:top w:val="single" w:sz="8" w:color="0000FF"/>
            </w:tcBorders>
            <w:gridSpan w:val="7"/>
          </w:tcPr>
          <w:p>
            <w:pPr>
              <w:spacing w:after="0" w:line="137" w:lineRule="exact"/>
              <w:rPr>
                <w:rFonts w:ascii="Arial" w:cs="Arial" w:eastAsia="Arial" w:hAnsi="Arial"/>
                <w:sz w:val="12"/>
                <w:szCs w:val="12"/>
                <w:color w:val="0000FF"/>
                <w:w w:val="98"/>
              </w:rPr>
            </w:pPr>
            <w:hyperlink w:anchor="page111">
              <w:r>
                <w:rPr>
                  <w:rFonts w:ascii="Arial" w:cs="Arial" w:eastAsia="Arial" w:hAnsi="Arial"/>
                  <w:sz w:val="12"/>
                  <w:szCs w:val="12"/>
                  <w:color w:val="0000FF"/>
                  <w:w w:val="98"/>
                </w:rPr>
                <w:t>Rule 13a-14(a) Certification of the Principal Financial Officer</w:t>
              </w:r>
            </w:hyperlink>
          </w:p>
        </w:tc>
        <w:tc>
          <w:tcPr>
            <w:tcW w:w="6420" w:type="dxa"/>
            <w:vAlign w:val="bottom"/>
            <w:gridSpan w:val="17"/>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120" w:type="dxa"/>
            <w:vAlign w:val="bottom"/>
            <w:gridSpan w:val="6"/>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4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32.1</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580" w:type="dxa"/>
            <w:vAlign w:val="bottom"/>
            <w:gridSpan w:val="24"/>
          </w:tcPr>
          <w:p>
            <w:pPr>
              <w:spacing w:after="0" w:line="137" w:lineRule="exact"/>
              <w:rPr>
                <w:rFonts w:ascii="Arial" w:cs="Arial" w:eastAsia="Arial" w:hAnsi="Arial"/>
                <w:sz w:val="12"/>
                <w:szCs w:val="12"/>
                <w:color w:val="0000FF"/>
              </w:rPr>
            </w:pPr>
            <w:hyperlink w:anchor="page112">
              <w:r>
                <w:rPr>
                  <w:rFonts w:ascii="Arial" w:cs="Arial" w:eastAsia="Arial" w:hAnsi="Arial"/>
                  <w:sz w:val="12"/>
                  <w:szCs w:val="12"/>
                  <w:color w:val="0000FF"/>
                </w:rPr>
                <w:t>Section 1350 Certification of Chief Executive Officer and Chief Financial Officer</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180" w:right="100" w:hanging="496"/>
        <w:spacing w:after="0" w:line="213" w:lineRule="auto"/>
        <w:tabs>
          <w:tab w:leader="none" w:pos="1449"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following materials from the Annual Report on Form 10-K of Capital Bancorp, Inc. for the year ended December 31, 2021,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13" w:lineRule="exact"/>
        <w:rPr>
          <w:sz w:val="20"/>
          <w:szCs w:val="20"/>
          <w:color w:val="auto"/>
        </w:rPr>
      </w:pPr>
    </w:p>
    <w:p>
      <w:pPr>
        <w:ind w:left="680"/>
        <w:spacing w:after="0"/>
        <w:tabs>
          <w:tab w:leader="none" w:pos="144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 and contained in Exhibit 101)</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16. FORM 10-K SUMMARY</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1086485</wp:posOffset>
            </wp:positionV>
            <wp:extent cx="718121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080"/>
          </w:cols>
          <w:pgMar w:left="580" w:top="1374" w:right="239" w:bottom="1440" w:gutter="0" w:footer="0" w:header="0"/>
        </w:sectPr>
      </w:pPr>
    </w:p>
    <w:bookmarkStart w:id="106" w:name="page107"/>
    <w:bookmarkEnd w:id="106"/>
    <w:p>
      <w:pPr>
        <w:jc w:val="center"/>
        <w:ind w:right="-279"/>
        <w:spacing w:after="0"/>
        <w:rPr>
          <w:sz w:val="20"/>
          <w:szCs w:val="20"/>
          <w:color w:val="auto"/>
        </w:rPr>
      </w:pPr>
      <w:r>
        <w:rPr>
          <w:rFonts w:ascii="Arial" w:cs="Arial" w:eastAsia="Arial" w:hAnsi="Arial"/>
          <w:sz w:val="15"/>
          <w:szCs w:val="15"/>
          <w:b w:val="1"/>
          <w:bCs w:val="1"/>
          <w:color w:val="auto"/>
        </w:rPr>
        <w:t>SIGNATURES</w:t>
      </w:r>
    </w:p>
    <w:p>
      <w:pPr>
        <w:spacing w:after="0" w:line="204" w:lineRule="exact"/>
        <w:rPr>
          <w:sz w:val="20"/>
          <w:szCs w:val="20"/>
          <w:color w:val="auto"/>
        </w:rPr>
      </w:pPr>
    </w:p>
    <w:p>
      <w:pPr>
        <w:ind w:firstLine="268"/>
        <w:spacing w:after="0" w:line="258"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CAPITAL BANCORP, INC.</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By:/s/ Edward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-15875</wp:posOffset>
            </wp:positionV>
            <wp:extent cx="111569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1115695" cy="6985"/>
                    </a:xfrm>
                    <a:prstGeom prst="rect">
                      <a:avLst/>
                    </a:prstGeom>
                    <a:noFill/>
                  </pic:spPr>
                </pic:pic>
              </a:graphicData>
            </a:graphic>
          </wp:anchor>
        </w:drawing>
      </w:r>
    </w:p>
    <w:p>
      <w:pPr>
        <w:ind w:left="2900"/>
        <w:spacing w:after="0"/>
        <w:rPr>
          <w:sz w:val="20"/>
          <w:szCs w:val="20"/>
          <w:color w:val="auto"/>
        </w:rPr>
      </w:pPr>
      <w:r>
        <w:rPr>
          <w:rFonts w:ascii="Arial" w:cs="Arial" w:eastAsia="Arial" w:hAnsi="Arial"/>
          <w:sz w:val="15"/>
          <w:szCs w:val="15"/>
          <w:color w:val="auto"/>
        </w:rPr>
        <w:t>Edward F. Barry</w:t>
      </w:r>
    </w:p>
    <w:p>
      <w:pPr>
        <w:spacing w:after="0" w:line="7" w:lineRule="exact"/>
        <w:rPr>
          <w:sz w:val="20"/>
          <w:szCs w:val="20"/>
          <w:color w:val="auto"/>
        </w:rPr>
      </w:pPr>
    </w:p>
    <w:p>
      <w:pPr>
        <w:ind w:left="2900"/>
        <w:spacing w:after="0"/>
        <w:rPr>
          <w:sz w:val="20"/>
          <w:szCs w:val="20"/>
          <w:color w:val="auto"/>
        </w:rPr>
      </w:pPr>
      <w:r>
        <w:rPr>
          <w:rFonts w:ascii="Arial" w:cs="Arial" w:eastAsia="Arial" w:hAnsi="Arial"/>
          <w:sz w:val="15"/>
          <w:szCs w:val="15"/>
          <w:color w:val="auto"/>
        </w:rPr>
        <w:t>Chief Executive Officer</w:t>
      </w:r>
    </w:p>
    <w:p>
      <w:pPr>
        <w:spacing w:after="0" w:line="38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Dated: March 15, 2022</w:t>
      </w:r>
    </w:p>
    <w:p>
      <w:pPr>
        <w:spacing w:after="0" w:line="186" w:lineRule="exact"/>
        <w:rPr>
          <w:sz w:val="20"/>
          <w:szCs w:val="20"/>
          <w:color w:val="auto"/>
        </w:rPr>
      </w:pPr>
    </w:p>
    <w:p>
      <w:pPr>
        <w:ind w:firstLine="268"/>
        <w:spacing w:after="0" w:line="258" w:lineRule="auto"/>
        <w:rPr>
          <w:sz w:val="20"/>
          <w:szCs w:val="20"/>
          <w:color w:val="auto"/>
        </w:rPr>
      </w:pPr>
      <w:r>
        <w:rPr>
          <w:rFonts w:ascii="Arial" w:cs="Arial" w:eastAsia="Arial" w:hAnsi="Arial"/>
          <w:sz w:val="15"/>
          <w:szCs w:val="15"/>
          <w:color w:val="auto"/>
        </w:rPr>
        <w:t>Pursuant to the requirements of the Securities Exchange Act of 1934, this report has been signed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832485</wp:posOffset>
            </wp:positionV>
            <wp:extent cx="718121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7"/>
        </w:trPr>
        <w:tc>
          <w:tcPr>
            <w:tcW w:w="5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ind w:left="1140"/>
              <w:spacing w:after="0"/>
              <w:rPr>
                <w:sz w:val="20"/>
                <w:szCs w:val="20"/>
                <w:color w:val="auto"/>
              </w:rPr>
            </w:pPr>
            <w:r>
              <w:rPr>
                <w:rFonts w:ascii="Arial" w:cs="Arial" w:eastAsia="Arial" w:hAnsi="Arial"/>
                <w:sz w:val="15"/>
                <w:szCs w:val="15"/>
                <w:b w:val="1"/>
                <w:bCs w:val="1"/>
                <w:color w:val="auto"/>
              </w:rPr>
              <w:t>Signature</w:t>
            </w:r>
          </w:p>
        </w:tc>
      </w:tr>
      <w:tr>
        <w:trPr>
          <w:trHeight w:val="383"/>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Edward F. Barry</w:t>
            </w:r>
          </w:p>
        </w:tc>
      </w:tr>
      <w:tr>
        <w:trPr>
          <w:trHeight w:val="181"/>
        </w:trPr>
        <w:tc>
          <w:tcPr>
            <w:tcW w:w="5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Edward F. Barry</w:t>
            </w:r>
          </w:p>
        </w:tc>
      </w:tr>
      <w:tr>
        <w:trPr>
          <w:trHeight w:val="728"/>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Alan W. Jackson</w:t>
            </w:r>
          </w:p>
        </w:tc>
      </w:tr>
      <w:tr>
        <w:trPr>
          <w:trHeight w:val="181"/>
        </w:trPr>
        <w:tc>
          <w:tcPr>
            <w:tcW w:w="5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Alan W. Jackson</w:t>
            </w:r>
          </w:p>
        </w:tc>
      </w:tr>
      <w:tr>
        <w:trPr>
          <w:trHeight w:val="722"/>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Jerome R. Bailey</w:t>
            </w:r>
          </w:p>
        </w:tc>
      </w:tr>
      <w:tr>
        <w:trPr>
          <w:trHeight w:val="187"/>
        </w:trPr>
        <w:tc>
          <w:tcPr>
            <w:tcW w:w="520" w:type="dxa"/>
            <w:vAlign w:val="bottom"/>
          </w:tcPr>
          <w:p>
            <w:pPr>
              <w:spacing w:after="0"/>
              <w:rPr>
                <w:sz w:val="16"/>
                <w:szCs w:val="16"/>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Jerome R. Bailey</w:t>
            </w:r>
          </w:p>
        </w:tc>
      </w:tr>
      <w:tr>
        <w:trPr>
          <w:trHeight w:val="470"/>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Joshua Bernstein</w:t>
            </w:r>
          </w:p>
        </w:tc>
      </w:tr>
      <w:tr>
        <w:trPr>
          <w:trHeight w:val="181"/>
        </w:trPr>
        <w:tc>
          <w:tcPr>
            <w:tcW w:w="5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Joshua Bernstein</w:t>
            </w:r>
          </w:p>
        </w:tc>
      </w:tr>
      <w:tr>
        <w:trPr>
          <w:trHeight w:val="465"/>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C. Scott Brannan</w:t>
            </w:r>
          </w:p>
        </w:tc>
      </w:tr>
      <w:tr>
        <w:trPr>
          <w:trHeight w:val="187"/>
        </w:trPr>
        <w:tc>
          <w:tcPr>
            <w:tcW w:w="520" w:type="dxa"/>
            <w:vAlign w:val="bottom"/>
          </w:tcPr>
          <w:p>
            <w:pPr>
              <w:spacing w:after="0"/>
              <w:rPr>
                <w:sz w:val="16"/>
                <w:szCs w:val="16"/>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C. Scott Brannan</w:t>
            </w:r>
          </w:p>
        </w:tc>
      </w:tr>
      <w:tr>
        <w:trPr>
          <w:trHeight w:val="470"/>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Scot. R. Browning</w:t>
            </w:r>
          </w:p>
        </w:tc>
      </w:tr>
      <w:tr>
        <w:trPr>
          <w:trHeight w:val="181"/>
        </w:trPr>
        <w:tc>
          <w:tcPr>
            <w:tcW w:w="5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Scot R. Browning</w:t>
            </w:r>
          </w:p>
        </w:tc>
      </w:tr>
      <w:tr>
        <w:trPr>
          <w:trHeight w:val="437"/>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Joseph Greene</w:t>
            </w:r>
          </w:p>
        </w:tc>
      </w:tr>
      <w:tr>
        <w:trPr>
          <w:trHeight w:val="181"/>
        </w:trPr>
        <w:tc>
          <w:tcPr>
            <w:tcW w:w="5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Joseph Greene</w:t>
            </w:r>
          </w:p>
        </w:tc>
      </w:tr>
      <w:tr>
        <w:trPr>
          <w:trHeight w:val="470"/>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Randall. J. Levitt</w:t>
            </w:r>
          </w:p>
        </w:tc>
      </w:tr>
      <w:tr>
        <w:trPr>
          <w:trHeight w:val="181"/>
        </w:trPr>
        <w:tc>
          <w:tcPr>
            <w:tcW w:w="5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Randall J. Levitt</w:t>
            </w:r>
          </w:p>
        </w:tc>
      </w:tr>
      <w:tr>
        <w:trPr>
          <w:trHeight w:val="426"/>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Deborah Ratner Salzberg</w:t>
            </w:r>
          </w:p>
        </w:tc>
      </w:tr>
      <w:tr>
        <w:trPr>
          <w:trHeight w:val="181"/>
        </w:trPr>
        <w:tc>
          <w:tcPr>
            <w:tcW w:w="5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Deborah Ratner Salzberg</w:t>
            </w:r>
          </w:p>
        </w:tc>
      </w:tr>
      <w:tr>
        <w:trPr>
          <w:trHeight w:val="470"/>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Steven J. Schwartz</w:t>
            </w:r>
          </w:p>
        </w:tc>
      </w:tr>
      <w:tr>
        <w:trPr>
          <w:trHeight w:val="181"/>
        </w:trPr>
        <w:tc>
          <w:tcPr>
            <w:tcW w:w="5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Steven J. Schwartz</w:t>
            </w:r>
          </w:p>
        </w:tc>
      </w:tr>
      <w:tr>
        <w:trPr>
          <w:trHeight w:val="414"/>
        </w:trPr>
        <w:tc>
          <w:tcPr>
            <w:tcW w:w="520" w:type="dxa"/>
            <w:vAlign w:val="bottom"/>
          </w:tcPr>
          <w:p>
            <w:pPr>
              <w:ind w:left="280"/>
              <w:spacing w:after="0"/>
              <w:rPr>
                <w:sz w:val="20"/>
                <w:szCs w:val="20"/>
                <w:color w:val="auto"/>
              </w:rPr>
            </w:pPr>
            <w:r>
              <w:rPr>
                <w:rFonts w:ascii="Arial" w:cs="Arial" w:eastAsia="Arial" w:hAnsi="Arial"/>
                <w:sz w:val="15"/>
                <w:szCs w:val="15"/>
                <w:color w:val="auto"/>
              </w:rPr>
              <w:t>By:</w:t>
            </w: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/s/ James F. Whalen</w:t>
            </w:r>
          </w:p>
        </w:tc>
      </w:tr>
      <w:tr>
        <w:trPr>
          <w:trHeight w:val="181"/>
        </w:trPr>
        <w:tc>
          <w:tcPr>
            <w:tcW w:w="5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Arial" w:cs="Arial" w:eastAsia="Arial" w:hAnsi="Arial"/>
                <w:sz w:val="15"/>
                <w:szCs w:val="15"/>
                <w:color w:val="auto"/>
              </w:rPr>
              <w:t>James F. Whalen</w:t>
            </w:r>
          </w:p>
        </w:tc>
      </w:tr>
    </w:tbl>
    <w:p>
      <w:pPr>
        <w:spacing w:after="0" w:line="20" w:lineRule="exact"/>
        <w:rPr>
          <w:sz w:val="20"/>
          <w:szCs w:val="20"/>
          <w:color w:val="auto"/>
        </w:rPr>
      </w:pPr>
      <w:r>
        <w:rPr>
          <w:sz w:val="20"/>
          <w:szCs w:val="20"/>
          <w:color w:val="auto"/>
        </w:rPr>
        <w:br w:type="column"/>
      </w:r>
    </w:p>
    <w:p>
      <w:pPr>
        <w:jc w:val="center"/>
        <w:ind w:right="960"/>
        <w:spacing w:after="0"/>
        <w:rPr>
          <w:sz w:val="20"/>
          <w:szCs w:val="20"/>
          <w:color w:val="auto"/>
        </w:rPr>
      </w:pPr>
      <w:r>
        <w:rPr>
          <w:rFonts w:ascii="Arial" w:cs="Arial" w:eastAsia="Arial" w:hAnsi="Arial"/>
          <w:sz w:val="15"/>
          <w:szCs w:val="15"/>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15875</wp:posOffset>
            </wp:positionV>
            <wp:extent cx="324739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3247390" cy="6985"/>
                    </a:xfrm>
                    <a:prstGeom prst="rect">
                      <a:avLst/>
                    </a:prstGeom>
                    <a:noFill/>
                  </pic:spPr>
                </pic:pic>
              </a:graphicData>
            </a:graphic>
          </wp:anchor>
        </w:drawing>
      </w:r>
    </w:p>
    <w:p>
      <w:pPr>
        <w:spacing w:after="0" w:line="17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Chief Executive</w:t>
      </w:r>
    </w:p>
    <w:p>
      <w:pPr>
        <w:ind w:left="780"/>
        <w:spacing w:after="0" w:line="202" w:lineRule="auto"/>
        <w:rPr>
          <w:sz w:val="20"/>
          <w:szCs w:val="20"/>
          <w:color w:val="auto"/>
        </w:rPr>
      </w:pPr>
      <w:r>
        <w:rPr>
          <w:rFonts w:ascii="Arial" w:cs="Arial" w:eastAsia="Arial" w:hAnsi="Arial"/>
          <w:sz w:val="15"/>
          <w:szCs w:val="15"/>
          <w:color w:val="auto"/>
        </w:rPr>
        <w:t>Officer and Director</w:t>
      </w:r>
    </w:p>
    <w:p>
      <w:pPr>
        <w:ind w:left="500"/>
        <w:spacing w:after="0"/>
        <w:rPr>
          <w:sz w:val="20"/>
          <w:szCs w:val="20"/>
          <w:color w:val="auto"/>
        </w:rPr>
      </w:pPr>
      <w:r>
        <w:rPr>
          <w:rFonts w:ascii="Arial" w:cs="Arial" w:eastAsia="Arial" w:hAnsi="Arial"/>
          <w:sz w:val="15"/>
          <w:szCs w:val="15"/>
          <w:color w:val="auto"/>
        </w:rPr>
        <w:t>(Principal Executive Officer)</w:t>
      </w:r>
    </w:p>
    <w:p>
      <w:pPr>
        <w:spacing w:after="0" w:line="200" w:lineRule="exact"/>
        <w:rPr>
          <w:sz w:val="20"/>
          <w:szCs w:val="20"/>
          <w:color w:val="auto"/>
        </w:rPr>
      </w:pPr>
    </w:p>
    <w:p>
      <w:pPr>
        <w:spacing w:after="0" w:line="238"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Executive Vice President and</w:t>
      </w:r>
    </w:p>
    <w:p>
      <w:pPr>
        <w:jc w:val="center"/>
        <w:ind w:right="1220"/>
        <w:spacing w:after="0" w:line="202" w:lineRule="auto"/>
        <w:rPr>
          <w:sz w:val="20"/>
          <w:szCs w:val="20"/>
          <w:color w:val="auto"/>
        </w:rPr>
      </w:pPr>
      <w:r>
        <w:rPr>
          <w:rFonts w:ascii="Arial" w:cs="Arial" w:eastAsia="Arial" w:hAnsi="Arial"/>
          <w:sz w:val="15"/>
          <w:szCs w:val="15"/>
          <w:color w:val="auto"/>
        </w:rPr>
        <w:t>Chief Financial Officer</w:t>
      </w:r>
    </w:p>
    <w:p>
      <w:pPr>
        <w:jc w:val="center"/>
        <w:ind w:right="122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9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9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9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9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9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Chairman of the Board of Directors</w:t>
      </w: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15875</wp:posOffset>
            </wp:positionV>
            <wp:extent cx="12738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1273810" cy="698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March 15, 2022</w:t>
      </w:r>
    </w:p>
    <w:p>
      <w:pPr>
        <w:sectPr>
          <w:pgSz w:w="11900" w:h="16838" w:orient="portrait"/>
          <w:cols w:equalWidth="0" w:num="3">
            <w:col w:w="4260" w:space="720"/>
            <w:col w:w="4080" w:space="720"/>
            <w:col w:w="940"/>
          </w:cols>
          <w:pgMar w:left="580" w:top="1408" w:right="59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color w:val="auto"/>
        </w:rPr>
        <w:t>Exhibit 23.1</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26"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We consent to incorporation by reference in the Registration Statement (No. 333-228524) on Form S-8 of Capital Bancorp, Inc. of our report dated March 14, 2022, relating to the consolidated financial statements of Capital Bancorp, Inc. and Subsidiaries, appearing in this Annual Report on Form 10-K for the year ended December 31, 2021.</w:t>
      </w:r>
    </w:p>
    <w:p>
      <w:pPr>
        <w:spacing w:after="0"/>
        <w:rPr>
          <w:sz w:val="20"/>
          <w:szCs w:val="20"/>
          <w:color w:val="auto"/>
        </w:rPr>
      </w:pPr>
      <w:r>
        <w:rPr>
          <w:rFonts w:ascii="Arial" w:cs="Arial" w:eastAsia="Arial" w:hAnsi="Arial"/>
          <w:sz w:val="15"/>
          <w:szCs w:val="15"/>
          <w:color w:val="auto"/>
        </w:rPr>
        <w:t>/s/ Elliott Davis, PLLC</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Raleigh, North Carolina</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March 15, 2022</w:t>
      </w:r>
    </w:p>
    <w:p>
      <w:pPr>
        <w:sectPr>
          <w:pgSz w:w="11900" w:h="16838" w:orient="portrait"/>
          <w:cols w:equalWidth="0" w:num="1">
            <w:col w:w="11240"/>
          </w:cols>
          <w:pgMar w:left="300" w:top="1213" w:right="35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b w:val="1"/>
          <w:bCs w:val="1"/>
          <w:color w:val="auto"/>
        </w:rPr>
        <w:t>Section 2: EX-31.1 (RULE 13A-14(A) CERTIFICATION OF THE PRINCIPAL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 31.1</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7155815"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55815" cy="139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I, Ed Barry, certify that:</w:t>
      </w:r>
    </w:p>
    <w:p>
      <w:pPr>
        <w:spacing w:after="0" w:line="186" w:lineRule="exact"/>
        <w:rPr>
          <w:sz w:val="20"/>
          <w:szCs w:val="20"/>
          <w:color w:val="auto"/>
        </w:rPr>
      </w:pPr>
    </w:p>
    <w:p>
      <w:pPr>
        <w:ind w:left="180" w:hanging="170"/>
        <w:spacing w:after="0"/>
        <w:tabs>
          <w:tab w:leader="none" w:pos="1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Capital Bancorp, Inc.;</w:t>
      </w:r>
    </w:p>
    <w:p>
      <w:pPr>
        <w:spacing w:after="0" w:line="185" w:lineRule="exact"/>
        <w:rPr>
          <w:rFonts w:ascii="Arial" w:cs="Arial" w:eastAsia="Arial" w:hAnsi="Arial"/>
          <w:sz w:val="15"/>
          <w:szCs w:val="15"/>
          <w:color w:val="auto"/>
        </w:rPr>
      </w:pPr>
    </w:p>
    <w:p>
      <w:pPr>
        <w:ind w:right="20" w:firstLine="10"/>
        <w:spacing w:after="0" w:line="258" w:lineRule="auto"/>
        <w:tabs>
          <w:tab w:leader="none" w:pos="168"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5"/>
          <w:szCs w:val="15"/>
          <w:color w:val="auto"/>
        </w:rPr>
      </w:pPr>
    </w:p>
    <w:p>
      <w:pPr>
        <w:ind w:firstLine="10"/>
        <w:spacing w:after="0" w:line="258" w:lineRule="auto"/>
        <w:tabs>
          <w:tab w:leader="none" w:pos="178"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5"/>
          <w:szCs w:val="15"/>
          <w:color w:val="auto"/>
        </w:rPr>
      </w:pPr>
    </w:p>
    <w:p>
      <w:pPr>
        <w:ind w:firstLine="10"/>
        <w:spacing w:after="0" w:line="258" w:lineRule="auto"/>
        <w:tabs>
          <w:tab w:leader="none" w:pos="1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5"/>
          <w:szCs w:val="15"/>
          <w:color w:val="auto"/>
        </w:rPr>
      </w:pPr>
    </w:p>
    <w:p>
      <w:pPr>
        <w:jc w:val="both"/>
        <w:ind w:left="540" w:firstLine="7"/>
        <w:spacing w:after="0" w:line="253" w:lineRule="auto"/>
        <w:tabs>
          <w:tab w:leader="none" w:pos="726" w:val="left"/>
        </w:tabs>
        <w:numPr>
          <w:ilvl w:val="1"/>
          <w:numId w:val="2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5"/>
          <w:szCs w:val="15"/>
          <w:color w:val="auto"/>
        </w:rPr>
      </w:pPr>
    </w:p>
    <w:p>
      <w:pPr>
        <w:jc w:val="both"/>
        <w:ind w:left="540" w:firstLine="7"/>
        <w:spacing w:after="0" w:line="253" w:lineRule="auto"/>
        <w:tabs>
          <w:tab w:leader="none" w:pos="719" w:val="left"/>
        </w:tabs>
        <w:numPr>
          <w:ilvl w:val="1"/>
          <w:numId w:val="2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5"/>
          <w:szCs w:val="15"/>
          <w:color w:val="auto"/>
        </w:rPr>
      </w:pPr>
    </w:p>
    <w:p>
      <w:pPr>
        <w:ind w:left="540" w:firstLine="7"/>
        <w:spacing w:after="0" w:line="258" w:lineRule="auto"/>
        <w:tabs>
          <w:tab w:leader="none" w:pos="718"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5"/>
          <w:szCs w:val="15"/>
          <w:color w:val="auto"/>
        </w:rPr>
      </w:pPr>
    </w:p>
    <w:p>
      <w:pPr>
        <w:jc w:val="both"/>
        <w:ind w:left="540" w:firstLine="7"/>
        <w:spacing w:after="0" w:line="253" w:lineRule="auto"/>
        <w:tabs>
          <w:tab w:leader="none" w:pos="718" w:val="left"/>
        </w:tabs>
        <w:numPr>
          <w:ilvl w:val="1"/>
          <w:numId w:val="2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5"/>
          <w:szCs w:val="15"/>
          <w:color w:val="auto"/>
        </w:rPr>
      </w:pPr>
    </w:p>
    <w:p>
      <w:pPr>
        <w:ind w:right="20" w:firstLine="10"/>
        <w:spacing w:after="0" w:line="258" w:lineRule="auto"/>
        <w:tabs>
          <w:tab w:leader="none" w:pos="173"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5"/>
          <w:szCs w:val="15"/>
          <w:color w:val="auto"/>
        </w:rPr>
      </w:pPr>
    </w:p>
    <w:p>
      <w:pPr>
        <w:ind w:left="540" w:firstLine="7"/>
        <w:spacing w:after="0" w:line="258" w:lineRule="auto"/>
        <w:tabs>
          <w:tab w:leader="none" w:pos="715" w:val="left"/>
        </w:tabs>
        <w:numPr>
          <w:ilvl w:val="1"/>
          <w:numId w:val="2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5"/>
          <w:szCs w:val="15"/>
          <w:color w:val="auto"/>
        </w:rPr>
      </w:pPr>
    </w:p>
    <w:p>
      <w:pPr>
        <w:ind w:left="540" w:firstLine="7"/>
        <w:spacing w:after="0" w:line="258" w:lineRule="auto"/>
        <w:tabs>
          <w:tab w:leader="none" w:pos="725" w:val="left"/>
        </w:tabs>
        <w:numPr>
          <w:ilvl w:val="1"/>
          <w:numId w:val="2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20" w:val="left"/>
          <w:tab w:leader="none" w:pos="2040" w:val="left"/>
        </w:tabs>
        <w:rPr>
          <w:sz w:val="20"/>
          <w:szCs w:val="20"/>
          <w:color w:val="auto"/>
        </w:rPr>
      </w:pPr>
      <w:r>
        <w:rPr>
          <w:rFonts w:ascii="Arial" w:cs="Arial" w:eastAsia="Arial" w:hAnsi="Arial"/>
          <w:sz w:val="15"/>
          <w:szCs w:val="15"/>
          <w:color w:val="auto"/>
        </w:rPr>
        <w:t>Date:</w:t>
        <w:tab/>
        <w:t>March 15, 2022</w:t>
      </w:r>
      <w:r>
        <w:rPr>
          <w:sz w:val="20"/>
          <w:szCs w:val="20"/>
          <w:color w:val="auto"/>
        </w:rPr>
        <w:tab/>
      </w:r>
      <w:r>
        <w:rPr>
          <w:rFonts w:ascii="Arial" w:cs="Arial" w:eastAsia="Arial" w:hAnsi="Arial"/>
          <w:sz w:val="14"/>
          <w:szCs w:val="14"/>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-15875</wp:posOffset>
            </wp:positionV>
            <wp:extent cx="70485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04850" cy="698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Ed Barry</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280"/>
          </w:cols>
          <w:pgMar w:left="300" w:top="759" w:right="31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b w:val="1"/>
          <w:bCs w:val="1"/>
          <w:color w:val="auto"/>
        </w:rPr>
        <w:t>Section 2: EX-31.2 (RULE 13A-14(A) CERTIFICATION OF THE PRINCIPAL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 31.2</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7155815"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55815" cy="139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I, Alan W. Jackson, certify that:</w:t>
      </w:r>
    </w:p>
    <w:p>
      <w:pPr>
        <w:spacing w:after="0" w:line="186" w:lineRule="exact"/>
        <w:rPr>
          <w:sz w:val="20"/>
          <w:szCs w:val="20"/>
          <w:color w:val="auto"/>
        </w:rPr>
      </w:pPr>
    </w:p>
    <w:p>
      <w:pPr>
        <w:ind w:left="180" w:hanging="170"/>
        <w:spacing w:after="0"/>
        <w:tabs>
          <w:tab w:leader="none" w:pos="1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Capital Bancorp, Inc.;</w:t>
      </w:r>
    </w:p>
    <w:p>
      <w:pPr>
        <w:spacing w:after="0" w:line="185" w:lineRule="exact"/>
        <w:rPr>
          <w:rFonts w:ascii="Arial" w:cs="Arial" w:eastAsia="Arial" w:hAnsi="Arial"/>
          <w:sz w:val="15"/>
          <w:szCs w:val="15"/>
          <w:color w:val="auto"/>
        </w:rPr>
      </w:pPr>
    </w:p>
    <w:p>
      <w:pPr>
        <w:ind w:right="20" w:firstLine="10"/>
        <w:spacing w:after="0" w:line="258" w:lineRule="auto"/>
        <w:tabs>
          <w:tab w:leader="none" w:pos="168"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5"/>
          <w:szCs w:val="15"/>
          <w:color w:val="auto"/>
        </w:rPr>
      </w:pPr>
    </w:p>
    <w:p>
      <w:pPr>
        <w:ind w:firstLine="10"/>
        <w:spacing w:after="0" w:line="258" w:lineRule="auto"/>
        <w:tabs>
          <w:tab w:leader="none" w:pos="178"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5"/>
          <w:szCs w:val="15"/>
          <w:color w:val="auto"/>
        </w:rPr>
      </w:pPr>
    </w:p>
    <w:p>
      <w:pPr>
        <w:ind w:firstLine="10"/>
        <w:spacing w:after="0" w:line="258" w:lineRule="auto"/>
        <w:tabs>
          <w:tab w:leader="none" w:pos="1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5"/>
          <w:szCs w:val="15"/>
          <w:color w:val="auto"/>
        </w:rPr>
      </w:pPr>
    </w:p>
    <w:p>
      <w:pPr>
        <w:jc w:val="both"/>
        <w:ind w:left="540" w:firstLine="7"/>
        <w:spacing w:after="0" w:line="253" w:lineRule="auto"/>
        <w:tabs>
          <w:tab w:leader="none" w:pos="726" w:val="left"/>
        </w:tabs>
        <w:numPr>
          <w:ilvl w:val="1"/>
          <w:numId w:val="2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5"/>
          <w:szCs w:val="15"/>
          <w:color w:val="auto"/>
        </w:rPr>
      </w:pPr>
    </w:p>
    <w:p>
      <w:pPr>
        <w:jc w:val="both"/>
        <w:ind w:left="540" w:firstLine="7"/>
        <w:spacing w:after="0" w:line="253" w:lineRule="auto"/>
        <w:tabs>
          <w:tab w:leader="none" w:pos="719" w:val="left"/>
        </w:tabs>
        <w:numPr>
          <w:ilvl w:val="1"/>
          <w:numId w:val="2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5"/>
          <w:szCs w:val="15"/>
          <w:color w:val="auto"/>
        </w:rPr>
      </w:pPr>
    </w:p>
    <w:p>
      <w:pPr>
        <w:ind w:left="540" w:firstLine="7"/>
        <w:spacing w:after="0" w:line="258" w:lineRule="auto"/>
        <w:tabs>
          <w:tab w:leader="none" w:pos="718"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5"/>
          <w:szCs w:val="15"/>
          <w:color w:val="auto"/>
        </w:rPr>
      </w:pPr>
    </w:p>
    <w:p>
      <w:pPr>
        <w:jc w:val="both"/>
        <w:ind w:left="540" w:firstLine="7"/>
        <w:spacing w:after="0" w:line="253" w:lineRule="auto"/>
        <w:tabs>
          <w:tab w:leader="none" w:pos="718" w:val="left"/>
        </w:tabs>
        <w:numPr>
          <w:ilvl w:val="1"/>
          <w:numId w:val="2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5"/>
          <w:szCs w:val="15"/>
          <w:color w:val="auto"/>
        </w:rPr>
      </w:pPr>
    </w:p>
    <w:p>
      <w:pPr>
        <w:ind w:right="20" w:firstLine="10"/>
        <w:spacing w:after="0" w:line="258" w:lineRule="auto"/>
        <w:tabs>
          <w:tab w:leader="none" w:pos="173"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5"/>
          <w:szCs w:val="15"/>
          <w:color w:val="auto"/>
        </w:rPr>
      </w:pPr>
    </w:p>
    <w:p>
      <w:pPr>
        <w:ind w:left="540" w:firstLine="7"/>
        <w:spacing w:after="0" w:line="258" w:lineRule="auto"/>
        <w:tabs>
          <w:tab w:leader="none" w:pos="715" w:val="left"/>
        </w:tabs>
        <w:numPr>
          <w:ilvl w:val="1"/>
          <w:numId w:val="2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5"/>
          <w:szCs w:val="15"/>
          <w:color w:val="auto"/>
        </w:rPr>
      </w:pPr>
    </w:p>
    <w:p>
      <w:pPr>
        <w:ind w:left="540" w:firstLine="7"/>
        <w:spacing w:after="0" w:line="258" w:lineRule="auto"/>
        <w:tabs>
          <w:tab w:leader="none" w:pos="725" w:val="left"/>
        </w:tabs>
        <w:numPr>
          <w:ilvl w:val="1"/>
          <w:numId w:val="2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2080" w:val="left"/>
        </w:tabs>
        <w:rPr>
          <w:sz w:val="20"/>
          <w:szCs w:val="20"/>
          <w:color w:val="auto"/>
        </w:rPr>
      </w:pPr>
      <w:r>
        <w:rPr>
          <w:rFonts w:ascii="Arial" w:cs="Arial" w:eastAsia="Arial" w:hAnsi="Arial"/>
          <w:sz w:val="15"/>
          <w:szCs w:val="15"/>
          <w:color w:val="auto"/>
        </w:rPr>
        <w:t>Date: March 15, 2022</w:t>
      </w:r>
      <w:r>
        <w:rPr>
          <w:sz w:val="20"/>
          <w:szCs w:val="20"/>
          <w:color w:val="auto"/>
        </w:rPr>
        <w:tab/>
      </w:r>
      <w:r>
        <w:rPr>
          <w:rFonts w:ascii="Arial" w:cs="Arial" w:eastAsia="Arial" w:hAnsi="Arial"/>
          <w:sz w:val="14"/>
          <w:szCs w:val="14"/>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-15875</wp:posOffset>
            </wp:positionV>
            <wp:extent cx="93154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931545" cy="698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5"/>
          <w:szCs w:val="15"/>
          <w:color w:val="auto"/>
        </w:rPr>
        <w:t>Alan W. Jackson</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280"/>
          </w:cols>
          <w:pgMar w:left="300" w:top="759" w:right="319" w:bottom="1440" w:gutter="0" w:footer="0" w:header="0"/>
        </w:sectPr>
      </w:pPr>
    </w:p>
    <w:bookmarkStart w:id="111" w:name="page112"/>
    <w:bookmarkEnd w:id="111"/>
    <w:p>
      <w:pPr>
        <w:spacing w:after="0"/>
        <w:rPr>
          <w:sz w:val="20"/>
          <w:szCs w:val="20"/>
          <w:color w:val="auto"/>
        </w:rPr>
      </w:pPr>
      <w:r>
        <w:rPr>
          <w:rFonts w:ascii="Arial" w:cs="Arial" w:eastAsia="Arial" w:hAnsi="Arial"/>
          <w:sz w:val="15"/>
          <w:szCs w:val="15"/>
          <w:b w:val="1"/>
          <w:bCs w:val="1"/>
          <w:color w:val="auto"/>
        </w:rPr>
        <w:t>Section 2: EX-32.1 (Certification Pursuant to 18 U.S.C. Section 1350, As Adopted Pursuant to Section 906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 32.1</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7155815" cy="139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55815" cy="139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connection with the Annual Report of Capital Bancorp, Inc. (the “Company”) on Form 10-K for the period ended December 31, 2021,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70" w:lineRule="exact"/>
        <w:rPr>
          <w:sz w:val="20"/>
          <w:szCs w:val="20"/>
          <w:color w:val="auto"/>
        </w:rPr>
      </w:pPr>
    </w:p>
    <w:p>
      <w:pPr>
        <w:ind w:left="540" w:hanging="262"/>
        <w:spacing w:after="0"/>
        <w:tabs>
          <w:tab w:leader="none" w:pos="5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85" w:lineRule="exact"/>
        <w:rPr>
          <w:rFonts w:ascii="Arial" w:cs="Arial" w:eastAsia="Arial" w:hAnsi="Arial"/>
          <w:sz w:val="15"/>
          <w:szCs w:val="15"/>
          <w:color w:val="auto"/>
        </w:rPr>
      </w:pPr>
    </w:p>
    <w:p>
      <w:pPr>
        <w:ind w:left="540" w:hanging="262"/>
        <w:spacing w:after="0"/>
        <w:tabs>
          <w:tab w:leader="none" w:pos="5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66" w:lineRule="exact"/>
        <w:rPr>
          <w:sz w:val="20"/>
          <w:szCs w:val="20"/>
          <w:color w:val="auto"/>
        </w:rPr>
      </w:pPr>
    </w:p>
    <w:p>
      <w:pPr>
        <w:spacing w:after="0"/>
        <w:tabs>
          <w:tab w:leader="none" w:pos="520" w:val="left"/>
          <w:tab w:leader="none" w:pos="2040" w:val="left"/>
        </w:tabs>
        <w:rPr>
          <w:sz w:val="20"/>
          <w:szCs w:val="20"/>
          <w:color w:val="auto"/>
        </w:rPr>
      </w:pPr>
      <w:r>
        <w:rPr>
          <w:rFonts w:ascii="Arial" w:cs="Arial" w:eastAsia="Arial" w:hAnsi="Arial"/>
          <w:sz w:val="15"/>
          <w:szCs w:val="15"/>
          <w:color w:val="auto"/>
        </w:rPr>
        <w:t>Date:</w:t>
        <w:tab/>
        <w:t>March 15, 2022</w:t>
      </w:r>
      <w:r>
        <w:rPr>
          <w:sz w:val="20"/>
          <w:szCs w:val="20"/>
          <w:color w:val="auto"/>
        </w:rPr>
        <w:tab/>
      </w:r>
      <w:r>
        <w:rPr>
          <w:rFonts w:ascii="Arial" w:cs="Arial" w:eastAsia="Arial" w:hAnsi="Arial"/>
          <w:sz w:val="14"/>
          <w:szCs w:val="14"/>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-15875</wp:posOffset>
            </wp:positionV>
            <wp:extent cx="70485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04850" cy="698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Ed Barry</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Chief Executive Officer</w:t>
      </w: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-15875</wp:posOffset>
            </wp:positionV>
            <wp:extent cx="93154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931545" cy="698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Alan W. Jackson</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0980"/>
          </w:cols>
          <w:pgMar w:left="300" w:top="759" w:right="6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5"/>
          <w:szCs w:val="15"/>
          <w:color w:val="auto"/>
        </w:rPr>
        <w:t>Option Agreement Number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w:t>
      </w:r>
    </w:p>
    <w:p>
      <w:pPr>
        <w:jc w:val="center"/>
        <w:spacing w:after="0" w:line="221" w:lineRule="auto"/>
        <w:rPr>
          <w:sz w:val="20"/>
          <w:szCs w:val="20"/>
          <w:color w:val="auto"/>
        </w:rPr>
      </w:pPr>
      <w:r>
        <w:rPr>
          <w:rFonts w:ascii="Arial" w:cs="Arial" w:eastAsia="Arial" w:hAnsi="Arial"/>
          <w:sz w:val="15"/>
          <w:szCs w:val="15"/>
          <w:b w:val="1"/>
          <w:bCs w:val="1"/>
          <w:color w:val="auto"/>
        </w:rPr>
        <w:t>CAPITAL BANCORP, INC.</w:t>
      </w:r>
    </w:p>
    <w:p>
      <w:pPr>
        <w:jc w:val="center"/>
        <w:spacing w:after="0" w:line="218" w:lineRule="auto"/>
        <w:rPr>
          <w:sz w:val="20"/>
          <w:szCs w:val="20"/>
          <w:color w:val="auto"/>
        </w:rPr>
      </w:pPr>
      <w:r>
        <w:rPr>
          <w:rFonts w:ascii="Arial" w:cs="Arial" w:eastAsia="Arial" w:hAnsi="Arial"/>
          <w:sz w:val="15"/>
          <w:szCs w:val="15"/>
          <w:b w:val="1"/>
          <w:bCs w:val="1"/>
          <w:color w:val="auto"/>
        </w:rPr>
        <w:t>2017 STOCK AND INCENTIVE COMPENSATION PLAN</w:t>
      </w:r>
    </w:p>
    <w:p>
      <w:pPr>
        <w:jc w:val="center"/>
        <w:spacing w:after="0"/>
        <w:rPr>
          <w:sz w:val="20"/>
          <w:szCs w:val="20"/>
          <w:color w:val="auto"/>
        </w:rPr>
      </w:pPr>
      <w:r>
        <w:rPr>
          <w:rFonts w:ascii="Arial" w:cs="Arial" w:eastAsia="Arial" w:hAnsi="Arial"/>
          <w:sz w:val="15"/>
          <w:szCs w:val="15"/>
          <w:b w:val="1"/>
          <w:bCs w:val="1"/>
          <w:color w:val="auto"/>
        </w:rPr>
        <w:t>INCENTIVE STOCK OPTION AWARD AGREEMENT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This INCENTIVE STOCK OPTION AGREEMENT (“Agreement”) is made and entered into as of this ___ day of ______________, 2018 (the “Grant Date”), between</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Capital Bancorp, Inc., a Maryland corporation (“the Company”) and __________ (“Participant”).</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WHEREAS the Company desires to grant the Participant certain options to purchase shares of the Company’s Common Stock (“Shares”) pursuant to the Capital Bancorp, Inc. 2017 Stock and Incentive Compensation Plan, as approved by the stockholders on August 3, 2017, effective as of August 29, 2017 (the “Plan”) a copy of which has been furnished to the Participant and the terms of which are incorporated herein by reference. Unless otherwise indicated, whenever capitalized terms are used in this Agreement, they shall have the meanings set forth in the Plan.</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WHEREAS the parties enter into this Agreement to evidence the grant of such stock options and set forth the terms and conditions governing their exercise.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NOW, THEREFORE, the parties agree as follows:</w:t>
      </w:r>
    </w:p>
    <w:p>
      <w:pPr>
        <w:spacing w:after="0" w:line="78" w:lineRule="exact"/>
        <w:rPr>
          <w:sz w:val="20"/>
          <w:szCs w:val="20"/>
          <w:color w:val="auto"/>
        </w:rPr>
      </w:pPr>
    </w:p>
    <w:p>
      <w:pPr>
        <w:ind w:left="540" w:right="220" w:hanging="262"/>
        <w:spacing w:after="0" w:line="255" w:lineRule="auto"/>
        <w:tabs>
          <w:tab w:leader="none" w:pos="53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Grant of Options</w:t>
      </w:r>
      <w:r>
        <w:rPr>
          <w:rFonts w:ascii="Arial" w:cs="Arial" w:eastAsia="Arial" w:hAnsi="Arial"/>
          <w:sz w:val="15"/>
          <w:szCs w:val="15"/>
          <w:color w:val="auto"/>
        </w:rPr>
        <w:t>. The Company grants to Participant an option (“the Stock Options”) to purchase an aggregate of ______ Shares. The Stock Options shall</w:t>
      </w:r>
      <w:r>
        <w:rPr>
          <w:rFonts w:ascii="Arial" w:cs="Arial" w:eastAsia="Arial" w:hAnsi="Arial"/>
          <w:sz w:val="15"/>
          <w:szCs w:val="15"/>
          <w:b w:val="1"/>
          <w:bCs w:val="1"/>
          <w:color w:val="auto"/>
        </w:rPr>
        <w:t xml:space="preserve"> </w:t>
      </w:r>
      <w:r>
        <w:rPr>
          <w:rFonts w:ascii="Arial" w:cs="Arial" w:eastAsia="Arial" w:hAnsi="Arial"/>
          <w:sz w:val="15"/>
          <w:szCs w:val="15"/>
          <w:color w:val="auto"/>
        </w:rPr>
        <w:t>constitute “incentive stock options” within the meaning of Section 422 of the Internal Revenue Code of 1954, as amended, to the extent that the Market Value of Common Stock with respect to which incentive stock options are exercisable for the first time by the Participant during any calendar year (under all plans of the Company) exceeds $100,000, such options shall be treated as Nonqualified Stock Options and (the Company shall designate which Options will be treated as Nonqualified Stock Options). If the Option granted hereunder fails to qualify as an Incentive Stock Option for any reason, then the Option, or portion thereof that does not so qualify, shall be treated as a Nonqualified Stock Option.</w:t>
      </w:r>
    </w:p>
    <w:p>
      <w:pPr>
        <w:spacing w:after="0" w:line="64" w:lineRule="exact"/>
        <w:rPr>
          <w:rFonts w:ascii="Arial" w:cs="Arial" w:eastAsia="Arial" w:hAnsi="Arial"/>
          <w:sz w:val="15"/>
          <w:szCs w:val="15"/>
          <w:color w:val="auto"/>
        </w:rPr>
      </w:pPr>
    </w:p>
    <w:p>
      <w:pPr>
        <w:ind w:left="540" w:hanging="262"/>
        <w:spacing w:after="0"/>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Option Price</w:t>
      </w:r>
      <w:r>
        <w:rPr>
          <w:rFonts w:ascii="Arial" w:cs="Arial" w:eastAsia="Arial" w:hAnsi="Arial"/>
          <w:sz w:val="15"/>
          <w:szCs w:val="15"/>
          <w:color w:val="auto"/>
        </w:rPr>
        <w:t>. The exercise price of the Stock Options is _____ dollars and _____ cents (</w:t>
      </w:r>
      <w:r>
        <w:rPr>
          <w:rFonts w:ascii="Arial" w:cs="Arial" w:eastAsia="Arial" w:hAnsi="Arial"/>
          <w:sz w:val="15"/>
          <w:szCs w:val="15"/>
          <w:b w:val="1"/>
          <w:bCs w:val="1"/>
          <w:color w:val="auto"/>
        </w:rPr>
        <w:t xml:space="preserve">$ </w:t>
      </w:r>
      <w:r>
        <w:rPr>
          <w:rFonts w:ascii="Arial" w:cs="Arial" w:eastAsia="Arial" w:hAnsi="Arial"/>
          <w:sz w:val="15"/>
          <w:szCs w:val="15"/>
          <w:color w:val="auto"/>
        </w:rPr>
        <w:t>) per share (“the Option Price”).</w:t>
      </w:r>
    </w:p>
    <w:p>
      <w:pPr>
        <w:spacing w:after="0" w:line="96" w:lineRule="exact"/>
        <w:rPr>
          <w:rFonts w:ascii="Arial" w:cs="Arial" w:eastAsia="Arial" w:hAnsi="Arial"/>
          <w:sz w:val="15"/>
          <w:szCs w:val="15"/>
          <w:color w:val="auto"/>
        </w:rPr>
      </w:pPr>
    </w:p>
    <w:p>
      <w:pPr>
        <w:ind w:left="540" w:right="80" w:hanging="262"/>
        <w:spacing w:after="0" w:line="257" w:lineRule="auto"/>
        <w:tabs>
          <w:tab w:leader="none" w:pos="53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Term</w:t>
      </w:r>
      <w:r>
        <w:rPr>
          <w:rFonts w:ascii="Arial" w:cs="Arial" w:eastAsia="Arial" w:hAnsi="Arial"/>
          <w:sz w:val="15"/>
          <w:szCs w:val="15"/>
          <w:color w:val="auto"/>
        </w:rPr>
        <w:t>. Subject to each and every one of the conditions and limitations set forth in the Plan, as approved by the stockholders, including but not limited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stock options in the event that the Participant ceases to be an employee of the Company or its wholly-owned subsidiary, Capital Bank N.A., the Stock Options that have vested may be exercised by the Participant, in whole or in part, at any time period commencing during the period beginning on the Grant Date and terminating on the fifth anniversary of the Grant Date (the “Expiration Date”). Any of the Stock Options that are outstanding and unexercised at the close of business on the Expiration Date shall automatically, and without further action by the Company or the Participant, be canceled or terminated.</w:t>
      </w:r>
    </w:p>
    <w:p>
      <w:pPr>
        <w:spacing w:after="0" w:line="61" w:lineRule="exact"/>
        <w:rPr>
          <w:rFonts w:ascii="Arial" w:cs="Arial" w:eastAsia="Arial" w:hAnsi="Arial"/>
          <w:sz w:val="15"/>
          <w:szCs w:val="15"/>
          <w:color w:val="auto"/>
        </w:rPr>
      </w:pPr>
    </w:p>
    <w:p>
      <w:pPr>
        <w:ind w:left="540" w:right="40" w:hanging="262"/>
        <w:spacing w:after="0" w:line="260" w:lineRule="auto"/>
        <w:tabs>
          <w:tab w:leader="none" w:pos="53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Exercise</w:t>
      </w:r>
      <w:r>
        <w:rPr>
          <w:rFonts w:ascii="Arial" w:cs="Arial" w:eastAsia="Arial" w:hAnsi="Arial"/>
          <w:sz w:val="15"/>
          <w:szCs w:val="15"/>
          <w:color w:val="auto"/>
        </w:rPr>
        <w:t>. The Stock Options may be exercised, in whole or in part, by delivery of written notice to the Chairman of the Board of the Company or their designee by</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Participant, indicating the number of the Stock Options that the Participant wishes to exercise. Such notice shall be accompanied by the payment of the Option Price for the total number of Shares being purchased by the Participant pursuant to the exercise of all or any portion of the Stock Options. The Option Price shall be paid in cash or by check (U.S. dollars).</w:t>
      </w:r>
    </w:p>
    <w:p>
      <w:pPr>
        <w:sectPr>
          <w:pgSz w:w="11900" w:h="16838" w:orient="portrait"/>
          <w:cols w:equalWidth="0" w:num="1">
            <w:col w:w="11280"/>
          </w:cols>
          <w:pgMar w:left="300" w:top="1202" w:right="319" w:bottom="1440" w:gutter="0" w:footer="0" w:header="0"/>
        </w:sectPr>
      </w:pPr>
    </w:p>
    <w:bookmarkStart w:id="113" w:name="page114"/>
    <w:bookmarkEnd w:id="113"/>
    <w:p>
      <w:pPr>
        <w:ind w:left="262" w:right="20" w:hanging="262"/>
        <w:spacing w:after="0" w:line="283" w:lineRule="auto"/>
        <w:tabs>
          <w:tab w:leader="none" w:pos="252" w:val="left"/>
        </w:tabs>
        <w:numPr>
          <w:ilvl w:val="0"/>
          <w:numId w:val="29"/>
        </w:numPr>
        <w:rPr>
          <w:rFonts w:ascii="Arial" w:cs="Arial" w:eastAsia="Arial" w:hAnsi="Arial"/>
          <w:sz w:val="15"/>
          <w:szCs w:val="15"/>
          <w:color w:val="auto"/>
        </w:rPr>
      </w:pPr>
      <w:r>
        <w:rPr>
          <w:rFonts w:ascii="Arial" w:cs="Arial" w:eastAsia="Arial" w:hAnsi="Arial"/>
          <w:sz w:val="15"/>
          <w:szCs w:val="15"/>
          <w:b w:val="1"/>
          <w:bCs w:val="1"/>
          <w:color w:val="auto"/>
        </w:rPr>
        <w:t>Vesting</w:t>
      </w:r>
      <w:r>
        <w:rPr>
          <w:rFonts w:ascii="Arial" w:cs="Arial" w:eastAsia="Arial" w:hAnsi="Arial"/>
          <w:sz w:val="15"/>
          <w:szCs w:val="15"/>
          <w:color w:val="auto"/>
        </w:rPr>
        <w:t>. Subject to the forfeiture provisions set forth in Articles VI and XV of the Plan, and subject to any accelerated vesting permitted under Article X of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the Options granted under this Agreement vest as follows:</w:t>
      </w:r>
    </w:p>
    <w:p>
      <w:pPr>
        <w:spacing w:after="0" w:line="62" w:lineRule="exact"/>
        <w:rPr>
          <w:sz w:val="20"/>
          <w:szCs w:val="20"/>
          <w:color w:val="auto"/>
        </w:rPr>
      </w:pPr>
    </w:p>
    <w:tbl>
      <w:tblPr>
        <w:tblLayout w:type="fixed"/>
        <w:tblInd w:w="272" w:type="dxa"/>
        <w:tblCellMar>
          <w:top w:w="0" w:type="dxa"/>
          <w:left w:w="0" w:type="dxa"/>
          <w:bottom w:w="0" w:type="dxa"/>
          <w:right w:w="0" w:type="dxa"/>
        </w:tblCellMar>
      </w:tblPr>
      <w:tr>
        <w:trPr>
          <w:trHeight w:val="207"/>
        </w:trPr>
        <w:tc>
          <w:tcPr>
            <w:tcW w:w="4500" w:type="dxa"/>
            <w:vAlign w:val="bottom"/>
            <w:tcBorders>
              <w:top w:val="single" w:sz="8" w:color="auto"/>
              <w:left w:val="single" w:sz="8" w:color="auto"/>
              <w:bottom w:val="single" w:sz="8" w:color="auto"/>
              <w:right w:val="single" w:sz="8" w:color="auto"/>
            </w:tcBorders>
          </w:tcPr>
          <w:p>
            <w:pPr>
              <w:jc w:val="center"/>
              <w:ind w:left="445"/>
              <w:spacing w:after="0"/>
              <w:rPr>
                <w:sz w:val="20"/>
                <w:szCs w:val="20"/>
                <w:color w:val="auto"/>
              </w:rPr>
            </w:pPr>
            <w:r>
              <w:rPr>
                <w:rFonts w:ascii="Arial" w:cs="Arial" w:eastAsia="Arial" w:hAnsi="Arial"/>
                <w:sz w:val="15"/>
                <w:szCs w:val="15"/>
                <w:color w:val="auto"/>
                <w:w w:val="99"/>
              </w:rPr>
              <w:t>First anniversary of the Grant Date</w:t>
            </w:r>
          </w:p>
        </w:tc>
        <w:tc>
          <w:tcPr>
            <w:tcW w:w="2640" w:type="dxa"/>
            <w:vAlign w:val="bottom"/>
            <w:tcBorders>
              <w:top w:val="single" w:sz="8" w:color="auto"/>
              <w:bottom w:val="single" w:sz="8" w:color="auto"/>
              <w:right w:val="single" w:sz="8" w:color="auto"/>
            </w:tcBorders>
          </w:tcPr>
          <w:p>
            <w:pPr>
              <w:jc w:val="center"/>
              <w:ind w:left="425"/>
              <w:spacing w:after="0"/>
              <w:rPr>
                <w:sz w:val="20"/>
                <w:szCs w:val="20"/>
                <w:color w:val="auto"/>
              </w:rPr>
            </w:pPr>
            <w:r>
              <w:rPr>
                <w:rFonts w:ascii="Arial" w:cs="Arial" w:eastAsia="Arial" w:hAnsi="Arial"/>
                <w:sz w:val="15"/>
                <w:szCs w:val="15"/>
                <w:color w:val="auto"/>
                <w:w w:val="99"/>
              </w:rPr>
              <w:t>25%</w:t>
            </w:r>
          </w:p>
        </w:tc>
      </w:tr>
      <w:tr>
        <w:trPr>
          <w:trHeight w:val="193"/>
        </w:trPr>
        <w:tc>
          <w:tcPr>
            <w:tcW w:w="4500" w:type="dxa"/>
            <w:vAlign w:val="bottom"/>
            <w:tcBorders>
              <w:left w:val="single" w:sz="8" w:color="auto"/>
              <w:bottom w:val="single" w:sz="8" w:color="auto"/>
              <w:right w:val="single" w:sz="8" w:color="auto"/>
            </w:tcBorders>
          </w:tcPr>
          <w:p>
            <w:pPr>
              <w:jc w:val="center"/>
              <w:ind w:left="445"/>
              <w:spacing w:after="0"/>
              <w:rPr>
                <w:sz w:val="20"/>
                <w:szCs w:val="20"/>
                <w:color w:val="auto"/>
              </w:rPr>
            </w:pPr>
            <w:r>
              <w:rPr>
                <w:rFonts w:ascii="Arial" w:cs="Arial" w:eastAsia="Arial" w:hAnsi="Arial"/>
                <w:sz w:val="15"/>
                <w:szCs w:val="15"/>
                <w:color w:val="auto"/>
                <w:w w:val="99"/>
              </w:rPr>
              <w:t>Second anniversary of the Grant Date</w:t>
            </w:r>
          </w:p>
        </w:tc>
        <w:tc>
          <w:tcPr>
            <w:tcW w:w="2640" w:type="dxa"/>
            <w:vAlign w:val="bottom"/>
            <w:tcBorders>
              <w:bottom w:val="single" w:sz="8" w:color="auto"/>
              <w:right w:val="single" w:sz="8" w:color="auto"/>
            </w:tcBorders>
          </w:tcPr>
          <w:p>
            <w:pPr>
              <w:jc w:val="center"/>
              <w:ind w:left="425"/>
              <w:spacing w:after="0"/>
              <w:rPr>
                <w:sz w:val="20"/>
                <w:szCs w:val="20"/>
                <w:color w:val="auto"/>
              </w:rPr>
            </w:pPr>
            <w:r>
              <w:rPr>
                <w:rFonts w:ascii="Arial" w:cs="Arial" w:eastAsia="Arial" w:hAnsi="Arial"/>
                <w:sz w:val="15"/>
                <w:szCs w:val="15"/>
                <w:color w:val="auto"/>
                <w:w w:val="99"/>
              </w:rPr>
              <w:t>50%</w:t>
            </w:r>
          </w:p>
        </w:tc>
      </w:tr>
      <w:tr>
        <w:trPr>
          <w:trHeight w:val="193"/>
        </w:trPr>
        <w:tc>
          <w:tcPr>
            <w:tcW w:w="4500" w:type="dxa"/>
            <w:vAlign w:val="bottom"/>
            <w:tcBorders>
              <w:left w:val="single" w:sz="8" w:color="auto"/>
              <w:bottom w:val="single" w:sz="8" w:color="auto"/>
              <w:right w:val="single" w:sz="8" w:color="auto"/>
            </w:tcBorders>
          </w:tcPr>
          <w:p>
            <w:pPr>
              <w:jc w:val="center"/>
              <w:ind w:left="445"/>
              <w:spacing w:after="0"/>
              <w:rPr>
                <w:sz w:val="20"/>
                <w:szCs w:val="20"/>
                <w:color w:val="auto"/>
              </w:rPr>
            </w:pPr>
            <w:r>
              <w:rPr>
                <w:rFonts w:ascii="Arial" w:cs="Arial" w:eastAsia="Arial" w:hAnsi="Arial"/>
                <w:sz w:val="15"/>
                <w:szCs w:val="15"/>
                <w:color w:val="auto"/>
                <w:w w:val="99"/>
              </w:rPr>
              <w:t>Third anniversary of the Grant Date</w:t>
            </w:r>
          </w:p>
        </w:tc>
        <w:tc>
          <w:tcPr>
            <w:tcW w:w="2640" w:type="dxa"/>
            <w:vAlign w:val="bottom"/>
            <w:tcBorders>
              <w:bottom w:val="single" w:sz="8" w:color="auto"/>
              <w:right w:val="single" w:sz="8" w:color="auto"/>
            </w:tcBorders>
          </w:tcPr>
          <w:p>
            <w:pPr>
              <w:jc w:val="center"/>
              <w:ind w:left="425"/>
              <w:spacing w:after="0"/>
              <w:rPr>
                <w:sz w:val="20"/>
                <w:szCs w:val="20"/>
                <w:color w:val="auto"/>
              </w:rPr>
            </w:pPr>
            <w:r>
              <w:rPr>
                <w:rFonts w:ascii="Arial" w:cs="Arial" w:eastAsia="Arial" w:hAnsi="Arial"/>
                <w:sz w:val="15"/>
                <w:szCs w:val="15"/>
                <w:color w:val="auto"/>
                <w:w w:val="99"/>
              </w:rPr>
              <w:t>75%</w:t>
            </w:r>
          </w:p>
        </w:tc>
      </w:tr>
      <w:tr>
        <w:trPr>
          <w:trHeight w:val="193"/>
        </w:trPr>
        <w:tc>
          <w:tcPr>
            <w:tcW w:w="4500" w:type="dxa"/>
            <w:vAlign w:val="bottom"/>
            <w:tcBorders>
              <w:left w:val="single" w:sz="8" w:color="auto"/>
              <w:bottom w:val="single" w:sz="8" w:color="auto"/>
              <w:right w:val="single" w:sz="8" w:color="auto"/>
            </w:tcBorders>
          </w:tcPr>
          <w:p>
            <w:pPr>
              <w:jc w:val="center"/>
              <w:ind w:left="445"/>
              <w:spacing w:after="0"/>
              <w:rPr>
                <w:sz w:val="20"/>
                <w:szCs w:val="20"/>
                <w:color w:val="auto"/>
              </w:rPr>
            </w:pPr>
            <w:r>
              <w:rPr>
                <w:rFonts w:ascii="Arial" w:cs="Arial" w:eastAsia="Arial" w:hAnsi="Arial"/>
                <w:sz w:val="15"/>
                <w:szCs w:val="15"/>
                <w:color w:val="auto"/>
                <w:w w:val="99"/>
              </w:rPr>
              <w:t>Fourth anniversary of the Grant Date</w:t>
            </w:r>
          </w:p>
        </w:tc>
        <w:tc>
          <w:tcPr>
            <w:tcW w:w="2640" w:type="dxa"/>
            <w:vAlign w:val="bottom"/>
            <w:tcBorders>
              <w:bottom w:val="single" w:sz="8" w:color="auto"/>
              <w:right w:val="single" w:sz="8" w:color="auto"/>
            </w:tcBorders>
          </w:tcPr>
          <w:p>
            <w:pPr>
              <w:jc w:val="center"/>
              <w:ind w:left="425"/>
              <w:spacing w:after="0"/>
              <w:rPr>
                <w:sz w:val="20"/>
                <w:szCs w:val="20"/>
                <w:color w:val="auto"/>
              </w:rPr>
            </w:pPr>
            <w:r>
              <w:rPr>
                <w:rFonts w:ascii="Arial" w:cs="Arial" w:eastAsia="Arial" w:hAnsi="Arial"/>
                <w:sz w:val="15"/>
                <w:szCs w:val="15"/>
                <w:color w:val="auto"/>
                <w:w w:val="98"/>
              </w:rPr>
              <w:t>100%</w:t>
            </w:r>
          </w:p>
        </w:tc>
      </w:tr>
    </w:tbl>
    <w:p>
      <w:pPr>
        <w:spacing w:after="0" w:line="200" w:lineRule="exact"/>
        <w:rPr>
          <w:sz w:val="20"/>
          <w:szCs w:val="20"/>
          <w:color w:val="auto"/>
        </w:rPr>
      </w:pPr>
    </w:p>
    <w:p>
      <w:pPr>
        <w:spacing w:after="0" w:line="240" w:lineRule="exact"/>
        <w:rPr>
          <w:sz w:val="20"/>
          <w:szCs w:val="20"/>
          <w:color w:val="auto"/>
        </w:rPr>
      </w:pPr>
    </w:p>
    <w:p>
      <w:pPr>
        <w:ind w:left="262" w:hanging="262"/>
        <w:spacing w:after="0"/>
        <w:tabs>
          <w:tab w:leader="none" w:pos="262" w:val="left"/>
        </w:tabs>
        <w:numPr>
          <w:ilvl w:val="0"/>
          <w:numId w:val="30"/>
        </w:numPr>
        <w:rPr>
          <w:rFonts w:ascii="Arial" w:cs="Arial" w:eastAsia="Arial" w:hAnsi="Arial"/>
          <w:sz w:val="15"/>
          <w:szCs w:val="15"/>
          <w:color w:val="auto"/>
        </w:rPr>
      </w:pPr>
      <w:r>
        <w:rPr>
          <w:rFonts w:ascii="Arial" w:cs="Arial" w:eastAsia="Arial" w:hAnsi="Arial"/>
          <w:sz w:val="15"/>
          <w:szCs w:val="15"/>
          <w:b w:val="1"/>
          <w:bCs w:val="1"/>
          <w:color w:val="auto"/>
        </w:rPr>
        <w:t>Termination of Continuous Service</w:t>
      </w:r>
    </w:p>
    <w:p>
      <w:pPr>
        <w:spacing w:after="0" w:line="114" w:lineRule="exact"/>
        <w:rPr>
          <w:rFonts w:ascii="Arial" w:cs="Arial" w:eastAsia="Arial" w:hAnsi="Arial"/>
          <w:sz w:val="15"/>
          <w:szCs w:val="15"/>
          <w:color w:val="auto"/>
        </w:rPr>
      </w:pPr>
    </w:p>
    <w:p>
      <w:pPr>
        <w:ind w:left="802" w:right="180" w:hanging="265"/>
        <w:spacing w:after="0" w:line="253" w:lineRule="auto"/>
        <w:tabs>
          <w:tab w:leader="none" w:pos="792" w:val="left"/>
        </w:tabs>
        <w:numPr>
          <w:ilvl w:val="1"/>
          <w:numId w:val="30"/>
        </w:numPr>
        <w:rPr>
          <w:rFonts w:ascii="Arial" w:cs="Arial" w:eastAsia="Arial" w:hAnsi="Arial"/>
          <w:sz w:val="15"/>
          <w:szCs w:val="15"/>
          <w:color w:val="auto"/>
        </w:rPr>
      </w:pPr>
      <w:r>
        <w:rPr>
          <w:rFonts w:ascii="Arial" w:cs="Arial" w:eastAsia="Arial" w:hAnsi="Arial"/>
          <w:sz w:val="15"/>
          <w:szCs w:val="15"/>
          <w:color w:val="auto"/>
        </w:rPr>
        <w:t>For the purposes of the Plan, if the Participant is a party to an employment or service agreement with the Company and such agreement provides for a definition of the following terms, the following terms shall have the definition contained therein. If no such agreement exists or the it does not defined the below terms:</w:t>
      </w:r>
    </w:p>
    <w:p>
      <w:pPr>
        <w:spacing w:after="0" w:line="372" w:lineRule="exact"/>
        <w:rPr>
          <w:rFonts w:ascii="Arial" w:cs="Arial" w:eastAsia="Arial" w:hAnsi="Arial"/>
          <w:sz w:val="15"/>
          <w:szCs w:val="15"/>
          <w:color w:val="auto"/>
        </w:rPr>
      </w:pPr>
    </w:p>
    <w:p>
      <w:pPr>
        <w:ind w:left="1342" w:hanging="342"/>
        <w:spacing w:after="0" w:line="250" w:lineRule="auto"/>
        <w:tabs>
          <w:tab w:leader="none" w:pos="1342" w:val="left"/>
        </w:tabs>
        <w:numPr>
          <w:ilvl w:val="2"/>
          <w:numId w:val="30"/>
        </w:numPr>
        <w:rPr>
          <w:rFonts w:ascii="Arial" w:cs="Arial" w:eastAsia="Arial" w:hAnsi="Arial"/>
          <w:sz w:val="15"/>
          <w:szCs w:val="15"/>
          <w:color w:val="auto"/>
        </w:rPr>
      </w:pPr>
      <w:r>
        <w:rPr>
          <w:rFonts w:ascii="Arial" w:cs="Arial" w:eastAsia="Arial" w:hAnsi="Arial"/>
          <w:sz w:val="15"/>
          <w:szCs w:val="15"/>
          <w:color w:val="1F4D78"/>
        </w:rPr>
        <w:t>“Cause” shall mean (A) the commission of, or plea of guilty or no contest to, a felony or a crime involving moral turpitude or the commission of any other act involving willful malfeasance or material fiduciary breach with respect to the Company; (B) conduct that results in or is reasonably likely to result in harm to the reputation or business of the Company; (C) gross negligence or willful misconduct with respect to the Company or an Affiliate; or (D) material violation of state or federal securities laws. With respect to any Director, a determination by a majority of the disinterested Board members that the Director has engaged in any of the following: malfeasance in office; gross misconduct or neglect; false or fraudulent misrepresentation inducing the director’s appointment; willful conversion of corporate funds; or repeated failure to participate in Board meetings on a regular basis despite having received proper notice of the meetings in advance. The Committee, in its absolute discretion, shall determine the effect of all matters and questions relating to whether a Participant has been discharged for Cause.</w:t>
      </w:r>
    </w:p>
    <w:p>
      <w:pPr>
        <w:spacing w:after="0" w:line="84" w:lineRule="exact"/>
        <w:rPr>
          <w:rFonts w:ascii="Arial" w:cs="Arial" w:eastAsia="Arial" w:hAnsi="Arial"/>
          <w:sz w:val="15"/>
          <w:szCs w:val="15"/>
          <w:color w:val="auto"/>
        </w:rPr>
      </w:pPr>
    </w:p>
    <w:p>
      <w:pPr>
        <w:ind w:left="1342" w:right="40" w:hanging="375"/>
        <w:spacing w:after="0" w:line="250" w:lineRule="auto"/>
        <w:tabs>
          <w:tab w:leader="none" w:pos="1342" w:val="left"/>
        </w:tabs>
        <w:numPr>
          <w:ilvl w:val="2"/>
          <w:numId w:val="30"/>
        </w:numPr>
        <w:rPr>
          <w:rFonts w:ascii="Arial" w:cs="Arial" w:eastAsia="Arial" w:hAnsi="Arial"/>
          <w:sz w:val="15"/>
          <w:szCs w:val="15"/>
          <w:color w:val="auto"/>
        </w:rPr>
      </w:pPr>
      <w:r>
        <w:rPr>
          <w:rFonts w:ascii="Arial" w:cs="Arial" w:eastAsia="Arial" w:hAnsi="Arial"/>
          <w:sz w:val="15"/>
          <w:szCs w:val="15"/>
          <w:color w:val="1F4D78"/>
        </w:rPr>
        <w:t xml:space="preserve">“Disability” shall mean that the Participant is unable to engage in any substantial gainful activity by reason of any medically determinable physical or mental impairment; </w:t>
      </w:r>
      <w:r>
        <w:rPr>
          <w:rFonts w:ascii="Arial" w:cs="Arial" w:eastAsia="Arial" w:hAnsi="Arial"/>
          <w:sz w:val="15"/>
          <w:szCs w:val="15"/>
          <w:i w:val="1"/>
          <w:iCs w:val="1"/>
          <w:color w:val="1F4D78"/>
        </w:rPr>
        <w:t>provided, however,</w:t>
      </w:r>
      <w:r>
        <w:rPr>
          <w:rFonts w:ascii="Arial" w:cs="Arial" w:eastAsia="Arial" w:hAnsi="Arial"/>
          <w:sz w:val="15"/>
          <w:szCs w:val="15"/>
          <w:color w:val="1F4D78"/>
        </w:rPr>
        <w:t xml:space="preserve"> for purposes of determining the term of an Incentive Stock Option pursuant to 3 hereof, the term Disability shall have the meaning ascribed to it under Section 22(e)(3) of the Code. Except in situations where the Committee is determining Disability for purposes of the term of an Incentive Stock Option pursuant to Section 6 hereof within the meaning of Section 22(e)(3) of the Code, the Committee may rely on any determination that a Participant is disabled for purposes of benefits under any long-term disability plan maintained by the Company in which a Participant participates.</w:t>
      </w:r>
    </w:p>
    <w:p>
      <w:pPr>
        <w:spacing w:after="0" w:line="85" w:lineRule="exact"/>
        <w:rPr>
          <w:rFonts w:ascii="Arial" w:cs="Arial" w:eastAsia="Arial" w:hAnsi="Arial"/>
          <w:sz w:val="15"/>
          <w:szCs w:val="15"/>
          <w:color w:val="auto"/>
        </w:rPr>
      </w:pPr>
    </w:p>
    <w:p>
      <w:pPr>
        <w:ind w:left="802" w:right="60" w:hanging="265"/>
        <w:spacing w:after="0" w:line="252" w:lineRule="auto"/>
        <w:tabs>
          <w:tab w:leader="none" w:pos="792" w:val="left"/>
        </w:tabs>
        <w:numPr>
          <w:ilvl w:val="1"/>
          <w:numId w:val="30"/>
        </w:numPr>
        <w:rPr>
          <w:rFonts w:ascii="Arial" w:cs="Arial" w:eastAsia="Arial" w:hAnsi="Arial"/>
          <w:sz w:val="15"/>
          <w:szCs w:val="15"/>
          <w:color w:val="auto"/>
        </w:rPr>
      </w:pPr>
      <w:r>
        <w:rPr>
          <w:rFonts w:ascii="Arial" w:cs="Arial" w:eastAsia="Arial" w:hAnsi="Arial"/>
          <w:sz w:val="15"/>
          <w:szCs w:val="15"/>
          <w:color w:val="auto"/>
        </w:rPr>
        <w:t>Termination for reasons other than Cause, death, Disability. If the Participant’s service with the Company, whether as an employee, consultant, or director (“Continuous Service”) is terminated for any reason other than Cause, death, or Disability, the Participant may exercise the vested portion of the Option, but only within such period of time ending on the earlier of (i) the date three months following the termination of the Participant’s Continuous Service or (ii) the Expiration Date.</w:t>
      </w:r>
    </w:p>
    <w:p>
      <w:pPr>
        <w:sectPr>
          <w:pgSz w:w="11900" w:h="16838" w:orient="portrait"/>
          <w:cols w:equalWidth="0" w:num="1">
            <w:col w:w="10982"/>
          </w:cols>
          <w:pgMar w:left="578" w:top="1195" w:right="339" w:bottom="1440" w:gutter="0" w:footer="0" w:header="0"/>
        </w:sectPr>
      </w:pPr>
    </w:p>
    <w:bookmarkStart w:id="114" w:name="page115"/>
    <w:bookmarkEnd w:id="114"/>
    <w:p>
      <w:pPr>
        <w:ind w:left="802" w:right="620" w:hanging="265"/>
        <w:spacing w:after="0" w:line="258" w:lineRule="auto"/>
        <w:tabs>
          <w:tab w:leader="none" w:pos="795" w:val="left"/>
        </w:tabs>
        <w:numPr>
          <w:ilvl w:val="1"/>
          <w:numId w:val="31"/>
        </w:numPr>
        <w:rPr>
          <w:rFonts w:ascii="Arial" w:cs="Arial" w:eastAsia="Arial" w:hAnsi="Arial"/>
          <w:sz w:val="15"/>
          <w:szCs w:val="15"/>
          <w:color w:val="auto"/>
        </w:rPr>
      </w:pPr>
      <w:r>
        <w:rPr>
          <w:rFonts w:ascii="Arial" w:cs="Arial" w:eastAsia="Arial" w:hAnsi="Arial"/>
          <w:sz w:val="15"/>
          <w:szCs w:val="15"/>
          <w:color w:val="auto"/>
        </w:rPr>
        <w:t>Termination for Cause. If the Participant’s Continuous Service is terminated for Cause, the Option (whether vested or unvested) shall immediately terminate and cease to be exercisable.</w:t>
      </w:r>
    </w:p>
    <w:p>
      <w:pPr>
        <w:spacing w:after="0" w:line="367" w:lineRule="exact"/>
        <w:rPr>
          <w:rFonts w:ascii="Arial" w:cs="Arial" w:eastAsia="Arial" w:hAnsi="Arial"/>
          <w:sz w:val="15"/>
          <w:szCs w:val="15"/>
          <w:color w:val="auto"/>
        </w:rPr>
      </w:pPr>
    </w:p>
    <w:p>
      <w:pPr>
        <w:ind w:left="802" w:right="340" w:hanging="265"/>
        <w:spacing w:after="0" w:line="253" w:lineRule="auto"/>
        <w:tabs>
          <w:tab w:leader="none" w:pos="792" w:val="left"/>
        </w:tabs>
        <w:numPr>
          <w:ilvl w:val="1"/>
          <w:numId w:val="31"/>
        </w:numPr>
        <w:rPr>
          <w:rFonts w:ascii="Arial" w:cs="Arial" w:eastAsia="Arial" w:hAnsi="Arial"/>
          <w:sz w:val="15"/>
          <w:szCs w:val="15"/>
          <w:color w:val="auto"/>
        </w:rPr>
      </w:pPr>
      <w:r>
        <w:rPr>
          <w:rFonts w:ascii="Arial" w:cs="Arial" w:eastAsia="Arial" w:hAnsi="Arial"/>
          <w:sz w:val="15"/>
          <w:szCs w:val="15"/>
          <w:color w:val="auto"/>
        </w:rPr>
        <w:t>Termination due to death or Disability. If the Participant’s Continuous Service terminates as a result of the Participant’s Disability, the Participant may exercise the vested portion of the Option, but only within such period of time ending on the earlier of: (i) the date 12 months following the Participant’s termination of Continuous Service or (ii) the Expiration Date.</w:t>
      </w:r>
    </w:p>
    <w:p>
      <w:pPr>
        <w:spacing w:after="0" w:line="354" w:lineRule="exact"/>
        <w:rPr>
          <w:rFonts w:ascii="Arial" w:cs="Arial" w:eastAsia="Arial" w:hAnsi="Arial"/>
          <w:sz w:val="15"/>
          <w:szCs w:val="15"/>
          <w:color w:val="auto"/>
        </w:rPr>
      </w:pPr>
    </w:p>
    <w:p>
      <w:pPr>
        <w:ind w:left="262" w:right="120" w:hanging="262"/>
        <w:spacing w:after="0" w:line="283" w:lineRule="auto"/>
        <w:tabs>
          <w:tab w:leader="none" w:pos="252"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Delivery of Certificate</w:t>
      </w:r>
      <w:r>
        <w:rPr>
          <w:rFonts w:ascii="Arial" w:cs="Arial" w:eastAsia="Arial" w:hAnsi="Arial"/>
          <w:sz w:val="15"/>
          <w:szCs w:val="15"/>
          <w:color w:val="auto"/>
        </w:rPr>
        <w:t>. As soon as practicable following the exercise of the Stock Options by the Participant, the Company shall deliver or cause to be delivered</w:t>
      </w:r>
      <w:r>
        <w:rPr>
          <w:rFonts w:ascii="Arial" w:cs="Arial" w:eastAsia="Arial" w:hAnsi="Arial"/>
          <w:sz w:val="15"/>
          <w:szCs w:val="15"/>
          <w:b w:val="1"/>
          <w:bCs w:val="1"/>
          <w:color w:val="auto"/>
        </w:rPr>
        <w:t xml:space="preserve"> </w:t>
      </w:r>
      <w:r>
        <w:rPr>
          <w:rFonts w:ascii="Arial" w:cs="Arial" w:eastAsia="Arial" w:hAnsi="Arial"/>
          <w:sz w:val="15"/>
          <w:szCs w:val="15"/>
          <w:color w:val="auto"/>
        </w:rPr>
        <w:t>to the Participant a certificate representing the Shares acquired pursuant to any such exercise.</w:t>
      </w:r>
    </w:p>
    <w:p>
      <w:pPr>
        <w:spacing w:after="0" w:line="40" w:lineRule="exact"/>
        <w:rPr>
          <w:rFonts w:ascii="Arial" w:cs="Arial" w:eastAsia="Arial" w:hAnsi="Arial"/>
          <w:sz w:val="15"/>
          <w:szCs w:val="15"/>
          <w:color w:val="auto"/>
        </w:rPr>
      </w:pPr>
    </w:p>
    <w:p>
      <w:pPr>
        <w:ind w:left="262" w:right="400" w:hanging="262"/>
        <w:spacing w:after="0" w:line="283" w:lineRule="auto"/>
        <w:tabs>
          <w:tab w:leader="none" w:pos="252"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Investment</w:t>
      </w:r>
      <w:r>
        <w:rPr>
          <w:rFonts w:ascii="Arial" w:cs="Arial" w:eastAsia="Arial" w:hAnsi="Arial"/>
          <w:sz w:val="15"/>
          <w:szCs w:val="15"/>
          <w:color w:val="auto"/>
        </w:rPr>
        <w:t>. The Participant hereby represents and warrants to the Company that any and all Shares which shall be acquired pursuant to the exercise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Stock Options shall be acquired for the Participant’s own account, for investment, and not with a view toward resale.</w:t>
      </w:r>
    </w:p>
    <w:p>
      <w:pPr>
        <w:spacing w:after="0" w:line="40" w:lineRule="exact"/>
        <w:rPr>
          <w:rFonts w:ascii="Arial" w:cs="Arial" w:eastAsia="Arial" w:hAnsi="Arial"/>
          <w:sz w:val="15"/>
          <w:szCs w:val="15"/>
          <w:color w:val="auto"/>
        </w:rPr>
      </w:pPr>
    </w:p>
    <w:p>
      <w:pPr>
        <w:ind w:left="262" w:right="20" w:hanging="262"/>
        <w:spacing w:after="0" w:line="255" w:lineRule="auto"/>
        <w:tabs>
          <w:tab w:leader="none" w:pos="252"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Withholding of Taxes</w:t>
      </w:r>
      <w:r>
        <w:rPr>
          <w:rFonts w:ascii="Arial" w:cs="Arial" w:eastAsia="Arial" w:hAnsi="Arial"/>
          <w:sz w:val="15"/>
          <w:szCs w:val="15"/>
          <w:color w:val="auto"/>
        </w:rPr>
        <w:t>. The Company shall withhold from any amounts due and payable by the Company to the Participant (or secure payment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in lieu of withholding) the amount of any federal or state withholding or other taxes, if any, due from the Company with respect to the exercise of the Option, and the Company may defer such issuance until such withholding or payment is made unless otherwise indemnified to its satisfaction with respect thereto. The Company shall have the right to: (i) make deductions from any settlement of this Option, including the delivery of Shares, or require Shares or cash, or both, be withheld from any settlement of this Option, in each case in an amount sufficient to satisfy the withholding obligation; or (ii) take such other action as may be necessary or appropriate to satisfy the withholding obligation.</w:t>
      </w:r>
    </w:p>
    <w:p>
      <w:pPr>
        <w:spacing w:after="0" w:line="64" w:lineRule="exact"/>
        <w:rPr>
          <w:rFonts w:ascii="Arial" w:cs="Arial" w:eastAsia="Arial" w:hAnsi="Arial"/>
          <w:sz w:val="15"/>
          <w:szCs w:val="15"/>
          <w:color w:val="auto"/>
        </w:rPr>
      </w:pPr>
    </w:p>
    <w:p>
      <w:pPr>
        <w:ind w:left="262" w:right="160" w:hanging="262"/>
        <w:spacing w:after="0" w:line="266" w:lineRule="auto"/>
        <w:tabs>
          <w:tab w:leader="none" w:pos="257"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Adjustments</w:t>
      </w:r>
      <w:r>
        <w:rPr>
          <w:rFonts w:ascii="Arial" w:cs="Arial" w:eastAsia="Arial" w:hAnsi="Arial"/>
          <w:sz w:val="15"/>
          <w:szCs w:val="15"/>
          <w:color w:val="auto"/>
        </w:rPr>
        <w:t>. If at any time while the Option is outstanding, the number of outstanding Shares is changed by reason of a reorganization, recapitalization, stock</w:t>
      </w:r>
      <w:r>
        <w:rPr>
          <w:rFonts w:ascii="Arial" w:cs="Arial" w:eastAsia="Arial" w:hAnsi="Arial"/>
          <w:sz w:val="15"/>
          <w:szCs w:val="15"/>
          <w:b w:val="1"/>
          <w:bCs w:val="1"/>
          <w:color w:val="auto"/>
        </w:rPr>
        <w:t xml:space="preserve"> </w:t>
      </w:r>
      <w:r>
        <w:rPr>
          <w:rFonts w:ascii="Arial" w:cs="Arial" w:eastAsia="Arial" w:hAnsi="Arial"/>
          <w:sz w:val="15"/>
          <w:szCs w:val="15"/>
          <w:color w:val="auto"/>
        </w:rPr>
        <w:t>split or any other event described in Section 4.4 of the Plan, the number and/or kind of Shares subject to the Option and/or the Option Price of such Shares shall be adjusted in accordance with the provisions of the Plan.</w:t>
      </w:r>
    </w:p>
    <w:p>
      <w:pPr>
        <w:spacing w:after="0" w:line="53" w:lineRule="exact"/>
        <w:rPr>
          <w:rFonts w:ascii="Arial" w:cs="Arial" w:eastAsia="Arial" w:hAnsi="Arial"/>
          <w:sz w:val="15"/>
          <w:szCs w:val="15"/>
          <w:color w:val="auto"/>
        </w:rPr>
      </w:pPr>
    </w:p>
    <w:p>
      <w:pPr>
        <w:ind w:left="262" w:right="60" w:hanging="262"/>
        <w:spacing w:after="0" w:line="257" w:lineRule="auto"/>
        <w:tabs>
          <w:tab w:leader="none" w:pos="257"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Non-assignability</w:t>
      </w:r>
      <w:r>
        <w:rPr>
          <w:rFonts w:ascii="Arial" w:cs="Arial" w:eastAsia="Arial" w:hAnsi="Arial"/>
          <w:sz w:val="15"/>
          <w:szCs w:val="15"/>
          <w:color w:val="auto"/>
        </w:rPr>
        <w:t>. The Stock Options granted may not be transferred, pledged, assigned, hypothecated or otherwise disposed of in any way by the Participant</w:t>
      </w:r>
      <w:r>
        <w:rPr>
          <w:rFonts w:ascii="Arial" w:cs="Arial" w:eastAsia="Arial" w:hAnsi="Arial"/>
          <w:sz w:val="15"/>
          <w:szCs w:val="15"/>
          <w:b w:val="1"/>
          <w:bCs w:val="1"/>
          <w:color w:val="auto"/>
        </w:rPr>
        <w:t xml:space="preserve"> </w:t>
      </w:r>
      <w:r>
        <w:rPr>
          <w:rFonts w:ascii="Arial" w:cs="Arial" w:eastAsia="Arial" w:hAnsi="Arial"/>
          <w:sz w:val="15"/>
          <w:szCs w:val="15"/>
          <w:color w:val="auto"/>
        </w:rPr>
        <w:t>except by will or the laws of descent or distribution and are exercisable during the Participant’s lifetime only by the Participant. Any attempt to effect a transfer of this Option that is not otherwise permitted by the Board of Directors, the Plan, or this Agreement shall be null and void. During the period commencing on the date the Stock Options are exercised and terminating two (2) years thereafter, the Participant may not sell, assign, transfer, pledge or otherwise encumber the Shares purchased in settlement of the Stock Option.</w:t>
      </w:r>
    </w:p>
    <w:p>
      <w:pPr>
        <w:spacing w:after="0" w:line="61" w:lineRule="exact"/>
        <w:rPr>
          <w:rFonts w:ascii="Arial" w:cs="Arial" w:eastAsia="Arial" w:hAnsi="Arial"/>
          <w:sz w:val="15"/>
          <w:szCs w:val="15"/>
          <w:color w:val="auto"/>
        </w:rPr>
      </w:pPr>
    </w:p>
    <w:p>
      <w:pPr>
        <w:ind w:left="262" w:hanging="262"/>
        <w:spacing w:after="0"/>
        <w:tabs>
          <w:tab w:leader="none" w:pos="262"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No Rights as a Shareholder or to Continued Employment</w:t>
      </w:r>
      <w:r>
        <w:rPr>
          <w:rFonts w:ascii="Arial" w:cs="Arial" w:eastAsia="Arial" w:hAnsi="Arial"/>
          <w:sz w:val="15"/>
          <w:szCs w:val="15"/>
          <w:color w:val="auto"/>
        </w:rPr>
        <w:t>.</w:t>
      </w:r>
    </w:p>
    <w:p>
      <w:pPr>
        <w:spacing w:after="0" w:line="114" w:lineRule="exact"/>
        <w:rPr>
          <w:rFonts w:ascii="Arial" w:cs="Arial" w:eastAsia="Arial" w:hAnsi="Arial"/>
          <w:sz w:val="15"/>
          <w:szCs w:val="15"/>
          <w:color w:val="auto"/>
        </w:rPr>
      </w:pPr>
    </w:p>
    <w:p>
      <w:pPr>
        <w:ind w:left="802" w:right="120" w:hanging="265"/>
        <w:spacing w:after="0" w:line="253" w:lineRule="auto"/>
        <w:tabs>
          <w:tab w:leader="none" w:pos="792" w:val="left"/>
        </w:tabs>
        <w:numPr>
          <w:ilvl w:val="1"/>
          <w:numId w:val="32"/>
        </w:numPr>
        <w:rPr>
          <w:rFonts w:ascii="Arial" w:cs="Arial" w:eastAsia="Arial" w:hAnsi="Arial"/>
          <w:sz w:val="15"/>
          <w:szCs w:val="15"/>
          <w:color w:val="auto"/>
        </w:rPr>
      </w:pPr>
      <w:r>
        <w:rPr>
          <w:rFonts w:ascii="Arial" w:cs="Arial" w:eastAsia="Arial" w:hAnsi="Arial"/>
          <w:sz w:val="15"/>
          <w:szCs w:val="15"/>
          <w:u w:val="single" w:color="auto"/>
          <w:color w:val="auto"/>
        </w:rPr>
        <w:t>No Rights as a Shareholder</w:t>
      </w:r>
      <w:r>
        <w:rPr>
          <w:rFonts w:ascii="Arial" w:cs="Arial" w:eastAsia="Arial" w:hAnsi="Arial"/>
          <w:sz w:val="15"/>
          <w:szCs w:val="15"/>
          <w:color w:val="auto"/>
        </w:rPr>
        <w:t>. The Participant shall not have any privileges of a shareholder of the Company with respect to any Shares subject to (but not acquired upon valid exercise of) the Option, nor shall the Company have any obligation to pay any dividends or otherwise afford any rights to which Shares are entitled with respect to such Shares, until the date of the issuance to the Participant of a stock certificate evidencing such Shares.</w:t>
      </w:r>
    </w:p>
    <w:p>
      <w:pPr>
        <w:spacing w:after="0" w:line="372" w:lineRule="exact"/>
        <w:rPr>
          <w:sz w:val="20"/>
          <w:szCs w:val="20"/>
          <w:color w:val="auto"/>
        </w:rPr>
      </w:pPr>
    </w:p>
    <w:p>
      <w:pPr>
        <w:ind w:left="802" w:hanging="265"/>
        <w:spacing w:after="0" w:line="258" w:lineRule="auto"/>
        <w:tabs>
          <w:tab w:leader="none" w:pos="792"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No Right to Continued Employment</w:t>
      </w:r>
      <w:r>
        <w:rPr>
          <w:rFonts w:ascii="Arial" w:cs="Arial" w:eastAsia="Arial" w:hAnsi="Arial"/>
          <w:sz w:val="15"/>
          <w:szCs w:val="15"/>
          <w:color w:val="auto"/>
        </w:rPr>
        <w:t>. Nothing in this Agreement shall confer upon a Participant who is an employee of the Company any right to continue in the employ of the</w:t>
      </w:r>
    </w:p>
    <w:p>
      <w:pPr>
        <w:sectPr>
          <w:pgSz w:w="11900" w:h="16838" w:orient="portrait"/>
          <w:cols w:equalWidth="0" w:num="1">
            <w:col w:w="10982"/>
          </w:cols>
          <w:pgMar w:left="578" w:top="1213" w:right="339" w:bottom="1440" w:gutter="0" w:footer="0" w:header="0"/>
        </w:sectPr>
      </w:pPr>
    </w:p>
    <w:bookmarkStart w:id="115" w:name="page116"/>
    <w:bookmarkEnd w:id="115"/>
    <w:p>
      <w:pPr>
        <w:ind w:left="900"/>
        <w:spacing w:after="0"/>
        <w:rPr>
          <w:sz w:val="20"/>
          <w:szCs w:val="20"/>
          <w:color w:val="auto"/>
        </w:rPr>
      </w:pPr>
      <w:r>
        <w:rPr>
          <w:rFonts w:ascii="Arial" w:cs="Arial" w:eastAsia="Arial" w:hAnsi="Arial"/>
          <w:sz w:val="15"/>
          <w:szCs w:val="15"/>
          <w:color w:val="auto"/>
        </w:rPr>
        <w:t>Company or to interfere in any way with the right of the Company to terminate the Participant’s employment at any time.</w:t>
      </w:r>
    </w:p>
    <w:p>
      <w:pPr>
        <w:spacing w:after="0" w:line="369" w:lineRule="exact"/>
        <w:rPr>
          <w:sz w:val="20"/>
          <w:szCs w:val="20"/>
          <w:color w:val="auto"/>
        </w:rPr>
      </w:pPr>
    </w:p>
    <w:p>
      <w:pPr>
        <w:ind w:left="360" w:right="200" w:hanging="262"/>
        <w:spacing w:after="0" w:line="266" w:lineRule="auto"/>
        <w:tabs>
          <w:tab w:leader="none" w:pos="355"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 xml:space="preserve">Disqualifying Disposition. </w:t>
      </w:r>
      <w:r>
        <w:rPr>
          <w:rFonts w:ascii="Arial" w:cs="Arial" w:eastAsia="Arial" w:hAnsi="Arial"/>
          <w:sz w:val="15"/>
          <w:szCs w:val="15"/>
          <w:color w:val="auto"/>
        </w:rPr>
        <w:t>If Shares acquired by exercise of the Option are disposed of within two years following the Grant Date or one year following the</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53" w:lineRule="exact"/>
        <w:rPr>
          <w:rFonts w:ascii="Arial" w:cs="Arial" w:eastAsia="Arial" w:hAnsi="Arial"/>
          <w:sz w:val="15"/>
          <w:szCs w:val="15"/>
          <w:color w:val="auto"/>
        </w:rPr>
      </w:pPr>
    </w:p>
    <w:p>
      <w:pPr>
        <w:jc w:val="both"/>
        <w:ind w:left="360" w:right="80" w:hanging="262"/>
        <w:spacing w:after="0" w:line="293" w:lineRule="auto"/>
        <w:tabs>
          <w:tab w:leader="none" w:pos="355" w:val="left"/>
        </w:tabs>
        <w:numPr>
          <w:ilvl w:val="0"/>
          <w:numId w:val="34"/>
        </w:numPr>
        <w:rPr>
          <w:rFonts w:ascii="Arial" w:cs="Arial" w:eastAsia="Arial" w:hAnsi="Arial"/>
          <w:sz w:val="14"/>
          <w:szCs w:val="14"/>
          <w:color w:val="auto"/>
        </w:rPr>
      </w:pPr>
      <w:r>
        <w:rPr>
          <w:rFonts w:ascii="Arial" w:cs="Arial" w:eastAsia="Arial" w:hAnsi="Arial"/>
          <w:sz w:val="14"/>
          <w:szCs w:val="14"/>
          <w:b w:val="1"/>
          <w:bCs w:val="1"/>
          <w:color w:val="auto"/>
        </w:rPr>
        <w:t>Notices</w:t>
      </w:r>
      <w:r>
        <w:rPr>
          <w:rFonts w:ascii="Arial" w:cs="Arial" w:eastAsia="Arial" w:hAnsi="Arial"/>
          <w:sz w:val="14"/>
          <w:szCs w:val="14"/>
          <w:color w:val="auto"/>
        </w:rPr>
        <w:t>. All notices, requests and demands to or upon a party hereto shall be in writing and shall be deemed to have been duly given when delivered by hand or</w:t>
      </w:r>
      <w:r>
        <w:rPr>
          <w:rFonts w:ascii="Arial" w:cs="Arial" w:eastAsia="Arial" w:hAnsi="Arial"/>
          <w:sz w:val="14"/>
          <w:szCs w:val="14"/>
          <w:b w:val="1"/>
          <w:bCs w:val="1"/>
          <w:color w:val="auto"/>
        </w:rPr>
        <w:t xml:space="preserve"> </w:t>
      </w:r>
      <w:r>
        <w:rPr>
          <w:rFonts w:ascii="Arial" w:cs="Arial" w:eastAsia="Arial" w:hAnsi="Arial"/>
          <w:sz w:val="14"/>
          <w:szCs w:val="14"/>
          <w:color w:val="auto"/>
        </w:rPr>
        <w:t>three days after being deposited in the mail, postage prepaid or, in the case of facsimile notice, when received, addressed as follows or to such other address as either party may have furnished to the other in writing in accordance herewith, except that notices of change of address shall be effective only upon receipt.</w:t>
      </w:r>
    </w:p>
    <w:p>
      <w:pPr>
        <w:spacing w:after="0" w:line="55"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5"/>
          <w:szCs w:val="15"/>
          <w:color w:val="auto"/>
        </w:rPr>
        <w:t>If to the Company, to the following address: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Attn: Secretary</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Capital Bancorp, Inc.</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One Church Street</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Rockville, Maryland 20850</w:t>
      </w:r>
    </w:p>
    <w:p>
      <w:pPr>
        <w:spacing w:after="0" w:line="38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If to the Participant, to the address or facsimile number as shown on the signature page hereto.</w:t>
      </w:r>
    </w:p>
    <w:p>
      <w:pPr>
        <w:spacing w:after="0" w:line="78" w:lineRule="exact"/>
        <w:rPr>
          <w:sz w:val="20"/>
          <w:szCs w:val="20"/>
          <w:color w:val="auto"/>
        </w:rPr>
      </w:pPr>
    </w:p>
    <w:p>
      <w:pPr>
        <w:ind w:left="360" w:right="320" w:hanging="262"/>
        <w:spacing w:after="0" w:line="283" w:lineRule="auto"/>
        <w:tabs>
          <w:tab w:leader="none" w:pos="355"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Governing Law</w:t>
      </w:r>
      <w:r>
        <w:rPr>
          <w:rFonts w:ascii="Arial" w:cs="Arial" w:eastAsia="Arial" w:hAnsi="Arial"/>
          <w:sz w:val="15"/>
          <w:szCs w:val="15"/>
          <w:color w:val="auto"/>
        </w:rPr>
        <w:t>. This Agreement shall be construed and interpreted in accordance with and governed by the laws of the State of Maryland (without regard to</w:t>
      </w:r>
      <w:r>
        <w:rPr>
          <w:rFonts w:ascii="Arial" w:cs="Arial" w:eastAsia="Arial" w:hAnsi="Arial"/>
          <w:sz w:val="15"/>
          <w:szCs w:val="15"/>
          <w:b w:val="1"/>
          <w:bCs w:val="1"/>
          <w:color w:val="auto"/>
        </w:rPr>
        <w:t xml:space="preserve"> </w:t>
      </w:r>
      <w:r>
        <w:rPr>
          <w:rFonts w:ascii="Arial" w:cs="Arial" w:eastAsia="Arial" w:hAnsi="Arial"/>
          <w:sz w:val="15"/>
          <w:szCs w:val="15"/>
          <w:color w:val="auto"/>
        </w:rPr>
        <w:t>choice of law provisions).</w:t>
      </w:r>
    </w:p>
    <w:p>
      <w:pPr>
        <w:spacing w:after="0" w:line="40" w:lineRule="exact"/>
        <w:rPr>
          <w:rFonts w:ascii="Arial" w:cs="Arial" w:eastAsia="Arial" w:hAnsi="Arial"/>
          <w:sz w:val="15"/>
          <w:szCs w:val="15"/>
          <w:color w:val="auto"/>
        </w:rPr>
      </w:pPr>
    </w:p>
    <w:p>
      <w:pPr>
        <w:ind w:left="360" w:right="540" w:hanging="262"/>
        <w:spacing w:after="0" w:line="320" w:lineRule="auto"/>
        <w:tabs>
          <w:tab w:leader="none" w:pos="355"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and the Plan constitute the entire agreement among the parties hereto with respect to the subject matter hereof and</w:t>
      </w:r>
      <w:r>
        <w:rPr>
          <w:rFonts w:ascii="Arial" w:cs="Arial" w:eastAsia="Arial" w:hAnsi="Arial"/>
          <w:sz w:val="14"/>
          <w:szCs w:val="14"/>
          <w:b w:val="1"/>
          <w:bCs w:val="1"/>
          <w:color w:val="auto"/>
        </w:rPr>
        <w:t xml:space="preserve"> </w:t>
      </w:r>
      <w:r>
        <w:rPr>
          <w:rFonts w:ascii="Arial" w:cs="Arial" w:eastAsia="Arial" w:hAnsi="Arial"/>
          <w:sz w:val="14"/>
          <w:szCs w:val="14"/>
          <w:color w:val="auto"/>
        </w:rPr>
        <w:t>supersedes all prior agreements, understandings and arrangements, both oral and written, between the parties hereto with respect to such subject matter.</w:t>
      </w:r>
    </w:p>
    <w:p>
      <w:pPr>
        <w:spacing w:after="0" w:line="18" w:lineRule="exact"/>
        <w:rPr>
          <w:rFonts w:ascii="Arial" w:cs="Arial" w:eastAsia="Arial" w:hAnsi="Arial"/>
          <w:sz w:val="14"/>
          <w:szCs w:val="14"/>
          <w:color w:val="auto"/>
        </w:rPr>
      </w:pPr>
    </w:p>
    <w:p>
      <w:pPr>
        <w:ind w:left="360" w:right="140" w:hanging="262"/>
        <w:spacing w:after="0" w:line="283" w:lineRule="auto"/>
        <w:tabs>
          <w:tab w:leader="none" w:pos="355"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Amendment</w:t>
      </w:r>
      <w:r>
        <w:rPr>
          <w:rFonts w:ascii="Arial" w:cs="Arial" w:eastAsia="Arial" w:hAnsi="Arial"/>
          <w:sz w:val="15"/>
          <w:szCs w:val="15"/>
          <w:color w:val="auto"/>
        </w:rPr>
        <w:t>. In accordance with Article III of the Plan, this Agreement may not be amended or modified in any way that adversely affects the Participant unless</w:t>
      </w:r>
      <w:r>
        <w:rPr>
          <w:rFonts w:ascii="Arial" w:cs="Arial" w:eastAsia="Arial" w:hAnsi="Arial"/>
          <w:sz w:val="15"/>
          <w:szCs w:val="15"/>
          <w:b w:val="1"/>
          <w:bCs w:val="1"/>
          <w:color w:val="auto"/>
        </w:rPr>
        <w:t xml:space="preserve"> </w:t>
      </w:r>
      <w:r>
        <w:rPr>
          <w:rFonts w:ascii="Arial" w:cs="Arial" w:eastAsia="Arial" w:hAnsi="Arial"/>
          <w:sz w:val="15"/>
          <w:szCs w:val="15"/>
          <w:color w:val="auto"/>
        </w:rPr>
        <w:t>by a written instrument that specifically states that it is amending this Agreement, executed by each of the parties hereto.</w:t>
      </w:r>
    </w:p>
    <w:p>
      <w:pPr>
        <w:spacing w:after="0" w:line="40" w:lineRule="exact"/>
        <w:rPr>
          <w:rFonts w:ascii="Arial" w:cs="Arial" w:eastAsia="Arial" w:hAnsi="Arial"/>
          <w:sz w:val="15"/>
          <w:szCs w:val="15"/>
          <w:color w:val="auto"/>
        </w:rPr>
      </w:pPr>
    </w:p>
    <w:p>
      <w:pPr>
        <w:ind w:left="360" w:right="140" w:hanging="262"/>
        <w:spacing w:after="0" w:line="283" w:lineRule="auto"/>
        <w:tabs>
          <w:tab w:leader="none" w:pos="355"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Benefits; Binding Effect</w:t>
      </w:r>
      <w:r>
        <w:rPr>
          <w:rFonts w:ascii="Arial" w:cs="Arial" w:eastAsia="Arial" w:hAnsi="Arial"/>
          <w:sz w:val="15"/>
          <w:szCs w:val="15"/>
          <w:color w:val="auto"/>
        </w:rPr>
        <w:t>. This Agreement shall ensure to the benefit of and shall be binding upon the parties hereto and their respective heirs, representatives,</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and assigns.</w:t>
      </w:r>
    </w:p>
    <w:p>
      <w:pPr>
        <w:spacing w:after="0" w:line="40" w:lineRule="exact"/>
        <w:rPr>
          <w:rFonts w:ascii="Arial" w:cs="Arial" w:eastAsia="Arial" w:hAnsi="Arial"/>
          <w:sz w:val="15"/>
          <w:szCs w:val="15"/>
          <w:color w:val="auto"/>
        </w:rPr>
      </w:pPr>
    </w:p>
    <w:p>
      <w:pPr>
        <w:ind w:left="360" w:right="840" w:hanging="262"/>
        <w:spacing w:after="0" w:line="283" w:lineRule="auto"/>
        <w:tabs>
          <w:tab w:leader="none" w:pos="355"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Section Headings</w:t>
      </w:r>
      <w:r>
        <w:rPr>
          <w:rFonts w:ascii="Arial" w:cs="Arial" w:eastAsia="Arial" w:hAnsi="Arial"/>
          <w:sz w:val="15"/>
          <w:szCs w:val="15"/>
          <w:color w:val="auto"/>
        </w:rPr>
        <w:t>. The section headings contained in this Agreement are for reference purposes only and shall not in any way affect the meaning or</w:t>
      </w:r>
      <w:r>
        <w:rPr>
          <w:rFonts w:ascii="Arial" w:cs="Arial" w:eastAsia="Arial" w:hAnsi="Arial"/>
          <w:sz w:val="15"/>
          <w:szCs w:val="15"/>
          <w:b w:val="1"/>
          <w:bCs w:val="1"/>
          <w:color w:val="auto"/>
        </w:rPr>
        <w:t xml:space="preserve"> </w:t>
      </w:r>
      <w:r>
        <w:rPr>
          <w:rFonts w:ascii="Arial" w:cs="Arial" w:eastAsia="Arial" w:hAnsi="Arial"/>
          <w:sz w:val="15"/>
          <w:szCs w:val="15"/>
          <w:color w:val="auto"/>
        </w:rPr>
        <w:t>interpretation hereof.</w:t>
      </w:r>
    </w:p>
    <w:p>
      <w:pPr>
        <w:spacing w:after="0" w:line="40" w:lineRule="exact"/>
        <w:rPr>
          <w:rFonts w:ascii="Arial" w:cs="Arial" w:eastAsia="Arial" w:hAnsi="Arial"/>
          <w:sz w:val="15"/>
          <w:szCs w:val="15"/>
          <w:color w:val="auto"/>
        </w:rPr>
      </w:pPr>
    </w:p>
    <w:p>
      <w:pPr>
        <w:ind w:left="360" w:right="520" w:hanging="262"/>
        <w:spacing w:after="0" w:line="283" w:lineRule="auto"/>
        <w:tabs>
          <w:tab w:leader="none" w:pos="355"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Counterparts</w:t>
      </w:r>
      <w:r>
        <w:rPr>
          <w:rFonts w:ascii="Arial" w:cs="Arial" w:eastAsia="Arial" w:hAnsi="Arial"/>
          <w:sz w:val="15"/>
          <w:szCs w:val="15"/>
          <w:color w:val="auto"/>
        </w:rPr>
        <w:t>. This Agreement may be executed in any number of counterparts and by the parties hereto in separate counterparts, each of which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deemed to be an original and all of which shall be deemed to be one and the same instrument.</w:t>
      </w:r>
    </w:p>
    <w:p>
      <w:pPr>
        <w:spacing w:after="0" w:line="40" w:lineRule="exact"/>
        <w:rPr>
          <w:rFonts w:ascii="Arial" w:cs="Arial" w:eastAsia="Arial" w:hAnsi="Arial"/>
          <w:sz w:val="15"/>
          <w:szCs w:val="15"/>
          <w:color w:val="auto"/>
        </w:rPr>
      </w:pPr>
    </w:p>
    <w:p>
      <w:pPr>
        <w:ind w:left="360" w:hanging="262"/>
        <w:spacing w:after="0" w:line="266" w:lineRule="auto"/>
        <w:tabs>
          <w:tab w:leader="none" w:pos="355"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Clawback</w:t>
      </w:r>
      <w:r>
        <w:rPr>
          <w:rFonts w:ascii="Arial" w:cs="Arial" w:eastAsia="Arial" w:hAnsi="Arial"/>
          <w:sz w:val="15"/>
          <w:szCs w:val="15"/>
          <w:color w:val="auto"/>
        </w:rPr>
        <w:t>. By accepting this Option, the Participant agrees to be bound by the clawback provisions as set forth in Section 15.3 of the Plan, as in effect or as may</w:t>
      </w:r>
      <w:r>
        <w:rPr>
          <w:rFonts w:ascii="Arial" w:cs="Arial" w:eastAsia="Arial" w:hAnsi="Arial"/>
          <w:sz w:val="15"/>
          <w:szCs w:val="15"/>
          <w:b w:val="1"/>
          <w:bCs w:val="1"/>
          <w:color w:val="auto"/>
        </w:rPr>
        <w:t xml:space="preserve"> </w:t>
      </w:r>
      <w:r>
        <w:rPr>
          <w:rFonts w:ascii="Arial" w:cs="Arial" w:eastAsia="Arial" w:hAnsi="Arial"/>
          <w:sz w:val="15"/>
          <w:szCs w:val="15"/>
          <w:color w:val="auto"/>
        </w:rPr>
        <w:t>be adopted and/or modified from time to time by the Company in its discretion (including, without limitation, to comply with applicable law or stock exchange listing requirements).</w:t>
      </w: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5"/>
          <w:szCs w:val="15"/>
          <w:i w:val="1"/>
          <w:iCs w:val="1"/>
          <w:color w:val="auto"/>
        </w:rPr>
        <w:t>Signature page follows.</w:t>
      </w:r>
    </w:p>
    <w:p>
      <w:pPr>
        <w:sectPr>
          <w:pgSz w:w="11900" w:h="16838" w:orient="portrait"/>
          <w:cols w:equalWidth="0" w:num="1">
            <w:col w:w="11040"/>
          </w:cols>
          <w:pgMar w:left="480" w:top="1213" w:right="379" w:bottom="1440" w:gutter="0" w:footer="0" w:header="0"/>
        </w:sectPr>
      </w:pPr>
    </w:p>
    <w:bookmarkStart w:id="116" w:name="page117"/>
    <w:bookmarkEnd w:id="116"/>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IN WITNESS HEREOF, the parties have executed and delivered this Agreement as of the date first above written.</w:t>
      </w:r>
    </w:p>
    <w:p>
      <w:pPr>
        <w:spacing w:after="0" w:line="108"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Capital Bancorp, Inc.</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By:</w:t>
      </w:r>
    </w:p>
    <w:p>
      <w:pPr>
        <w:spacing w:after="0" w:line="96"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Edward Barry, CEO</w:t>
      </w:r>
    </w:p>
    <w:p>
      <w:pPr>
        <w:spacing w:after="0" w:line="96"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Attested by:</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PARTICIPANT</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By:</w:t>
      </w:r>
    </w:p>
    <w:p>
      <w:pPr>
        <w:spacing w:after="0" w:line="96"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[INSERT PARTICIPANT NAME]</w:t>
      </w:r>
    </w:p>
    <w:p>
      <w:pPr>
        <w:spacing w:after="0" w:line="96"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Address:</w:t>
      </w:r>
    </w:p>
    <w:p>
      <w:pPr>
        <w:spacing w:after="0" w:line="96"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___________________________________</w:t>
      </w:r>
    </w:p>
    <w:p>
      <w:pPr>
        <w:spacing w:after="0" w:line="96"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___________________________________</w:t>
      </w:r>
    </w:p>
    <w:p>
      <w:pPr>
        <w:spacing w:after="0" w:line="96"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Phone Number:</w:t>
      </w:r>
    </w:p>
    <w:p>
      <w:pPr>
        <w:spacing w:after="0" w:line="96"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Facsimile:</w:t>
      </w:r>
    </w:p>
    <w:p>
      <w:pPr>
        <w:sectPr>
          <w:pgSz w:w="11900" w:h="16838" w:orient="portrait"/>
          <w:cols w:equalWidth="0" w:num="1">
            <w:col w:w="10159"/>
          </w:cols>
          <w:pgMar w:left="300" w:top="1440" w:right="1440"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5"/>
          <w:szCs w:val="15"/>
          <w:b w:val="1"/>
          <w:bCs w:val="1"/>
          <w:color w:val="auto"/>
        </w:rPr>
        <w:t>FORM OF</w:t>
      </w:r>
    </w:p>
    <w:p>
      <w:pPr>
        <w:jc w:val="center"/>
        <w:ind w:right="-19"/>
        <w:spacing w:after="0" w:line="221" w:lineRule="auto"/>
        <w:rPr>
          <w:sz w:val="20"/>
          <w:szCs w:val="20"/>
          <w:color w:val="auto"/>
        </w:rPr>
      </w:pPr>
      <w:r>
        <w:rPr>
          <w:rFonts w:ascii="Arial" w:cs="Arial" w:eastAsia="Arial" w:hAnsi="Arial"/>
          <w:sz w:val="15"/>
          <w:szCs w:val="15"/>
          <w:b w:val="1"/>
          <w:bCs w:val="1"/>
          <w:color w:val="auto"/>
        </w:rPr>
        <w:t>CAPITAL BANCORP, INC.</w:t>
      </w:r>
    </w:p>
    <w:p>
      <w:pPr>
        <w:jc w:val="center"/>
        <w:spacing w:after="0"/>
        <w:rPr>
          <w:sz w:val="20"/>
          <w:szCs w:val="20"/>
          <w:color w:val="auto"/>
        </w:rPr>
      </w:pPr>
      <w:r>
        <w:rPr>
          <w:rFonts w:ascii="Arial" w:cs="Arial" w:eastAsia="Arial" w:hAnsi="Arial"/>
          <w:sz w:val="15"/>
          <w:szCs w:val="15"/>
          <w:b w:val="1"/>
          <w:bCs w:val="1"/>
          <w:color w:val="auto"/>
        </w:rPr>
        <w:t>2017 STOCK AND INCENTIVE COMPENSATION PLAN RESTRICTED STOCK UNIT AWARD AGREEMENT</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This RESTRICTED STOCK UNIT AWARD AGREEMENT (“Agreement”) is made and entered into as of this ___ day of ______________, 2018 (the “Grant Date”),</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between Capital Bancorp, Inc., a Maryland corporation (“the Company”) and __________ (“Participant”).</w:t>
      </w:r>
    </w:p>
    <w:p>
      <w:pPr>
        <w:spacing w:after="0" w:line="96" w:lineRule="exact"/>
        <w:rPr>
          <w:sz w:val="20"/>
          <w:szCs w:val="20"/>
          <w:color w:val="auto"/>
        </w:rPr>
      </w:pPr>
    </w:p>
    <w:p>
      <w:pPr>
        <w:jc w:val="both"/>
        <w:ind w:firstLine="268"/>
        <w:spacing w:after="0" w:line="252" w:lineRule="auto"/>
        <w:rPr>
          <w:sz w:val="20"/>
          <w:szCs w:val="20"/>
          <w:color w:val="auto"/>
        </w:rPr>
      </w:pPr>
      <w:r>
        <w:rPr>
          <w:rFonts w:ascii="Arial" w:cs="Arial" w:eastAsia="Arial" w:hAnsi="Arial"/>
          <w:sz w:val="15"/>
          <w:szCs w:val="15"/>
          <w:color w:val="auto"/>
        </w:rPr>
        <w:t>WHEREAS the Company desires to grant the Participant certain Restricted Stock Units pursuant to the Capital Bancorp, Inc. 2017 Stock and Incentive Compensation Plan, as approved by the stockholders on August 3, 2017, effective as of August 29, 2017 (the “Plan”) a copy of which has been furnished to the Participant and the terms of which are incorporated herein by reference. Unless otherwise indicated, whenever capitalized terms are used in this Agreement, they shall have the meanings set forth in the Plan.</w:t>
      </w:r>
    </w:p>
    <w:p>
      <w:pPr>
        <w:spacing w:after="0" w:line="81" w:lineRule="exact"/>
        <w:rPr>
          <w:sz w:val="20"/>
          <w:szCs w:val="20"/>
          <w:color w:val="auto"/>
        </w:rPr>
      </w:pPr>
    </w:p>
    <w:p>
      <w:pPr>
        <w:jc w:val="both"/>
        <w:ind w:firstLine="268"/>
        <w:spacing w:after="0" w:line="258" w:lineRule="auto"/>
        <w:rPr>
          <w:sz w:val="20"/>
          <w:szCs w:val="20"/>
          <w:color w:val="auto"/>
        </w:rPr>
      </w:pPr>
      <w:r>
        <w:rPr>
          <w:rFonts w:ascii="Arial" w:cs="Arial" w:eastAsia="Arial" w:hAnsi="Arial"/>
          <w:sz w:val="15"/>
          <w:szCs w:val="15"/>
          <w:color w:val="auto"/>
        </w:rPr>
        <w:t>WHEREAS the parties enter into this Agreement to evidence the grant of such Restricted Stock Units (also referred to as “RSUs”) and set forth the terms and conditions governing their exercise.</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NOW, THEREFORE, the parties agree as follows:</w:t>
      </w:r>
    </w:p>
    <w:p>
      <w:pPr>
        <w:spacing w:after="0" w:line="78" w:lineRule="exact"/>
        <w:rPr>
          <w:sz w:val="20"/>
          <w:szCs w:val="20"/>
          <w:color w:val="auto"/>
        </w:rPr>
      </w:pPr>
    </w:p>
    <w:p>
      <w:pPr>
        <w:jc w:val="both"/>
        <w:ind w:left="540" w:hanging="262"/>
        <w:spacing w:after="0" w:line="260" w:lineRule="auto"/>
        <w:tabs>
          <w:tab w:leader="none" w:pos="530" w:val="left"/>
        </w:tabs>
        <w:numPr>
          <w:ilvl w:val="0"/>
          <w:numId w:val="36"/>
        </w:numPr>
        <w:rPr>
          <w:rFonts w:ascii="Arial" w:cs="Arial" w:eastAsia="Arial" w:hAnsi="Arial"/>
          <w:sz w:val="15"/>
          <w:szCs w:val="15"/>
          <w:color w:val="auto"/>
        </w:rPr>
      </w:pPr>
      <w:r>
        <w:rPr>
          <w:rFonts w:ascii="Arial" w:cs="Arial" w:eastAsia="Arial" w:hAnsi="Arial"/>
          <w:sz w:val="15"/>
          <w:szCs w:val="15"/>
          <w:b w:val="1"/>
          <w:bCs w:val="1"/>
          <w:u w:val="single" w:color="auto"/>
          <w:color w:val="auto"/>
        </w:rPr>
        <w:t>Incorporation By Reference; Plan Document Receipt</w:t>
      </w:r>
      <w:r>
        <w:rPr>
          <w:rFonts w:ascii="Arial" w:cs="Arial" w:eastAsia="Arial" w:hAnsi="Arial"/>
          <w:sz w:val="15"/>
          <w:szCs w:val="15"/>
          <w:color w:val="auto"/>
        </w:rPr>
        <w:t>. This Agreement is subject in all respects to the terms and provisions of the Plan (including,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limitation, any amendments thereto adopted at any time and from time to time unless such amendments are expressly intended not to apply to the grant of the RSUs hereunder), all of which terms and provisions are made a part of and incorporated in this Agreement as if they were each expressly set forth herein, subject to applicable securities laws. In the event of any conflict between the terms of this Agreement and the terms of the Plan, the terms of the Plan shall control.</w:t>
      </w:r>
    </w:p>
    <w:p>
      <w:pPr>
        <w:spacing w:after="0" w:line="58" w:lineRule="exact"/>
        <w:rPr>
          <w:rFonts w:ascii="Arial" w:cs="Arial" w:eastAsia="Arial" w:hAnsi="Arial"/>
          <w:sz w:val="15"/>
          <w:szCs w:val="15"/>
          <w:color w:val="auto"/>
        </w:rPr>
      </w:pPr>
    </w:p>
    <w:p>
      <w:pPr>
        <w:jc w:val="both"/>
        <w:ind w:left="540" w:hanging="262"/>
        <w:spacing w:after="0" w:line="257" w:lineRule="auto"/>
        <w:tabs>
          <w:tab w:leader="none" w:pos="530" w:val="left"/>
        </w:tabs>
        <w:numPr>
          <w:ilvl w:val="0"/>
          <w:numId w:val="36"/>
        </w:numPr>
        <w:rPr>
          <w:rFonts w:ascii="Arial" w:cs="Arial" w:eastAsia="Arial" w:hAnsi="Arial"/>
          <w:sz w:val="15"/>
          <w:szCs w:val="15"/>
          <w:color w:val="auto"/>
        </w:rPr>
      </w:pPr>
      <w:r>
        <w:rPr>
          <w:rFonts w:ascii="Arial" w:cs="Arial" w:eastAsia="Arial" w:hAnsi="Arial"/>
          <w:sz w:val="15"/>
          <w:szCs w:val="15"/>
          <w:b w:val="1"/>
          <w:bCs w:val="1"/>
          <w:u w:val="single" w:color="auto"/>
          <w:color w:val="auto"/>
        </w:rPr>
        <w:t>Grant of Restricted Stock Unit Award</w:t>
      </w:r>
      <w:r>
        <w:rPr>
          <w:rFonts w:ascii="Arial" w:cs="Arial" w:eastAsia="Arial" w:hAnsi="Arial"/>
          <w:sz w:val="15"/>
          <w:szCs w:val="15"/>
          <w:color w:val="auto"/>
        </w:rPr>
        <w:t>. The Company hereby grants to the Participant, as of the Grant Date specified above, the number of RSUs specified</w:t>
      </w:r>
      <w:r>
        <w:rPr>
          <w:rFonts w:ascii="Arial" w:cs="Arial" w:eastAsia="Arial" w:hAnsi="Arial"/>
          <w:sz w:val="15"/>
          <w:szCs w:val="15"/>
          <w:b w:val="1"/>
          <w:bCs w:val="1"/>
          <w:color w:val="auto"/>
        </w:rPr>
        <w:t xml:space="preserve"> </w:t>
      </w:r>
      <w:r>
        <w:rPr>
          <w:rFonts w:ascii="Arial" w:cs="Arial" w:eastAsia="Arial" w:hAnsi="Arial"/>
          <w:sz w:val="15"/>
          <w:szCs w:val="15"/>
          <w:color w:val="auto"/>
        </w:rPr>
        <w:t>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The Participant shall not have the rights of a stockholder in respect of the Shares underlying this Award until such Shares, if any, are delivered to the Participant in accordance with Section 4.</w:t>
      </w:r>
    </w:p>
    <w:p>
      <w:pPr>
        <w:spacing w:after="0" w:line="61" w:lineRule="exact"/>
        <w:rPr>
          <w:rFonts w:ascii="Arial" w:cs="Arial" w:eastAsia="Arial" w:hAnsi="Arial"/>
          <w:sz w:val="15"/>
          <w:szCs w:val="15"/>
          <w:color w:val="auto"/>
        </w:rPr>
      </w:pPr>
    </w:p>
    <w:p>
      <w:pPr>
        <w:jc w:val="both"/>
        <w:ind w:left="540" w:hanging="262"/>
        <w:spacing w:after="0" w:line="257" w:lineRule="auto"/>
        <w:tabs>
          <w:tab w:leader="none" w:pos="530" w:val="left"/>
        </w:tabs>
        <w:numPr>
          <w:ilvl w:val="0"/>
          <w:numId w:val="36"/>
        </w:numPr>
        <w:rPr>
          <w:rFonts w:ascii="Arial" w:cs="Arial" w:eastAsia="Arial" w:hAnsi="Arial"/>
          <w:sz w:val="15"/>
          <w:szCs w:val="15"/>
          <w:color w:val="auto"/>
        </w:rPr>
      </w:pPr>
      <w:r>
        <w:rPr>
          <w:rFonts w:ascii="Arial" w:cs="Arial" w:eastAsia="Arial" w:hAnsi="Arial"/>
          <w:sz w:val="15"/>
          <w:szCs w:val="15"/>
          <w:b w:val="1"/>
          <w:bCs w:val="1"/>
          <w:u w:val="single" w:color="auto"/>
          <w:color w:val="auto"/>
        </w:rPr>
        <w:t>Vesting</w:t>
      </w:r>
      <w:r>
        <w:rPr>
          <w:rFonts w:ascii="Arial" w:cs="Arial" w:eastAsia="Arial" w:hAnsi="Arial"/>
          <w:sz w:val="15"/>
          <w:szCs w:val="15"/>
          <w:color w:val="auto"/>
        </w:rPr>
        <w:t>. Except as otherwise provided in this Section 3 and subject to any accelerated vesting permitted under Article X of the Plan, RSUs subject to this grant</w:t>
      </w:r>
      <w:r>
        <w:rPr>
          <w:rFonts w:ascii="Arial" w:cs="Arial" w:eastAsia="Arial" w:hAnsi="Arial"/>
          <w:sz w:val="15"/>
          <w:szCs w:val="15"/>
          <w:b w:val="1"/>
          <w:bCs w:val="1"/>
          <w:color w:val="auto"/>
        </w:rPr>
        <w:t xml:space="preserve"> </w:t>
      </w:r>
      <w:r>
        <w:rPr>
          <w:rFonts w:ascii="Arial" w:cs="Arial" w:eastAsia="Arial" w:hAnsi="Arial"/>
          <w:sz w:val="15"/>
          <w:szCs w:val="15"/>
          <w:color w:val="auto"/>
        </w:rPr>
        <w:t>shall vest as set forth below, provided that the Participant is then actively employed by the Company and/or one of its Subsidiaries or Affiliates on each such vesting date. All unvested RSUs that are held by a Participant shall immediately be forfeited upon the last day on which the Participant is actively employed, not including any period during which the Participant is in receipt of non-working notice, pay in lieu of notice, severance pay or any other monies in relation to the cessation of the Participant’s employment (the “Termination”).</w:t>
      </w:r>
    </w:p>
    <w:p>
      <w:pPr>
        <w:spacing w:after="0" w:line="373" w:lineRule="exact"/>
        <w:rPr>
          <w:sz w:val="20"/>
          <w:szCs w:val="20"/>
          <w:color w:val="auto"/>
        </w:rPr>
      </w:pPr>
    </w:p>
    <w:tbl>
      <w:tblPr>
        <w:tblLayout w:type="fixed"/>
        <w:tblInd w:w="550" w:type="dxa"/>
        <w:tblCellMar>
          <w:top w:w="0" w:type="dxa"/>
          <w:left w:w="0" w:type="dxa"/>
          <w:bottom w:w="0" w:type="dxa"/>
          <w:right w:w="0" w:type="dxa"/>
        </w:tblCellMar>
      </w:tblPr>
      <w:tr>
        <w:trPr>
          <w:trHeight w:val="201"/>
        </w:trPr>
        <w:tc>
          <w:tcPr>
            <w:tcW w:w="50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First anniversary of the Grant Date</w:t>
            </w:r>
          </w:p>
        </w:tc>
        <w:tc>
          <w:tcPr>
            <w:tcW w:w="26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5"/>
                <w:szCs w:val="15"/>
                <w:color w:val="auto"/>
              </w:rPr>
              <w:t>25%</w:t>
            </w:r>
          </w:p>
        </w:tc>
      </w:tr>
      <w:tr>
        <w:trPr>
          <w:trHeight w:val="181"/>
        </w:trPr>
        <w:tc>
          <w:tcPr>
            <w:tcW w:w="50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Second anniversary of the Grant Date</w:t>
            </w:r>
          </w:p>
        </w:tc>
        <w:tc>
          <w:tcPr>
            <w:tcW w:w="26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5"/>
                <w:szCs w:val="15"/>
                <w:color w:val="auto"/>
              </w:rPr>
              <w:t>50%</w:t>
            </w:r>
          </w:p>
        </w:tc>
      </w:tr>
      <w:tr>
        <w:trPr>
          <w:trHeight w:val="181"/>
        </w:trPr>
        <w:tc>
          <w:tcPr>
            <w:tcW w:w="50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Third anniversary of the Grant Date</w:t>
            </w:r>
          </w:p>
        </w:tc>
        <w:tc>
          <w:tcPr>
            <w:tcW w:w="26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5"/>
                <w:szCs w:val="15"/>
                <w:color w:val="auto"/>
              </w:rPr>
              <w:t>75%</w:t>
            </w:r>
          </w:p>
        </w:tc>
      </w:tr>
      <w:tr>
        <w:trPr>
          <w:trHeight w:val="181"/>
        </w:trPr>
        <w:tc>
          <w:tcPr>
            <w:tcW w:w="50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Fourth anniversary of the Grant Date</w:t>
            </w:r>
          </w:p>
        </w:tc>
        <w:tc>
          <w:tcPr>
            <w:tcW w:w="26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5"/>
                <w:szCs w:val="15"/>
                <w:color w:val="auto"/>
              </w:rPr>
              <w:t>100%</w:t>
            </w:r>
          </w:p>
        </w:tc>
      </w:tr>
    </w:tbl>
    <w:p>
      <w:pPr>
        <w:sectPr>
          <w:pgSz w:w="11900" w:h="16838" w:orient="portrait"/>
          <w:cols w:equalWidth="0" w:num="1">
            <w:col w:w="11280"/>
          </w:cols>
          <w:pgMar w:left="300" w:top="1184" w:right="319" w:bottom="1440" w:gutter="0" w:footer="0" w:header="0"/>
        </w:sectPr>
      </w:pPr>
    </w:p>
    <w:bookmarkStart w:id="118" w:name="page119"/>
    <w:bookmarkEnd w:id="118"/>
    <w:p>
      <w:pPr>
        <w:ind w:left="262" w:hanging="262"/>
        <w:spacing w:after="0"/>
        <w:tabs>
          <w:tab w:leader="none" w:pos="262" w:val="left"/>
        </w:tabs>
        <w:numPr>
          <w:ilvl w:val="0"/>
          <w:numId w:val="37"/>
        </w:numPr>
        <w:rPr>
          <w:rFonts w:ascii="Arial" w:cs="Arial" w:eastAsia="Arial" w:hAnsi="Arial"/>
          <w:sz w:val="15"/>
          <w:szCs w:val="15"/>
          <w:color w:val="auto"/>
        </w:rPr>
      </w:pPr>
      <w:r>
        <w:rPr>
          <w:rFonts w:ascii="Arial" w:cs="Arial" w:eastAsia="Arial" w:hAnsi="Arial"/>
          <w:sz w:val="15"/>
          <w:szCs w:val="15"/>
          <w:b w:val="1"/>
          <w:bCs w:val="1"/>
          <w:u w:val="single" w:color="auto"/>
          <w:color w:val="auto"/>
        </w:rPr>
        <w:t>Settlement of RSUs</w:t>
      </w:r>
      <w:r>
        <w:rPr>
          <w:rFonts w:ascii="Arial" w:cs="Arial" w:eastAsia="Arial" w:hAnsi="Arial"/>
          <w:sz w:val="15"/>
          <w:szCs w:val="15"/>
          <w:color w:val="auto"/>
        </w:rPr>
        <w:t>.</w:t>
      </w:r>
    </w:p>
    <w:p>
      <w:pPr>
        <w:spacing w:after="0" w:line="114" w:lineRule="exact"/>
        <w:rPr>
          <w:rFonts w:ascii="Arial" w:cs="Arial" w:eastAsia="Arial" w:hAnsi="Arial"/>
          <w:sz w:val="15"/>
          <w:szCs w:val="15"/>
          <w:color w:val="auto"/>
        </w:rPr>
      </w:pPr>
    </w:p>
    <w:p>
      <w:pPr>
        <w:jc w:val="both"/>
        <w:ind w:left="802" w:hanging="265"/>
        <w:spacing w:after="0" w:line="250" w:lineRule="auto"/>
        <w:tabs>
          <w:tab w:leader="none" w:pos="792" w:val="left"/>
        </w:tabs>
        <w:numPr>
          <w:ilvl w:val="1"/>
          <w:numId w:val="37"/>
        </w:numPr>
        <w:rPr>
          <w:rFonts w:ascii="Arial" w:cs="Arial" w:eastAsia="Arial" w:hAnsi="Arial"/>
          <w:sz w:val="15"/>
          <w:szCs w:val="15"/>
          <w:color w:val="auto"/>
        </w:rPr>
      </w:pPr>
      <w:r>
        <w:rPr>
          <w:rFonts w:ascii="Arial" w:cs="Arial" w:eastAsia="Arial" w:hAnsi="Arial"/>
          <w:sz w:val="15"/>
          <w:szCs w:val="15"/>
          <w:color w:val="auto"/>
        </w:rPr>
        <w:t>At the time of Grant, the Committee may permit the Participant to defer the settlement of the RSUs by offering such Participant a deferral election form. Unless the Participant timely and properly elects to defer the settlement of his or her RSUs and designates a deferred settlement date in compliance with Section 409A of the Code and such other rules and procedures as the Board deems advisable, the Company shall fully settle a Participant’s vested RSUs within thirty (30) days following the date any portion of the Award of RSUs become vested. If a Participant timely and properly elects to defer the settlement of his or her RSUs, the Company shall settle the RSUS within thirty (30) days of the earliest of: (i) the deferred settlement date designated by the Participant; (ii) the date of the Participant’s death; or (iii) the date of a Change in Control.</w:t>
      </w:r>
    </w:p>
    <w:p>
      <w:pPr>
        <w:spacing w:after="0" w:line="85" w:lineRule="exact"/>
        <w:rPr>
          <w:rFonts w:ascii="Arial" w:cs="Arial" w:eastAsia="Arial" w:hAnsi="Arial"/>
          <w:sz w:val="15"/>
          <w:szCs w:val="15"/>
          <w:color w:val="auto"/>
        </w:rPr>
      </w:pPr>
    </w:p>
    <w:p>
      <w:pPr>
        <w:ind w:left="802" w:hanging="265"/>
        <w:spacing w:after="0" w:line="258" w:lineRule="auto"/>
        <w:tabs>
          <w:tab w:leader="none" w:pos="792" w:val="left"/>
        </w:tabs>
        <w:numPr>
          <w:ilvl w:val="1"/>
          <w:numId w:val="37"/>
        </w:numPr>
        <w:rPr>
          <w:rFonts w:ascii="Arial" w:cs="Arial" w:eastAsia="Arial" w:hAnsi="Arial"/>
          <w:sz w:val="15"/>
          <w:szCs w:val="15"/>
          <w:color w:val="auto"/>
        </w:rPr>
      </w:pPr>
      <w:r>
        <w:rPr>
          <w:rFonts w:ascii="Arial" w:cs="Arial" w:eastAsia="Arial" w:hAnsi="Arial"/>
          <w:sz w:val="15"/>
          <w:szCs w:val="15"/>
          <w:color w:val="auto"/>
        </w:rPr>
        <w:t>On such settlement date, the Company shall deliver either (i) a certificate evidencing a number of shares of Common Stock equal to the same number of vested RSUs; (ii) cash equal to the Fair Market Value of one Share, as of the settlement date, for each vested RSU; or (iii) a combination of both.</w:t>
      </w:r>
    </w:p>
    <w:p>
      <w:pPr>
        <w:spacing w:after="0" w:line="58" w:lineRule="exact"/>
        <w:rPr>
          <w:rFonts w:ascii="Arial" w:cs="Arial" w:eastAsia="Arial" w:hAnsi="Arial"/>
          <w:sz w:val="15"/>
          <w:szCs w:val="15"/>
          <w:color w:val="auto"/>
        </w:rPr>
      </w:pPr>
    </w:p>
    <w:p>
      <w:pPr>
        <w:ind w:left="262" w:hanging="262"/>
        <w:spacing w:after="0" w:line="283" w:lineRule="auto"/>
        <w:tabs>
          <w:tab w:leader="none" w:pos="252" w:val="left"/>
        </w:tabs>
        <w:numPr>
          <w:ilvl w:val="0"/>
          <w:numId w:val="37"/>
        </w:numPr>
        <w:rPr>
          <w:rFonts w:ascii="Arial" w:cs="Arial" w:eastAsia="Arial" w:hAnsi="Arial"/>
          <w:sz w:val="15"/>
          <w:szCs w:val="15"/>
          <w:color w:val="auto"/>
        </w:rPr>
      </w:pPr>
      <w:r>
        <w:rPr>
          <w:rFonts w:ascii="Arial" w:cs="Arial" w:eastAsia="Arial" w:hAnsi="Arial"/>
          <w:sz w:val="15"/>
          <w:szCs w:val="15"/>
          <w:b w:val="1"/>
          <w:bCs w:val="1"/>
          <w:u w:val="single" w:color="auto"/>
          <w:color w:val="auto"/>
        </w:rPr>
        <w:t>Conditions</w:t>
      </w:r>
      <w:r>
        <w:rPr>
          <w:rFonts w:ascii="Arial" w:cs="Arial" w:eastAsia="Arial" w:hAnsi="Arial"/>
          <w:sz w:val="15"/>
          <w:szCs w:val="15"/>
          <w:color w:val="auto"/>
        </w:rPr>
        <w:t>. By acceptance of this RSU award, the Participant hereby releases any rights and/or claims the Participant may have associated with, or in any way</w:t>
      </w:r>
      <w:r>
        <w:rPr>
          <w:rFonts w:ascii="Arial" w:cs="Arial" w:eastAsia="Arial" w:hAnsi="Arial"/>
          <w:sz w:val="15"/>
          <w:szCs w:val="15"/>
          <w:b w:val="1"/>
          <w:bCs w:val="1"/>
          <w:color w:val="auto"/>
        </w:rPr>
        <w:t xml:space="preserve"> </w:t>
      </w:r>
      <w:r>
        <w:rPr>
          <w:rFonts w:ascii="Arial" w:cs="Arial" w:eastAsia="Arial" w:hAnsi="Arial"/>
          <w:sz w:val="15"/>
          <w:szCs w:val="15"/>
          <w:color w:val="auto"/>
        </w:rPr>
        <w:t>related to, any equity awards granted by the Company or any of its Affiliates prior to the Effective Date of the Plan.</w:t>
      </w:r>
    </w:p>
    <w:p>
      <w:pPr>
        <w:spacing w:after="0" w:line="40" w:lineRule="exact"/>
        <w:rPr>
          <w:rFonts w:ascii="Arial" w:cs="Arial" w:eastAsia="Arial" w:hAnsi="Arial"/>
          <w:sz w:val="15"/>
          <w:szCs w:val="15"/>
          <w:color w:val="auto"/>
        </w:rPr>
      </w:pPr>
    </w:p>
    <w:p>
      <w:pPr>
        <w:jc w:val="both"/>
        <w:ind w:left="262" w:hanging="262"/>
        <w:spacing w:after="0" w:line="254" w:lineRule="auto"/>
        <w:tabs>
          <w:tab w:leader="none" w:pos="252" w:val="left"/>
        </w:tabs>
        <w:numPr>
          <w:ilvl w:val="0"/>
          <w:numId w:val="37"/>
        </w:numPr>
        <w:rPr>
          <w:rFonts w:ascii="Arial" w:cs="Arial" w:eastAsia="Arial" w:hAnsi="Arial"/>
          <w:sz w:val="15"/>
          <w:szCs w:val="15"/>
          <w:color w:val="auto"/>
        </w:rPr>
      </w:pPr>
      <w:r>
        <w:rPr>
          <w:rFonts w:ascii="Arial" w:cs="Arial" w:eastAsia="Arial" w:hAnsi="Arial"/>
          <w:sz w:val="15"/>
          <w:szCs w:val="15"/>
          <w:b w:val="1"/>
          <w:bCs w:val="1"/>
          <w:u w:val="single" w:color="auto"/>
          <w:color w:val="auto"/>
        </w:rPr>
        <w:t>Non-transferability</w:t>
      </w:r>
      <w:r>
        <w:rPr>
          <w:rFonts w:ascii="Arial" w:cs="Arial" w:eastAsia="Arial" w:hAnsi="Arial"/>
          <w:sz w:val="15"/>
          <w:szCs w:val="15"/>
          <w:color w:val="auto"/>
        </w:rPr>
        <w:t>. All RSUs, and any rights or interests therein, (a) shall not be sold, exchanged, transferred, assigned or otherwise disposed of in any way at</w:t>
      </w:r>
      <w:r>
        <w:rPr>
          <w:rFonts w:ascii="Arial" w:cs="Arial" w:eastAsia="Arial" w:hAnsi="Arial"/>
          <w:sz w:val="15"/>
          <w:szCs w:val="15"/>
          <w:b w:val="1"/>
          <w:bCs w:val="1"/>
          <w:color w:val="auto"/>
        </w:rPr>
        <w:t xml:space="preserve"> </w:t>
      </w:r>
      <w:r>
        <w:rPr>
          <w:rFonts w:ascii="Arial" w:cs="Arial" w:eastAsia="Arial" w:hAnsi="Arial"/>
          <w:sz w:val="15"/>
          <w:szCs w:val="15"/>
          <w:color w:val="auto"/>
        </w:rPr>
        <w:t>any time by the Participant (or any beneficiary(ies) of the Participant), other than by testamentary disposition by the Participant or by the laws of descent and distribution, (b) shall not be pledged or encumbered in any way at any time by the Participant (or any beneficiary(ies) of the Participant) and (c) shall not be subject to execution, attachment or similar legal process. Any attempt to sell, exchange, pledge, transfer, assign, encumber or otherwise dispose of this RSU, or the levy of any execution, attachment or similar legal process upon this RSU, contrary to the terms of this Agreement and/or the Plan, shall be null and void and without legal force or effect. For RSUs settled in Common Stock, during the period commencing on the date the RSUs become vested and terminating two (2) years thereafter, the Participant may not sell, assign, transfer, pledge or otherwise encumber such Common Stock.</w:t>
      </w:r>
    </w:p>
    <w:p>
      <w:pPr>
        <w:spacing w:after="0" w:line="65" w:lineRule="exact"/>
        <w:rPr>
          <w:rFonts w:ascii="Arial" w:cs="Arial" w:eastAsia="Arial" w:hAnsi="Arial"/>
          <w:sz w:val="15"/>
          <w:szCs w:val="15"/>
          <w:color w:val="auto"/>
        </w:rPr>
      </w:pPr>
    </w:p>
    <w:p>
      <w:pPr>
        <w:jc w:val="both"/>
        <w:ind w:left="262" w:hanging="262"/>
        <w:spacing w:after="0" w:line="260" w:lineRule="auto"/>
        <w:tabs>
          <w:tab w:leader="none" w:pos="252" w:val="left"/>
        </w:tabs>
        <w:numPr>
          <w:ilvl w:val="0"/>
          <w:numId w:val="37"/>
        </w:numPr>
        <w:rPr>
          <w:rFonts w:ascii="Arial" w:cs="Arial" w:eastAsia="Arial" w:hAnsi="Arial"/>
          <w:sz w:val="15"/>
          <w:szCs w:val="15"/>
          <w:color w:val="auto"/>
        </w:rPr>
      </w:pPr>
      <w:r>
        <w:rPr>
          <w:rFonts w:ascii="Arial" w:cs="Arial" w:eastAsia="Arial" w:hAnsi="Arial"/>
          <w:sz w:val="15"/>
          <w:szCs w:val="15"/>
          <w:b w:val="1"/>
          <w:bCs w:val="1"/>
          <w:u w:val="single" w:color="auto"/>
          <w:color w:val="auto"/>
        </w:rPr>
        <w:t>Entire Agreement; Amendment</w:t>
      </w:r>
      <w:r>
        <w:rPr>
          <w:rFonts w:ascii="Arial" w:cs="Arial" w:eastAsia="Arial" w:hAnsi="Arial"/>
          <w:sz w:val="15"/>
          <w:szCs w:val="15"/>
          <w:color w:val="auto"/>
        </w:rPr>
        <w:t>. This Agreement, together with the Plan, contains the entire agreement between the parties hereto with respect to the subject</w:t>
      </w:r>
      <w:r>
        <w:rPr>
          <w:rFonts w:ascii="Arial" w:cs="Arial" w:eastAsia="Arial" w:hAnsi="Arial"/>
          <w:sz w:val="15"/>
          <w:szCs w:val="15"/>
          <w:b w:val="1"/>
          <w:bCs w:val="1"/>
          <w:color w:val="auto"/>
        </w:rPr>
        <w:t xml:space="preserve"> </w:t>
      </w:r>
      <w:r>
        <w:rPr>
          <w:rFonts w:ascii="Arial" w:cs="Arial" w:eastAsia="Arial" w:hAnsi="Arial"/>
          <w:sz w:val="15"/>
          <w:szCs w:val="15"/>
          <w:color w:val="auto"/>
        </w:rPr>
        <w:t>matter contained herein, and supersedes all prior agreements or prior understandings, whether written or oral, between the parties relating to such subject matter. The Committee shall have the right, in its sole discretion, to modify or amend this Agreement from time to time in accordance with and as provided in the Plan. This Agreement may also be modified or amended by a writing signed by both the Company and the Participant.</w:t>
      </w:r>
    </w:p>
    <w:p>
      <w:pPr>
        <w:spacing w:after="0" w:line="58" w:lineRule="exact"/>
        <w:rPr>
          <w:rFonts w:ascii="Arial" w:cs="Arial" w:eastAsia="Arial" w:hAnsi="Arial"/>
          <w:sz w:val="15"/>
          <w:szCs w:val="15"/>
          <w:color w:val="auto"/>
        </w:rPr>
      </w:pPr>
    </w:p>
    <w:p>
      <w:pPr>
        <w:jc w:val="both"/>
        <w:ind w:left="262" w:hanging="262"/>
        <w:spacing w:after="0" w:line="253" w:lineRule="auto"/>
        <w:tabs>
          <w:tab w:leader="none" w:pos="252" w:val="left"/>
        </w:tabs>
        <w:numPr>
          <w:ilvl w:val="0"/>
          <w:numId w:val="37"/>
        </w:numPr>
        <w:rPr>
          <w:rFonts w:ascii="Arial" w:cs="Arial" w:eastAsia="Arial" w:hAnsi="Arial"/>
          <w:sz w:val="15"/>
          <w:szCs w:val="15"/>
          <w:color w:val="auto"/>
        </w:rPr>
      </w:pPr>
      <w:r>
        <w:rPr>
          <w:rFonts w:ascii="Arial" w:cs="Arial" w:eastAsia="Arial" w:hAnsi="Arial"/>
          <w:sz w:val="15"/>
          <w:szCs w:val="15"/>
          <w:b w:val="1"/>
          <w:bCs w:val="1"/>
          <w:u w:val="single" w:color="auto"/>
          <w:color w:val="auto"/>
        </w:rPr>
        <w:t>Acknowledgment of Employee</w:t>
      </w:r>
      <w:r>
        <w:rPr>
          <w:rFonts w:ascii="Arial" w:cs="Arial" w:eastAsia="Arial" w:hAnsi="Arial"/>
          <w:sz w:val="15"/>
          <w:szCs w:val="15"/>
          <w:color w:val="auto"/>
        </w:rPr>
        <w:t>. This award of RSUs does not entitle the Participant to any benefit other than that granted under this Agreement. Any benefits</w:t>
      </w:r>
      <w:r>
        <w:rPr>
          <w:rFonts w:ascii="Arial" w:cs="Arial" w:eastAsia="Arial" w:hAnsi="Arial"/>
          <w:sz w:val="15"/>
          <w:szCs w:val="15"/>
          <w:b w:val="1"/>
          <w:bCs w:val="1"/>
          <w:color w:val="auto"/>
        </w:rPr>
        <w:t xml:space="preserve"> </w:t>
      </w:r>
      <w:r>
        <w:rPr>
          <w:rFonts w:ascii="Arial" w:cs="Arial" w:eastAsia="Arial" w:hAnsi="Arial"/>
          <w:sz w:val="15"/>
          <w:szCs w:val="15"/>
          <w:color w:val="auto"/>
        </w:rPr>
        <w:t>granted under this Agreement are not part of the Participant’s ordinary salary, and shall not be considered as part of such salary in the event of severance, redundancy or resignation. The Participant understands and accepts that the benefits granted under this Agreement are entirely at the discretion of the Company and that the Company retains the right to amend or terminate this Agreement and the Plan at any time, at its sole discretion and without notice. By signing this Agreement, the Participant agrees to execute, upon request, any further documents or instruments necessary or desirable in the sole determination of the Company to carry out the purposes or intent of the Award of Restricted Stock Units. The Participant acknowledges and agrees that he or she has reviewed this Agreement and the Plan in its entirety, had an opportunity to obtain the advice of counsel prior to executing and accepting this Agreement, and fully understand all provisions of the Award. The Participant acknowledge that the Plan is intended to conform to the extent necessary with all provisions of the Securities Act of 1933, as amended, and the Securities Exchange Act of 1934,</w:t>
      </w:r>
    </w:p>
    <w:p>
      <w:pPr>
        <w:sectPr>
          <w:pgSz w:w="11900" w:h="16838" w:orient="portrait"/>
          <w:cols w:equalWidth="0" w:num="1">
            <w:col w:w="11002"/>
          </w:cols>
          <w:pgMar w:left="578" w:top="1195" w:right="319" w:bottom="1440" w:gutter="0" w:footer="0" w:header="0"/>
        </w:sectPr>
      </w:pPr>
    </w:p>
    <w:bookmarkStart w:id="119" w:name="page120"/>
    <w:bookmarkEnd w:id="119"/>
    <w:p>
      <w:pPr>
        <w:jc w:val="both"/>
        <w:ind w:left="262"/>
        <w:spacing w:after="0" w:line="250" w:lineRule="auto"/>
        <w:rPr>
          <w:sz w:val="20"/>
          <w:szCs w:val="20"/>
          <w:color w:val="auto"/>
        </w:rPr>
      </w:pPr>
      <w:r>
        <w:rPr>
          <w:rFonts w:ascii="Arial" w:cs="Arial" w:eastAsia="Arial" w:hAnsi="Arial"/>
          <w:sz w:val="15"/>
          <w:szCs w:val="15"/>
          <w:color w:val="auto"/>
        </w:rPr>
        <w:t>as amended, and any and all regulations and rules promulgated by the Securities and Exchange Commission thereunder, including, without limitation, the applicable exemptive conditions of Rule 16b-3. Notwithstanding anything herein to the contrary, the Plan shall be administered, and the Restricted Stock Units are granted and may be settled, only in such a manner as to conform to such laws, rules and regulations. To the extent permitted by applicable law, the Plan and this Agreement shall be deemed amended to the extent necessary to conform to such laws, rules and regulations. The Participant hereby acknowledges receipt or the right to receive a document providing the information required by Rule 428(b)(1) promulgated under the Securities Act, which includes the Plan prospectus. In addition, the Participant acknowledge receipt of the Company’s policy permitting officers and directors to sell shares only during certain “window” periods and the Company’s insider trading policy, in effect from time to time. The Participant further agrees not to sell any Shares acquired pursuant to this Award at a time when applicable laws, regulations or the Company’s or any applicable underwriter’s trading policies prohibit such sale.</w:t>
      </w:r>
    </w:p>
    <w:p>
      <w:pPr>
        <w:spacing w:after="0" w:line="67" w:lineRule="exact"/>
        <w:rPr>
          <w:sz w:val="20"/>
          <w:szCs w:val="20"/>
          <w:color w:val="auto"/>
        </w:rPr>
      </w:pPr>
    </w:p>
    <w:p>
      <w:pPr>
        <w:ind w:left="262" w:right="20" w:hanging="262"/>
        <w:spacing w:after="0" w:line="283" w:lineRule="auto"/>
        <w:tabs>
          <w:tab w:leader="none" w:pos="252" w:val="left"/>
        </w:tabs>
        <w:numPr>
          <w:ilvl w:val="0"/>
          <w:numId w:val="38"/>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color w:val="auto"/>
        </w:rPr>
        <w:t>. This Agreement shall be governed by and construed in accordance with the laws of the State of Maryland, without reference to the principles of</w:t>
      </w:r>
      <w:r>
        <w:rPr>
          <w:rFonts w:ascii="Arial" w:cs="Arial" w:eastAsia="Arial" w:hAnsi="Arial"/>
          <w:sz w:val="15"/>
          <w:szCs w:val="15"/>
          <w:b w:val="1"/>
          <w:bCs w:val="1"/>
          <w:color w:val="auto"/>
        </w:rPr>
        <w:t xml:space="preserve"> </w:t>
      </w:r>
      <w:r>
        <w:rPr>
          <w:rFonts w:ascii="Arial" w:cs="Arial" w:eastAsia="Arial" w:hAnsi="Arial"/>
          <w:sz w:val="15"/>
          <w:szCs w:val="15"/>
          <w:color w:val="auto"/>
        </w:rPr>
        <w:t>conflict of laws thereof.</w:t>
      </w:r>
    </w:p>
    <w:p>
      <w:pPr>
        <w:spacing w:after="0" w:line="40" w:lineRule="exact"/>
        <w:rPr>
          <w:rFonts w:ascii="Arial" w:cs="Arial" w:eastAsia="Arial" w:hAnsi="Arial"/>
          <w:sz w:val="15"/>
          <w:szCs w:val="15"/>
          <w:color w:val="auto"/>
        </w:rPr>
      </w:pPr>
    </w:p>
    <w:p>
      <w:pPr>
        <w:jc w:val="both"/>
        <w:ind w:left="262" w:hanging="262"/>
        <w:spacing w:after="0" w:line="255" w:lineRule="auto"/>
        <w:tabs>
          <w:tab w:leader="none" w:pos="257" w:val="left"/>
        </w:tabs>
        <w:numPr>
          <w:ilvl w:val="0"/>
          <w:numId w:val="38"/>
        </w:numPr>
        <w:rPr>
          <w:rFonts w:ascii="Arial" w:cs="Arial" w:eastAsia="Arial" w:hAnsi="Arial"/>
          <w:sz w:val="15"/>
          <w:szCs w:val="15"/>
          <w:color w:val="auto"/>
        </w:rPr>
      </w:pPr>
      <w:r>
        <w:rPr>
          <w:rFonts w:ascii="Arial" w:cs="Arial" w:eastAsia="Arial" w:hAnsi="Arial"/>
          <w:sz w:val="15"/>
          <w:szCs w:val="15"/>
          <w:b w:val="1"/>
          <w:bCs w:val="1"/>
          <w:u w:val="single" w:color="auto"/>
          <w:color w:val="auto"/>
        </w:rPr>
        <w:t>Withholding of Tax</w:t>
      </w:r>
      <w:r>
        <w:rPr>
          <w:rFonts w:ascii="Arial" w:cs="Arial" w:eastAsia="Arial" w:hAnsi="Arial"/>
          <w:sz w:val="15"/>
          <w:szCs w:val="15"/>
          <w:color w:val="auto"/>
        </w:rPr>
        <w:t>. The Company shall withhold from any amounts due and payable by the Company to the Participant (or secure payment from the Participant</w:t>
      </w:r>
      <w:r>
        <w:rPr>
          <w:rFonts w:ascii="Arial" w:cs="Arial" w:eastAsia="Arial" w:hAnsi="Arial"/>
          <w:sz w:val="15"/>
          <w:szCs w:val="15"/>
          <w:b w:val="1"/>
          <w:bCs w:val="1"/>
          <w:color w:val="auto"/>
        </w:rPr>
        <w:t xml:space="preserve"> </w:t>
      </w:r>
      <w:r>
        <w:rPr>
          <w:rFonts w:ascii="Arial" w:cs="Arial" w:eastAsia="Arial" w:hAnsi="Arial"/>
          <w:sz w:val="15"/>
          <w:szCs w:val="15"/>
          <w:color w:val="auto"/>
        </w:rPr>
        <w:t>in lieu of withholding) the amount of any federal or state withholding or other taxes, if any, due from the Company with respect to the exercise of the Option, and the Company may defer such issuance until such withholding or payment is made unless otherwise indemnified to its satisfaction with respect thereto. The Company shall have the right to: (a) make deductions from any settlement of this Option, including the delivery of Shares, or require Shares or cash, or both, be withheld from any settlement of this Option, in each case in an amount sufficient to satisfy the withholding obligation; or (b) take such other action as may be necessary or appropriate to satisfy the withholding obligation.</w:t>
      </w:r>
    </w:p>
    <w:p>
      <w:pPr>
        <w:spacing w:after="0" w:line="64" w:lineRule="exact"/>
        <w:rPr>
          <w:rFonts w:ascii="Arial" w:cs="Arial" w:eastAsia="Arial" w:hAnsi="Arial"/>
          <w:sz w:val="15"/>
          <w:szCs w:val="15"/>
          <w:color w:val="auto"/>
        </w:rPr>
      </w:pPr>
    </w:p>
    <w:p>
      <w:pPr>
        <w:jc w:val="both"/>
        <w:ind w:left="262" w:hanging="262"/>
        <w:spacing w:after="0" w:line="266" w:lineRule="auto"/>
        <w:tabs>
          <w:tab w:leader="none" w:pos="257" w:val="left"/>
        </w:tabs>
        <w:numPr>
          <w:ilvl w:val="0"/>
          <w:numId w:val="38"/>
        </w:numPr>
        <w:rPr>
          <w:rFonts w:ascii="Arial" w:cs="Arial" w:eastAsia="Arial" w:hAnsi="Arial"/>
          <w:sz w:val="15"/>
          <w:szCs w:val="15"/>
          <w:color w:val="auto"/>
        </w:rPr>
      </w:pPr>
      <w:r>
        <w:rPr>
          <w:rFonts w:ascii="Arial" w:cs="Arial" w:eastAsia="Arial" w:hAnsi="Arial"/>
          <w:sz w:val="15"/>
          <w:szCs w:val="15"/>
          <w:b w:val="1"/>
          <w:bCs w:val="1"/>
          <w:u w:val="single" w:color="auto"/>
          <w:color w:val="auto"/>
        </w:rPr>
        <w:t>No Right to Employment</w:t>
      </w:r>
      <w:r>
        <w:rPr>
          <w:rFonts w:ascii="Arial" w:cs="Arial" w:eastAsia="Arial" w:hAnsi="Arial"/>
          <w:sz w:val="15"/>
          <w:szCs w:val="15"/>
          <w:color w:val="auto"/>
        </w:rPr>
        <w:t>. Nothing in this Agreement shall interfere with or limit in any way the right of the Company to terminate the Participant’s employment or</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at any time, for any reason and with or without Cause. Any questions as to whether and when there has been a termination of such employment and the cause of such termination shall be determined in the sole discretion of the Committee.</w:t>
      </w:r>
    </w:p>
    <w:p>
      <w:pPr>
        <w:spacing w:after="0" w:line="53" w:lineRule="exact"/>
        <w:rPr>
          <w:rFonts w:ascii="Arial" w:cs="Arial" w:eastAsia="Arial" w:hAnsi="Arial"/>
          <w:sz w:val="15"/>
          <w:szCs w:val="15"/>
          <w:color w:val="auto"/>
        </w:rPr>
      </w:pPr>
    </w:p>
    <w:p>
      <w:pPr>
        <w:jc w:val="both"/>
        <w:ind w:left="262" w:hanging="262"/>
        <w:spacing w:after="0" w:line="266" w:lineRule="auto"/>
        <w:tabs>
          <w:tab w:leader="none" w:pos="257" w:val="left"/>
        </w:tabs>
        <w:numPr>
          <w:ilvl w:val="0"/>
          <w:numId w:val="38"/>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All notices, requests and demands to or upon a party hereto shall be in writing and shall be deemed to have been duly given when delivered by hand or</w:t>
      </w:r>
      <w:r>
        <w:rPr>
          <w:rFonts w:ascii="Arial" w:cs="Arial" w:eastAsia="Arial" w:hAnsi="Arial"/>
          <w:sz w:val="15"/>
          <w:szCs w:val="15"/>
          <w:b w:val="1"/>
          <w:bCs w:val="1"/>
          <w:color w:val="auto"/>
        </w:rPr>
        <w:t xml:space="preserve"> </w:t>
      </w:r>
      <w:r>
        <w:rPr>
          <w:rFonts w:ascii="Arial" w:cs="Arial" w:eastAsia="Arial" w:hAnsi="Arial"/>
          <w:sz w:val="15"/>
          <w:szCs w:val="15"/>
          <w:color w:val="auto"/>
        </w:rPr>
        <w:t>three days after being deposited in the mail, postage prepaid or, in the case of facsimile notice, when received, addressed as follows or to such other address as either party may have furnished to the other in writing in accordance herewith, except that notices of change of address shall be effective only upon receipt.</w:t>
      </w:r>
    </w:p>
    <w:p>
      <w:pPr>
        <w:spacing w:after="0" w:line="71" w:lineRule="exact"/>
        <w:rPr>
          <w:sz w:val="20"/>
          <w:szCs w:val="20"/>
          <w:color w:val="auto"/>
        </w:rPr>
      </w:pPr>
    </w:p>
    <w:p>
      <w:pPr>
        <w:ind w:left="262"/>
        <w:spacing w:after="0"/>
        <w:rPr>
          <w:sz w:val="20"/>
          <w:szCs w:val="20"/>
          <w:color w:val="auto"/>
        </w:rPr>
      </w:pPr>
      <w:r>
        <w:rPr>
          <w:rFonts w:ascii="Arial" w:cs="Arial" w:eastAsia="Arial" w:hAnsi="Arial"/>
          <w:sz w:val="15"/>
          <w:szCs w:val="15"/>
          <w:color w:val="auto"/>
        </w:rPr>
        <w:t>If to the Company, to the following address:</w:t>
      </w:r>
    </w:p>
    <w:p>
      <w:pPr>
        <w:spacing w:after="0" w:line="96" w:lineRule="exact"/>
        <w:rPr>
          <w:sz w:val="20"/>
          <w:szCs w:val="20"/>
          <w:color w:val="auto"/>
        </w:rPr>
      </w:pPr>
    </w:p>
    <w:p>
      <w:pPr>
        <w:ind w:left="802"/>
        <w:spacing w:after="0"/>
        <w:rPr>
          <w:sz w:val="20"/>
          <w:szCs w:val="20"/>
          <w:color w:val="auto"/>
        </w:rPr>
      </w:pPr>
      <w:r>
        <w:rPr>
          <w:rFonts w:ascii="Arial" w:cs="Arial" w:eastAsia="Arial" w:hAnsi="Arial"/>
          <w:sz w:val="15"/>
          <w:szCs w:val="15"/>
          <w:color w:val="auto"/>
        </w:rPr>
        <w:t>Attn: Secretary</w:t>
      </w:r>
    </w:p>
    <w:p>
      <w:pPr>
        <w:spacing w:after="0" w:line="96" w:lineRule="exact"/>
        <w:rPr>
          <w:sz w:val="20"/>
          <w:szCs w:val="20"/>
          <w:color w:val="auto"/>
        </w:rPr>
      </w:pPr>
    </w:p>
    <w:p>
      <w:pPr>
        <w:ind w:left="802"/>
        <w:spacing w:after="0"/>
        <w:rPr>
          <w:sz w:val="20"/>
          <w:szCs w:val="20"/>
          <w:color w:val="auto"/>
        </w:rPr>
      </w:pPr>
      <w:r>
        <w:rPr>
          <w:rFonts w:ascii="Arial" w:cs="Arial" w:eastAsia="Arial" w:hAnsi="Arial"/>
          <w:sz w:val="15"/>
          <w:szCs w:val="15"/>
          <w:color w:val="auto"/>
        </w:rPr>
        <w:t>Capital Bancorp, Inc.</w:t>
      </w:r>
    </w:p>
    <w:p>
      <w:pPr>
        <w:spacing w:after="0" w:line="96" w:lineRule="exact"/>
        <w:rPr>
          <w:sz w:val="20"/>
          <w:szCs w:val="20"/>
          <w:color w:val="auto"/>
        </w:rPr>
      </w:pPr>
    </w:p>
    <w:p>
      <w:pPr>
        <w:ind w:left="802"/>
        <w:spacing w:after="0"/>
        <w:rPr>
          <w:sz w:val="20"/>
          <w:szCs w:val="20"/>
          <w:color w:val="auto"/>
        </w:rPr>
      </w:pPr>
      <w:r>
        <w:rPr>
          <w:rFonts w:ascii="Arial" w:cs="Arial" w:eastAsia="Arial" w:hAnsi="Arial"/>
          <w:sz w:val="15"/>
          <w:szCs w:val="15"/>
          <w:color w:val="auto"/>
        </w:rPr>
        <w:t>One Church Street</w:t>
      </w:r>
    </w:p>
    <w:p>
      <w:pPr>
        <w:spacing w:after="0" w:line="96" w:lineRule="exact"/>
        <w:rPr>
          <w:sz w:val="20"/>
          <w:szCs w:val="20"/>
          <w:color w:val="auto"/>
        </w:rPr>
      </w:pPr>
    </w:p>
    <w:p>
      <w:pPr>
        <w:ind w:left="442"/>
        <w:spacing w:after="0"/>
        <w:rPr>
          <w:sz w:val="20"/>
          <w:szCs w:val="20"/>
          <w:color w:val="auto"/>
        </w:rPr>
      </w:pPr>
      <w:r>
        <w:rPr>
          <w:rFonts w:ascii="Arial" w:cs="Arial" w:eastAsia="Arial" w:hAnsi="Arial"/>
          <w:sz w:val="15"/>
          <w:szCs w:val="15"/>
          <w:color w:val="auto"/>
        </w:rPr>
        <w:t>Rockville, Maryland 20850</w:t>
      </w:r>
    </w:p>
    <w:p>
      <w:pPr>
        <w:spacing w:after="0" w:line="387" w:lineRule="exact"/>
        <w:rPr>
          <w:sz w:val="20"/>
          <w:szCs w:val="20"/>
          <w:color w:val="auto"/>
        </w:rPr>
      </w:pPr>
    </w:p>
    <w:p>
      <w:pPr>
        <w:ind w:left="262"/>
        <w:spacing w:after="0"/>
        <w:rPr>
          <w:sz w:val="20"/>
          <w:szCs w:val="20"/>
          <w:color w:val="auto"/>
        </w:rPr>
      </w:pPr>
      <w:r>
        <w:rPr>
          <w:rFonts w:ascii="Arial" w:cs="Arial" w:eastAsia="Arial" w:hAnsi="Arial"/>
          <w:sz w:val="15"/>
          <w:szCs w:val="15"/>
          <w:color w:val="auto"/>
        </w:rPr>
        <w:t>If to the Participant, to the address or facsimile number as shown on the signature page hereto.</w:t>
      </w:r>
    </w:p>
    <w:p>
      <w:pPr>
        <w:spacing w:after="0" w:line="78" w:lineRule="exact"/>
        <w:rPr>
          <w:sz w:val="20"/>
          <w:szCs w:val="20"/>
          <w:color w:val="auto"/>
        </w:rPr>
      </w:pPr>
    </w:p>
    <w:p>
      <w:pPr>
        <w:jc w:val="both"/>
        <w:ind w:left="262" w:hanging="262"/>
        <w:spacing w:after="0" w:line="266" w:lineRule="auto"/>
        <w:tabs>
          <w:tab w:leader="none" w:pos="252" w:val="left"/>
        </w:tabs>
        <w:numPr>
          <w:ilvl w:val="0"/>
          <w:numId w:val="39"/>
        </w:numPr>
        <w:rPr>
          <w:rFonts w:ascii="Arial" w:cs="Arial" w:eastAsia="Arial" w:hAnsi="Arial"/>
          <w:sz w:val="15"/>
          <w:szCs w:val="15"/>
          <w:color w:val="auto"/>
        </w:rPr>
      </w:pPr>
      <w:r>
        <w:rPr>
          <w:rFonts w:ascii="Arial" w:cs="Arial" w:eastAsia="Arial" w:hAnsi="Arial"/>
          <w:sz w:val="15"/>
          <w:szCs w:val="15"/>
          <w:b w:val="1"/>
          <w:bCs w:val="1"/>
          <w:u w:val="single" w:color="auto"/>
          <w:color w:val="auto"/>
        </w:rPr>
        <w:t>Compliance with Laws</w:t>
      </w:r>
      <w:r>
        <w:rPr>
          <w:rFonts w:ascii="Arial" w:cs="Arial" w:eastAsia="Arial" w:hAnsi="Arial"/>
          <w:sz w:val="15"/>
          <w:szCs w:val="15"/>
          <w:color w:val="auto"/>
        </w:rPr>
        <w:t>. This issuance of RSUs (and the Shares underlying the RSUs) pursuant to this Agreement shall be subject to, and shall comply with, any</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requirements of any securities laws, rules and regulations (including, without limitation, the provisions of the Securities Act of 1933, as amended, the 1934 Act and in each case any respective rules and regulations promulgated thereunder) and any other law or regulation applicable thereto. The Company shall</w:t>
      </w:r>
    </w:p>
    <w:p>
      <w:pPr>
        <w:sectPr>
          <w:pgSz w:w="11900" w:h="16838" w:orient="portrait"/>
          <w:cols w:equalWidth="0" w:num="1">
            <w:col w:w="11002"/>
          </w:cols>
          <w:pgMar w:left="578" w:top="1213" w:right="319" w:bottom="1440" w:gutter="0" w:footer="0" w:header="0"/>
        </w:sectPr>
      </w:pPr>
    </w:p>
    <w:bookmarkStart w:id="120" w:name="page121"/>
    <w:bookmarkEnd w:id="120"/>
    <w:p>
      <w:pPr>
        <w:ind w:left="530"/>
        <w:spacing w:after="0"/>
        <w:rPr>
          <w:sz w:val="20"/>
          <w:szCs w:val="20"/>
          <w:color w:val="auto"/>
        </w:rPr>
      </w:pPr>
      <w:r>
        <w:rPr>
          <w:rFonts w:ascii="Arial" w:cs="Arial" w:eastAsia="Arial" w:hAnsi="Arial"/>
          <w:sz w:val="15"/>
          <w:szCs w:val="15"/>
          <w:color w:val="auto"/>
        </w:rPr>
        <w:t>not be obligated to issue this RSU or any of the Shares pursuant to this Agreement if any such issuance would violate any such requirements.</w:t>
      </w:r>
    </w:p>
    <w:p>
      <w:pPr>
        <w:spacing w:after="0" w:line="78" w:lineRule="exact"/>
        <w:rPr>
          <w:sz w:val="20"/>
          <w:szCs w:val="20"/>
          <w:color w:val="auto"/>
        </w:rPr>
      </w:pPr>
    </w:p>
    <w:p>
      <w:pPr>
        <w:ind w:left="530" w:hanging="262"/>
        <w:spacing w:after="0" w:line="283" w:lineRule="auto"/>
        <w:tabs>
          <w:tab w:leader="none" w:pos="521" w:val="left"/>
        </w:tabs>
        <w:numPr>
          <w:ilvl w:val="1"/>
          <w:numId w:val="40"/>
        </w:numPr>
        <w:rPr>
          <w:rFonts w:ascii="Arial" w:cs="Arial" w:eastAsia="Arial" w:hAnsi="Arial"/>
          <w:sz w:val="15"/>
          <w:szCs w:val="15"/>
          <w:color w:val="auto"/>
        </w:rPr>
      </w:pPr>
      <w:r>
        <w:rPr>
          <w:rFonts w:ascii="Arial" w:cs="Arial" w:eastAsia="Arial" w:hAnsi="Arial"/>
          <w:sz w:val="15"/>
          <w:szCs w:val="15"/>
          <w:b w:val="1"/>
          <w:bCs w:val="1"/>
          <w:u w:val="single" w:color="auto"/>
          <w:color w:val="auto"/>
        </w:rPr>
        <w:t>Binding Agreement; Assignment</w:t>
      </w:r>
      <w:r>
        <w:rPr>
          <w:rFonts w:ascii="Arial" w:cs="Arial" w:eastAsia="Arial" w:hAnsi="Arial"/>
          <w:sz w:val="15"/>
          <w:szCs w:val="15"/>
          <w:color w:val="auto"/>
        </w:rPr>
        <w:t>. This Agreement shall inure to the benefit of, be binding upon, and be enforceable by the Company and its successors and</w:t>
      </w:r>
      <w:r>
        <w:rPr>
          <w:rFonts w:ascii="Arial" w:cs="Arial" w:eastAsia="Arial" w:hAnsi="Arial"/>
          <w:sz w:val="15"/>
          <w:szCs w:val="15"/>
          <w:b w:val="1"/>
          <w:bCs w:val="1"/>
          <w:color w:val="auto"/>
        </w:rPr>
        <w:t xml:space="preserve"> </w:t>
      </w:r>
      <w:r>
        <w:rPr>
          <w:rFonts w:ascii="Arial" w:cs="Arial" w:eastAsia="Arial" w:hAnsi="Arial"/>
          <w:sz w:val="15"/>
          <w:szCs w:val="15"/>
          <w:color w:val="auto"/>
        </w:rPr>
        <w:t>assigns. The Participant shall not assign any part of this Agreement without the prior express written consent of the Company.</w:t>
      </w:r>
    </w:p>
    <w:p>
      <w:pPr>
        <w:spacing w:after="0" w:line="40" w:lineRule="exact"/>
        <w:rPr>
          <w:rFonts w:ascii="Arial" w:cs="Arial" w:eastAsia="Arial" w:hAnsi="Arial"/>
          <w:sz w:val="15"/>
          <w:szCs w:val="15"/>
          <w:color w:val="auto"/>
        </w:rPr>
      </w:pPr>
    </w:p>
    <w:p>
      <w:pPr>
        <w:ind w:left="530" w:hanging="262"/>
        <w:spacing w:after="0" w:line="283" w:lineRule="auto"/>
        <w:tabs>
          <w:tab w:leader="none" w:pos="521" w:val="left"/>
        </w:tabs>
        <w:numPr>
          <w:ilvl w:val="1"/>
          <w:numId w:val="40"/>
        </w:numPr>
        <w:rPr>
          <w:rFonts w:ascii="Arial" w:cs="Arial" w:eastAsia="Arial" w:hAnsi="Arial"/>
          <w:sz w:val="15"/>
          <w:szCs w:val="15"/>
          <w:color w:val="auto"/>
        </w:rPr>
      </w:pPr>
      <w:r>
        <w:rPr>
          <w:rFonts w:ascii="Arial" w:cs="Arial" w:eastAsia="Arial" w:hAnsi="Arial"/>
          <w:sz w:val="15"/>
          <w:szCs w:val="15"/>
          <w:b w:val="1"/>
          <w:bCs w:val="1"/>
          <w:u w:val="single" w:color="auto"/>
          <w:color w:val="auto"/>
        </w:rPr>
        <w:t>Counterparts</w:t>
      </w:r>
      <w:r>
        <w:rPr>
          <w:rFonts w:ascii="Arial" w:cs="Arial" w:eastAsia="Arial" w:hAnsi="Arial"/>
          <w:sz w:val="15"/>
          <w:szCs w:val="15"/>
          <w:color w:val="auto"/>
        </w:rPr>
        <w:t>. This Agreement may be executed in one or more counterparts, each of which shall be deemed to be an original, but all of which shall constitute</w:t>
      </w:r>
      <w:r>
        <w:rPr>
          <w:rFonts w:ascii="Arial" w:cs="Arial" w:eastAsia="Arial" w:hAnsi="Arial"/>
          <w:sz w:val="15"/>
          <w:szCs w:val="15"/>
          <w:b w:val="1"/>
          <w:bCs w:val="1"/>
          <w:color w:val="auto"/>
        </w:rPr>
        <w:t xml:space="preserve"> </w:t>
      </w:r>
      <w:r>
        <w:rPr>
          <w:rFonts w:ascii="Arial" w:cs="Arial" w:eastAsia="Arial" w:hAnsi="Arial"/>
          <w:sz w:val="15"/>
          <w:szCs w:val="15"/>
          <w:color w:val="auto"/>
        </w:rPr>
        <w:t>one and the same instrument.</w:t>
      </w:r>
    </w:p>
    <w:p>
      <w:pPr>
        <w:spacing w:after="0" w:line="40" w:lineRule="exact"/>
        <w:rPr>
          <w:rFonts w:ascii="Arial" w:cs="Arial" w:eastAsia="Arial" w:hAnsi="Arial"/>
          <w:sz w:val="15"/>
          <w:szCs w:val="15"/>
          <w:color w:val="auto"/>
        </w:rPr>
      </w:pPr>
    </w:p>
    <w:p>
      <w:pPr>
        <w:ind w:left="530" w:hanging="262"/>
        <w:spacing w:after="0" w:line="283" w:lineRule="auto"/>
        <w:tabs>
          <w:tab w:leader="none" w:pos="521" w:val="left"/>
        </w:tabs>
        <w:numPr>
          <w:ilvl w:val="1"/>
          <w:numId w:val="40"/>
        </w:numPr>
        <w:rPr>
          <w:rFonts w:ascii="Arial" w:cs="Arial" w:eastAsia="Arial" w:hAnsi="Arial"/>
          <w:sz w:val="15"/>
          <w:szCs w:val="15"/>
          <w:color w:val="auto"/>
        </w:rPr>
      </w:pPr>
      <w:r>
        <w:rPr>
          <w:rFonts w:ascii="Arial" w:cs="Arial" w:eastAsia="Arial" w:hAnsi="Arial"/>
          <w:sz w:val="15"/>
          <w:szCs w:val="15"/>
          <w:b w:val="1"/>
          <w:bCs w:val="1"/>
          <w:u w:val="single" w:color="auto"/>
          <w:color w:val="auto"/>
        </w:rPr>
        <w:t>Headings</w:t>
      </w:r>
      <w:r>
        <w:rPr>
          <w:rFonts w:ascii="Arial" w:cs="Arial" w:eastAsia="Arial" w:hAnsi="Arial"/>
          <w:sz w:val="15"/>
          <w:szCs w:val="15"/>
          <w:color w:val="auto"/>
        </w:rPr>
        <w:t>. The titles and headings of the various sections of this Agreement have been inserted for convenience of reference only and shall not be deemed to be</w:t>
      </w:r>
      <w:r>
        <w:rPr>
          <w:rFonts w:ascii="Arial" w:cs="Arial" w:eastAsia="Arial" w:hAnsi="Arial"/>
          <w:sz w:val="15"/>
          <w:szCs w:val="15"/>
          <w:b w:val="1"/>
          <w:bCs w:val="1"/>
          <w:color w:val="auto"/>
        </w:rPr>
        <w:t xml:space="preserve"> </w:t>
      </w:r>
      <w:r>
        <w:rPr>
          <w:rFonts w:ascii="Arial" w:cs="Arial" w:eastAsia="Arial" w:hAnsi="Arial"/>
          <w:sz w:val="15"/>
          <w:szCs w:val="15"/>
          <w:color w:val="auto"/>
        </w:rPr>
        <w:t>a part of this Agreement.</w:t>
      </w:r>
    </w:p>
    <w:p>
      <w:pPr>
        <w:spacing w:after="0" w:line="40" w:lineRule="exact"/>
        <w:rPr>
          <w:rFonts w:ascii="Arial" w:cs="Arial" w:eastAsia="Arial" w:hAnsi="Arial"/>
          <w:sz w:val="15"/>
          <w:szCs w:val="15"/>
          <w:color w:val="auto"/>
        </w:rPr>
      </w:pPr>
    </w:p>
    <w:p>
      <w:pPr>
        <w:jc w:val="both"/>
        <w:ind w:left="530" w:hanging="262"/>
        <w:spacing w:after="0" w:line="266" w:lineRule="auto"/>
        <w:tabs>
          <w:tab w:leader="none" w:pos="521" w:val="left"/>
        </w:tabs>
        <w:numPr>
          <w:ilvl w:val="1"/>
          <w:numId w:val="40"/>
        </w:numPr>
        <w:rPr>
          <w:rFonts w:ascii="Arial" w:cs="Arial" w:eastAsia="Arial" w:hAnsi="Arial"/>
          <w:sz w:val="15"/>
          <w:szCs w:val="15"/>
          <w:color w:val="auto"/>
        </w:rPr>
      </w:pPr>
      <w:r>
        <w:rPr>
          <w:rFonts w:ascii="Arial" w:cs="Arial" w:eastAsia="Arial" w:hAnsi="Arial"/>
          <w:sz w:val="15"/>
          <w:szCs w:val="15"/>
          <w:b w:val="1"/>
          <w:bCs w:val="1"/>
          <w:u w:val="single" w:color="auto"/>
          <w:color w:val="auto"/>
        </w:rPr>
        <w:t>Further Assurances</w:t>
      </w:r>
      <w:r>
        <w:rPr>
          <w:rFonts w:ascii="Arial" w:cs="Arial" w:eastAsia="Arial" w:hAnsi="Arial"/>
          <w:sz w:val="15"/>
          <w:szCs w:val="15"/>
          <w:color w:val="auto"/>
        </w:rPr>
        <w:t>. Each party hereto shall do and perform (or shall cause to be done and performed) all such further acts and shall execute and deliver all</w:t>
      </w:r>
      <w:r>
        <w:rPr>
          <w:rFonts w:ascii="Arial" w:cs="Arial" w:eastAsia="Arial" w:hAnsi="Arial"/>
          <w:sz w:val="15"/>
          <w:szCs w:val="15"/>
          <w:b w:val="1"/>
          <w:bCs w:val="1"/>
          <w:color w:val="auto"/>
        </w:rPr>
        <w:t xml:space="preserve"> </w:t>
      </w:r>
      <w:r>
        <w:rPr>
          <w:rFonts w:ascii="Arial" w:cs="Arial" w:eastAsia="Arial" w:hAnsi="Arial"/>
          <w:sz w:val="15"/>
          <w:szCs w:val="15"/>
          <w:color w:val="auto"/>
        </w:rPr>
        <w:t>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53" w:lineRule="exact"/>
        <w:rPr>
          <w:rFonts w:ascii="Arial" w:cs="Arial" w:eastAsia="Arial" w:hAnsi="Arial"/>
          <w:sz w:val="15"/>
          <w:szCs w:val="15"/>
          <w:color w:val="auto"/>
        </w:rPr>
      </w:pPr>
    </w:p>
    <w:p>
      <w:pPr>
        <w:jc w:val="both"/>
        <w:ind w:left="530" w:hanging="262"/>
        <w:spacing w:after="0" w:line="266" w:lineRule="auto"/>
        <w:tabs>
          <w:tab w:leader="none" w:pos="521" w:val="left"/>
        </w:tabs>
        <w:numPr>
          <w:ilvl w:val="1"/>
          <w:numId w:val="40"/>
        </w:numPr>
        <w:rPr>
          <w:rFonts w:ascii="Arial" w:cs="Arial" w:eastAsia="Arial" w:hAnsi="Arial"/>
          <w:sz w:val="15"/>
          <w:szCs w:val="15"/>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 The invalidity or unenforceability of any provisions of this Agreement in any jurisdiction shall not affect the validity, legality or enforceability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53" w:lineRule="exact"/>
        <w:rPr>
          <w:rFonts w:ascii="Arial" w:cs="Arial" w:eastAsia="Arial" w:hAnsi="Arial"/>
          <w:sz w:val="15"/>
          <w:szCs w:val="15"/>
          <w:color w:val="auto"/>
        </w:rPr>
      </w:pPr>
    </w:p>
    <w:p>
      <w:pPr>
        <w:jc w:val="both"/>
        <w:ind w:left="530" w:hanging="262"/>
        <w:spacing w:after="0" w:line="266" w:lineRule="auto"/>
        <w:tabs>
          <w:tab w:leader="none" w:pos="521" w:val="left"/>
        </w:tabs>
        <w:numPr>
          <w:ilvl w:val="1"/>
          <w:numId w:val="40"/>
        </w:numPr>
        <w:rPr>
          <w:rFonts w:ascii="Arial" w:cs="Arial" w:eastAsia="Arial" w:hAnsi="Arial"/>
          <w:sz w:val="15"/>
          <w:szCs w:val="15"/>
          <w:color w:val="auto"/>
        </w:rPr>
      </w:pPr>
      <w:r>
        <w:rPr>
          <w:rFonts w:ascii="Arial" w:cs="Arial" w:eastAsia="Arial" w:hAnsi="Arial"/>
          <w:sz w:val="15"/>
          <w:szCs w:val="15"/>
          <w:b w:val="1"/>
          <w:bCs w:val="1"/>
          <w:u w:val="single" w:color="auto"/>
          <w:color w:val="auto"/>
        </w:rPr>
        <w:t>Clawback</w:t>
      </w:r>
      <w:r>
        <w:rPr>
          <w:rFonts w:ascii="Arial" w:cs="Arial" w:eastAsia="Arial" w:hAnsi="Arial"/>
          <w:sz w:val="15"/>
          <w:szCs w:val="15"/>
          <w:color w:val="auto"/>
        </w:rPr>
        <w:t>. By accepting this Award, the Participant agrees to be bound by the clawback provisions as set forth in Section 15.3 of the Plan, as in effect or as may</w:t>
      </w:r>
      <w:r>
        <w:rPr>
          <w:rFonts w:ascii="Arial" w:cs="Arial" w:eastAsia="Arial" w:hAnsi="Arial"/>
          <w:sz w:val="15"/>
          <w:szCs w:val="15"/>
          <w:b w:val="1"/>
          <w:bCs w:val="1"/>
          <w:color w:val="auto"/>
        </w:rPr>
        <w:t xml:space="preserve"> </w:t>
      </w:r>
      <w:r>
        <w:rPr>
          <w:rFonts w:ascii="Arial" w:cs="Arial" w:eastAsia="Arial" w:hAnsi="Arial"/>
          <w:sz w:val="15"/>
          <w:szCs w:val="15"/>
          <w:color w:val="auto"/>
        </w:rPr>
        <w:t>be adopted and/or modified from time to time by the Company in its discretion (including, without limitation, to comply with applicable law or stock exchange listing requirements).</w:t>
      </w:r>
    </w:p>
    <w:p>
      <w:pPr>
        <w:spacing w:after="0" w:line="344" w:lineRule="exact"/>
        <w:rPr>
          <w:rFonts w:ascii="Arial" w:cs="Arial" w:eastAsia="Arial" w:hAnsi="Arial"/>
          <w:sz w:val="15"/>
          <w:szCs w:val="15"/>
          <w:color w:val="auto"/>
        </w:rPr>
      </w:pPr>
    </w:p>
    <w:p>
      <w:pPr>
        <w:jc w:val="both"/>
        <w:ind w:left="-10" w:firstLine="10"/>
        <w:spacing w:after="0" w:line="252" w:lineRule="auto"/>
        <w:tabs>
          <w:tab w:leader="none" w:pos="250" w:val="left"/>
        </w:tabs>
        <w:numPr>
          <w:ilvl w:val="0"/>
          <w:numId w:val="41"/>
        </w:numPr>
        <w:rPr>
          <w:rFonts w:ascii="Arial" w:cs="Arial" w:eastAsia="Arial" w:hAnsi="Arial"/>
          <w:sz w:val="15"/>
          <w:szCs w:val="15"/>
          <w:color w:val="auto"/>
        </w:rPr>
      </w:pPr>
      <w:r>
        <w:rPr>
          <w:rFonts w:ascii="Arial" w:cs="Arial" w:eastAsia="Arial" w:hAnsi="Arial"/>
          <w:sz w:val="15"/>
          <w:szCs w:val="15"/>
          <w:b w:val="1"/>
          <w:bCs w:val="1"/>
          <w:u w:val="single" w:color="auto"/>
          <w:color w:val="auto"/>
        </w:rPr>
        <w:t>Section 409A</w:t>
      </w:r>
      <w:r>
        <w:rPr>
          <w:rFonts w:ascii="Arial" w:cs="Arial" w:eastAsia="Arial" w:hAnsi="Arial"/>
          <w:sz w:val="15"/>
          <w:szCs w:val="15"/>
          <w:color w:val="auto"/>
        </w:rPr>
        <w:t>. This Agreement is intended to comply with the requirements of Section 409A of the Code (“Section 409A”), to the extent applicable, and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construed and administered such that your Award either (i) qualifies for an exemption from the requirements of Section 409A or (ii) satisfies the requirements of Section 409A. If an Award is subject to Section 409A, (i) distributions shall only be made in a manner and upon an event permitted under Section 409A, (ii) payments to be made upon a termination of employment shall only be made upon a “separation from service” under Section 409A, (iii) and in no event shall a Participant, directly or indirectly, designate the calendar year in which a distribution is made except in accordance with Section 409A. Any Award that is subject to Section 409A and that is to be distributed to a “specified employee,” as defined in Code Section 409A(a)(2)(B)(i) upon separation from service shall be administered so that any distribution with respect to such Award shall be postponed for six (6) months following the date of the Participant’s separation from service, if required by Section 409A. If a distribution is delayed pursuant to Section 409A, the distribution shall be paid within fifteen (15) days after the end of the six (6)-month period. If the Participant dies during such six (6)-month period, any postponed amounts shall be paid within ninety (90) days of the Participant's death. The determination of a specified employee, including the number and identity of persons considered specified employees and the identification date, shall be made by the Board or its delegate each year in accordance with Section 416(i) of the Code and the “specified employee” requirements of Section 409A.</w:t>
      </w:r>
    </w:p>
    <w:p>
      <w:pPr>
        <w:sectPr>
          <w:pgSz w:w="11900" w:h="16838" w:orient="portrait"/>
          <w:cols w:equalWidth="0" w:num="1">
            <w:col w:w="11270"/>
          </w:cols>
          <w:pgMar w:left="310" w:top="1213" w:right="319" w:bottom="1440" w:gutter="0" w:footer="0" w:header="0"/>
        </w:sectPr>
      </w:pPr>
    </w:p>
    <w:bookmarkStart w:id="121" w:name="page122"/>
    <w:bookmarkEnd w:id="121"/>
    <w:p>
      <w:pPr>
        <w:jc w:val="center"/>
        <w:ind w:right="2399"/>
        <w:spacing w:after="0"/>
        <w:rPr>
          <w:sz w:val="20"/>
          <w:szCs w:val="20"/>
          <w:color w:val="auto"/>
        </w:rPr>
      </w:pPr>
      <w:r>
        <w:rPr>
          <w:rFonts w:ascii="Arial" w:cs="Arial" w:eastAsia="Arial" w:hAnsi="Arial"/>
          <w:sz w:val="14"/>
          <w:szCs w:val="14"/>
          <w:color w:val="auto"/>
        </w:rPr>
        <w:t>IN WITNESS HEREOF, the parties have executed and delivered this Agreement as of the date first above written.</w:t>
      </w:r>
    </w:p>
    <w:p>
      <w:pPr>
        <w:spacing w:after="0" w:line="108" w:lineRule="exact"/>
        <w:rPr>
          <w:sz w:val="20"/>
          <w:szCs w:val="20"/>
          <w:color w:val="auto"/>
        </w:rPr>
      </w:pPr>
    </w:p>
    <w:p>
      <w:pPr>
        <w:jc w:val="center"/>
        <w:ind w:right="2579"/>
        <w:spacing w:after="0"/>
        <w:rPr>
          <w:sz w:val="20"/>
          <w:szCs w:val="20"/>
          <w:color w:val="auto"/>
        </w:rPr>
      </w:pPr>
      <w:r>
        <w:rPr>
          <w:rFonts w:ascii="Arial" w:cs="Arial" w:eastAsia="Arial" w:hAnsi="Arial"/>
          <w:sz w:val="15"/>
          <w:szCs w:val="15"/>
          <w:color w:val="auto"/>
        </w:rPr>
        <w:t>Capital Bancorp, Inc.</w:t>
      </w:r>
    </w:p>
    <w:p>
      <w:pPr>
        <w:spacing w:after="0" w:line="387"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By: Edward Barry, CEO</w:t>
      </w:r>
    </w:p>
    <w:p>
      <w:pPr>
        <w:spacing w:after="0" w:line="96"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Attested by:</w:t>
      </w:r>
    </w:p>
    <w:p>
      <w:pPr>
        <w:spacing w:after="0" w:line="387"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PARTICIPANT</w:t>
      </w:r>
    </w:p>
    <w:p>
      <w:pPr>
        <w:spacing w:after="0" w:line="387"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By: [INSERT PARTICIPANT NAME]</w:t>
      </w:r>
    </w:p>
    <w:p>
      <w:pPr>
        <w:spacing w:after="0" w:line="96"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Address:</w:t>
      </w:r>
    </w:p>
    <w:p>
      <w:pPr>
        <w:spacing w:after="0" w:line="96"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___________________________________</w:t>
      </w:r>
    </w:p>
    <w:p>
      <w:pPr>
        <w:spacing w:after="0" w:line="96"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___________________________________</w:t>
      </w:r>
    </w:p>
    <w:p>
      <w:pPr>
        <w:spacing w:after="0" w:line="96"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Phone Number:</w:t>
      </w:r>
    </w:p>
    <w:p>
      <w:pPr>
        <w:spacing w:after="0" w:line="96"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Facsimile:</w:t>
      </w:r>
    </w:p>
    <w:sectPr>
      <w:pgSz w:w="11900" w:h="16838" w:orient="portrait"/>
      <w:cols w:equalWidth="0" w:num="1">
        <w:col w:w="9879"/>
      </w:cols>
      <w:pgMar w:left="580" w:top="12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01"/>
    </w:lvl>
  </w:abstractNum>
  <w:abstractNum w:abstractNumId="24">
    <w:nsid w:val="4516DDE9"/>
    <w:multiLevelType w:val="hybridMultilevel"/>
    <w:lvl w:ilvl="0">
      <w:lvlJc w:val="left"/>
      <w:lvlText w:val="%1."/>
      <w:numFmt w:val="decimal"/>
      <w:start w:val="1"/>
    </w:lvl>
    <w:lvl w:ilvl="1">
      <w:lvlJc w:val="left"/>
      <w:lvlText w:val="%2)"/>
      <w:numFmt w:val="lowerLetter"/>
      <w:start w:val="1"/>
    </w:lvl>
  </w:abstractNum>
  <w:abstractNum w:abstractNumId="25">
    <w:nsid w:val="3006C83E"/>
    <w:multiLevelType w:val="hybridMultilevel"/>
    <w:lvl w:ilvl="0">
      <w:lvlJc w:val="left"/>
      <w:lvlText w:val="%1."/>
      <w:numFmt w:val="decimal"/>
      <w:start w:val="1"/>
    </w:lvl>
    <w:lvl w:ilvl="1">
      <w:lvlJc w:val="left"/>
      <w:lvlText w:val="%2)"/>
      <w:numFmt w:val="lowerLetter"/>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5"/>
    </w:lvl>
  </w:abstractNum>
  <w:abstractNum w:abstractNumId="29">
    <w:nsid w:val="440BADF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
    <w:nsid w:val="5072367"/>
    <w:multiLevelType w:val="hybridMultilevel"/>
    <w:lvl w:ilvl="0">
      <w:lvlJc w:val="left"/>
      <w:lvlText w:val="%1"/>
      <w:numFmt w:val="decimal"/>
      <w:start w:val="1"/>
    </w:lvl>
    <w:lvl w:ilvl="1">
      <w:lvlJc w:val="left"/>
      <w:lvlText w:val="%2."/>
      <w:numFmt w:val="lowerLetter"/>
      <w:start w:val="3"/>
    </w:lvl>
  </w:abstractNum>
  <w:abstractNum w:abstractNumId="31">
    <w:nsid w:val="3804823E"/>
    <w:multiLevelType w:val="hybridMultilevel"/>
    <w:lvl w:ilvl="0">
      <w:lvlJc w:val="left"/>
      <w:lvlText w:val="%1."/>
      <w:numFmt w:val="decimal"/>
      <w:start w:val="7"/>
    </w:lvl>
    <w:lvl w:ilvl="1">
      <w:lvlJc w:val="left"/>
      <w:lvlText w:val="%2."/>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13"/>
    </w:lvl>
  </w:abstractNum>
  <w:abstractNum w:abstractNumId="34">
    <w:nsid w:val="5C482A97"/>
    <w:multiLevelType w:val="hybridMultilevel"/>
    <w:lvl w:ilvl="0">
      <w:lvlJc w:val="left"/>
      <w:lvlText w:val="%1."/>
      <w:numFmt w:val="decimal"/>
      <w:start w:val="15"/>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4"/>
    </w:lvl>
    <w:lvl w:ilvl="1">
      <w:lvlJc w:val="left"/>
      <w:lvlText w:val="%2."/>
      <w:numFmt w:val="lowerLetter"/>
      <w:start w:val="1"/>
    </w:lvl>
  </w:abstractNum>
  <w:abstractNum w:abstractNumId="37">
    <w:nsid w:val="51EAD36B"/>
    <w:multiLevelType w:val="hybridMultilevel"/>
    <w:lvl w:ilvl="0">
      <w:lvlJc w:val="left"/>
      <w:lvlText w:val="%1."/>
      <w:numFmt w:val="decimal"/>
      <w:start w:val="9"/>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lvl w:ilvl="1">
      <w:lvlJc w:val="left"/>
      <w:lvlText w:val="%2."/>
      <w:numFmt w:val="decimal"/>
      <w:start w:val="2"/>
    </w:lvl>
  </w:abstractNum>
  <w:abstractNum w:abstractNumId="40">
    <w:nsid w:val="153EA438"/>
    <w:multiLevelType w:val="hybridMultilevel"/>
    <w:lvl w:ilvl="0">
      <w:lvlJc w:val="left"/>
      <w:lvlText w:val="%1."/>
      <w:numFmt w:val="decimal"/>
      <w:start w:val="20"/>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08" Type="http://schemas.openxmlformats.org/officeDocument/2006/relationships/hyperlink" Target="https://www.sec.gov/Archives/edgar/data/1419536/000162828018011581/exhibit31cbnks1.htm" TargetMode="External"/><Relationship Id="rId209" Type="http://schemas.openxmlformats.org/officeDocument/2006/relationships/hyperlink" Target="https://www.sec.gov/Archives/edgar/data/1419536/000162828018011581/exhibit32cbnks1.htm" TargetMode="External"/><Relationship Id="rId210" Type="http://schemas.openxmlformats.org/officeDocument/2006/relationships/hyperlink" Target="https://www.sec.gov/Archives/edgar/data/0001419536/000162828018011895/exhibit41cbnks1a1.htm" TargetMode="External"/><Relationship Id="rId211" Type="http://schemas.openxmlformats.org/officeDocument/2006/relationships/hyperlink" Target="https://www.sec.gov/Archives/edgar/data/1419536/000162828018011581/exhibit101cbnks1.htm" TargetMode="External"/><Relationship Id="rId212" Type="http://schemas.openxmlformats.org/officeDocument/2006/relationships/hyperlink" Target="https://www.sec.gov/Archives/edgar/data/0001419536/000162828018011895/exhibit102cbnks1a1.htm" TargetMode="External"/><Relationship Id="rId213" Type="http://schemas.openxmlformats.org/officeDocument/2006/relationships/hyperlink" Target="https://www.sec.gov/Archives/edgar/data/0001419536/000162828018011895/exhibit103cbnks1a1.htm" TargetMode="External"/><Relationship Id="rId214" Type="http://schemas.openxmlformats.org/officeDocument/2006/relationships/hyperlink" Target="https://www.sec.gov/Archives/edgar/data/0001419536/000162828018011895/exhibit104cbnks1a1.htm" TargetMode="External"/><Relationship Id="rId215" Type="http://schemas.openxmlformats.org/officeDocument/2006/relationships/hyperlink" Target="https://www.sec.gov/Archives/edgar/data/0001419536/000162828018011895/exhibit105cbnks1a1.htm" TargetMode="External"/><Relationship Id="rId216" Type="http://schemas.openxmlformats.org/officeDocument/2006/relationships/hyperlink" Target="https://www.sec.gov/Archives/edgar/data/0001419536/000162828018011895/exhibit106cbnks1a1.htm" TargetMode="External"/><Relationship Id="rId217" Type="http://schemas.openxmlformats.org/officeDocument/2006/relationships/hyperlink" Target="https://www.sec.gov/Archives/edgar/data/0001419536/000162828019000224/capital-barryemploymentagr.htm" TargetMode="External"/><Relationship Id="rId218" Type="http://schemas.openxmlformats.org/officeDocument/2006/relationships/hyperlink" Target="https://www.sec.gov/Archives/edgar/data/0001419536/000141953621000140/exhibit-barryamendmenttoem.htm" TargetMode="External"/><Relationship Id="rId219" Type="http://schemas.openxmlformats.org/officeDocument/2006/relationships/hyperlink" Target="https://www.sec.gov/Archives/edgar/data/0001419536/000141953622000033/browningemploymentagreemen.htm" TargetMode="External"/><Relationship Id="rId220" Type="http://schemas.openxmlformats.org/officeDocument/2006/relationships/hyperlink" Target="https://www.sec.gov/Archives/edgar/data/0001419536/000141953620000067/ex101employme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2022-03-15T08:23:22Z</dcterms:created>
  <dcterms:modified xsi:type="dcterms:W3CDTF">2022-03-15T08:23:22Z</dcterms:modified>
</cp:coreProperties>
</file>